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MODELO PARA ELABORAÇÃO E FORMATAÇÃO DE RESUMO EXPANDIDO: SUBTÍTULO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A escrita do título deve ser toda em maiuscula.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Completo¹; Nome Completo²; Nome Completo³; Nome Completo⁴; Nome Completo⁵; Nome Completo⁶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¹ Aluno do curso de Psicologia do Centro de Estudos Interdisciplinares. E-mail: ceeinter.congresso@gmail.com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² Doutorando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Psicologia pelo Centro de Estudos Interdisciplinares. E-mail: ceeinter.congresso@gmail.com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³ Mestre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Ciências Sociais pelo Centro de Estudos Interdisciplinares. Professor do curso de Licenciatura em Ciências Humanas. E-mail: exemplo.professor@gmail.com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⁴ Graduado em História pelo Centro de Estudos Interdisciplinares. Especialista em Ensino de História. E-mail: exemplo.historia@gmail.com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⁵ Doutora em Educação e pesquisadora do Centro de Estudos Interdisciplinares. E-mail: exemplo.educacao@gmail.com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⁶ Aluno do curso de Mestrado em Políticas Públicas no Centro de Estudos Interdisciplinares. E-mail: exemplo.mestrando@gmail.com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presente documento apresenta as orientações para a elaboração e submissão de resumos expandidos no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Congresso de Atualizações e Pesquisa em Psicologia.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resumo inicial, inserido antes do conteúdo expandido, não deve ultrapassar 150 palavras e deve sintetizar de forma clara e objetiva os principais aspectos do trabalho. Ele deve incluir uma breve introdução (uma frase), com a apresentação do objetivo do estudo, descrição sucinta do material utilizado, métodos sistematizados de forma concisa, além dos principais resultados, discussão breve e conclusão alcançada. O resumo expandido deve conter entre quatro e seis páginas, devendo obrigatoriamente seguir o formato do presente template, sem alterações em sua estrutura ou formatação. Após o resumo, devem ser incluídas as palavras-chave, dispostas em parágrafo único, contendo entre 3 (três) e 5 (cinco) palavras, separadas por ponto-e-vírgula. A primeira letra de cada palavra deve ser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maiúscula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a última palavra deve ser finalizada por ponto, conforme o exemplo abaixo. É fundamental respeitar as normas e diretrizes aqui descritas para assegurar a padronização e qualidade do material a ser publicado nos anais do evento. O resumo expandido deve ser submetido em word.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Resumo; Normas; Educação; Psicologia; Congresso.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introdução de um resumo expandido deve apresentar informações que justifiquem a relevância do trabalho, contextualizando o tema e demonstrando a importância do assunto a ser tratado. Este item é fundamental para situar o leitor sobre os objetivos e a temática do estudo, conectando-o à proposta geral do trabalho. No último parágrafo, a introdução deve apresentar de forma clara e objetiva os objetivos do estudo, garantindo que estejam bem definidos e alinhados ao desenvolvimento do texto.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1247775</wp:posOffset>
                </wp:positionV>
                <wp:extent cx="1522603" cy="1704975"/>
                <wp:effectExtent b="0" l="0" r="0" t="0"/>
                <wp:wrapNone/>
                <wp:docPr id="17645506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1247775</wp:posOffset>
                </wp:positionV>
                <wp:extent cx="1522603" cy="1704975"/>
                <wp:effectExtent b="0" l="0" r="0" t="0"/>
                <wp:wrapNone/>
                <wp:docPr id="17645506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organização e padronização do documento, deve-se reservar uma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linha em branco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entre os itens principais: INTRODUÇÃO, METODOLOGIA, RESULTADOS E DISCUSSÃO, CONCLUSÕES e REFERÊNCIAS. Embora a introdução e o texto como um todo não possuam limites específicos de palavras, é essencial manter equilíbrio entre as seções, evitando que a introdução ocupe espaço excessivo que prejudique o desenvolvimento dos demais itens. 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citações ao longo do texto devem seguir as normas indicadas:  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Para um único autor: (Nome do Autor com a primeira letra em maiusculo, ano, página). Exemplo: (Aristóteles, 2006, p. 33).  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Para dois autores: (Mokwunye; Hammond, 1992).  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Para três ou mais autores: (Silva et al., 2010).  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imprescindível que todas as referências citadas no corpo do texto sejam listadas no item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"REFERÊNCIAS",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seguindo o formato e a ordem estabelecidos pelas normas do evento.  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trabalhos submetidos na modalidade de resumo expandido devem conter entre 4 (quatro) e 6 (seis) páginas, incluindo as referências. </w:t>
      </w:r>
    </w:p>
    <w:p w:rsidR="00000000" w:rsidDel="00000000" w:rsidP="00000000" w:rsidRDefault="00000000" w:rsidRPr="00000000" w14:paraId="0000001D">
      <w:pPr>
        <w:spacing w:after="0" w:line="360" w:lineRule="auto"/>
        <w:ind w:firstLine="5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2et92p0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1895475</wp:posOffset>
                </wp:positionV>
                <wp:extent cx="1522603" cy="1704975"/>
                <wp:effectExtent b="0" l="0" r="0" t="0"/>
                <wp:wrapNone/>
                <wp:docPr id="17645506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1895475</wp:posOffset>
                </wp:positionV>
                <wp:extent cx="1522603" cy="1704975"/>
                <wp:effectExtent b="0" l="0" r="0" t="0"/>
                <wp:wrapNone/>
                <wp:docPr id="17645506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tyjcwt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:rsidR="00000000" w:rsidDel="00000000" w:rsidP="00000000" w:rsidRDefault="00000000" w:rsidRPr="00000000" w14:paraId="00000026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 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dy6vkm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Considerações Finais devem sintetizar as principais conclusões do trabalho, destacando os resultados mais relevantes e a forma como eles respondem aos objetivos inicialmente propostos. Cada conclusão deve ser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um novo parágrafo, mas sem espaçamento em branco entre os parágrafos.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1151817</wp:posOffset>
                </wp:positionV>
                <wp:extent cx="1522603" cy="1704975"/>
                <wp:effectExtent b="0" l="0" r="0" t="0"/>
                <wp:wrapNone/>
                <wp:docPr id="17645506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1151817</wp:posOffset>
                </wp:positionV>
                <wp:extent cx="1522603" cy="1704975"/>
                <wp:effectExtent b="0" l="0" r="0" t="0"/>
                <wp:wrapNone/>
                <wp:docPr id="17645506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:rsidR="00000000" w:rsidDel="00000000" w:rsidP="00000000" w:rsidRDefault="00000000" w:rsidRPr="00000000" w14:paraId="0000002C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escrita deve ser direta e objetiva, evitando repetições ou informações que já foram detalhadas em outras partes do texto. O objetivo das considerações finais é oferecer ao leitor uma visão clara e consolidada do que foi alcançado com a pesquisa, promovendo um encerramento coeso e reflexivo do trabalho.  </w:t>
      </w:r>
    </w:p>
    <w:p w:rsidR="00000000" w:rsidDel="00000000" w:rsidP="00000000" w:rsidRDefault="00000000" w:rsidRPr="00000000" w14:paraId="0000002D">
      <w:pPr>
        <w:spacing w:after="0"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1t3h5sf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ASSIS, Dayane N. Conceição de.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Projetos de filosofia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Alegre: EDIPUCRS, 2011.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E-book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Arquitetura da informação pervasiva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AGUIAR, André Andrade de.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NASCIMENTO, Mateus Rebouças.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790575</wp:posOffset>
                </wp:positionV>
                <wp:extent cx="1522603" cy="1704975"/>
                <wp:effectExtent b="0" l="0" r="0" t="0"/>
                <wp:wrapNone/>
                <wp:docPr id="17645506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-903475</wp:posOffset>
                </wp:positionH>
                <wp:positionV relativeFrom="paragraph">
                  <wp:posOffset>790575</wp:posOffset>
                </wp:positionV>
                <wp:extent cx="1522603" cy="1704975"/>
                <wp:effectExtent b="0" l="0" r="0" t="0"/>
                <wp:wrapNone/>
                <wp:docPr id="17645506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Revista de Estudos Interdisciplinares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 [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], v. 5, n. 5, p. 100-109, 2023. DOI: 10.56579/rei.v5i5.597. Disponível em: </w:t>
      </w:r>
      <w:hyperlink r:id="rId9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Revista de Iniciação Científica, [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s. 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], v. 3, n. 1, p. 69-83, 2023. DOI: 10.56579/verum.v3i1.770. Disponível em: </w:t>
      </w:r>
      <w:hyperlink r:id="rId10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2 out. 2023.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INGIZZA, Carolina. O fantástico mercado dos games.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PETRY, André. Certezas sem base.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Veja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Zero Hora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AMENDOLA, Gilberto.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OMS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inclui a síndrome de burnout na lista de doenças.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28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maio 2019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[...]. Florianópolis: UFSC, 2010. Disponível em:  </w:t>
      </w:r>
      <w:hyperlink r:id="rId11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OYADOMARI, A. T.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associados ao novo selante heterólogo de fibrina.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Cadernos do Centro de Pesquisas Literárias da PUCRS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CONGRESSO BRASILEIRO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OLERICULTURA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Horticultura Brasileira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63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ABNT NBR ISO 12836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ABNT – ASSOCIAÇÃO BRASILEIRA DE NORMAS TÉCNICAS.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ABNT NBR 9050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MINAS GERAIS.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 n. 869, de 5 de julho de 1952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Diário Oficial da União: seção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 nº 7.766, de 11 de maio de 1989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Dispõe sobre o ouro, ativo financeiro, e sobre seu tratamento tributário. Disponível em: http://www.planalto.gov.br/ccivil_03/LEIS/L7766.htm. Acesso em: 22 ago. 2020.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509884</wp:posOffset>
                </wp:positionV>
                <wp:extent cx="1522603" cy="1704975"/>
                <wp:effectExtent b="0" l="0" r="0" t="0"/>
                <wp:wrapNone/>
                <wp:docPr id="17645506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509884</wp:posOffset>
                </wp:positionV>
                <wp:extent cx="1522603" cy="1704975"/>
                <wp:effectExtent b="0" l="0" r="0" t="0"/>
                <wp:wrapNone/>
                <wp:docPr id="17645506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[Constituição (1988)].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RIO GRANDE DO SUL. [Constituição (1989)].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do Estado do Rio Grande do Sul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PARAÍBA. [Constituição (1989)].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do Estado da Paraíba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7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legislação federal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marginalia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São Paulo, v. 59, p. 1966, out./dez. 1995.</w:t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Plataforma Sucupira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Brasília, 2016. Disponível em: </w:t>
      </w:r>
      <w:hyperlink r:id="rId12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31 out. 2020.</w:t>
      </w:r>
    </w:p>
    <w:p w:rsidR="00000000" w:rsidDel="00000000" w:rsidP="00000000" w:rsidRDefault="00000000" w:rsidRPr="00000000" w14:paraId="0000007F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CEEINTER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 CENTRO DE ESTUDOS INTERDISCIPLINARES.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Página Inicial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Florianópolis, 2023. Disponível em: </w:t>
      </w:r>
      <w:hyperlink r:id="rId13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10 set. 2023.</w:t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3190875</wp:posOffset>
                </wp:positionV>
                <wp:extent cx="1522603" cy="1704975"/>
                <wp:effectExtent b="0" l="0" r="0" t="0"/>
                <wp:wrapNone/>
                <wp:docPr id="17645506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4675" y="2927500"/>
                          <a:ext cx="1522603" cy="1704975"/>
                          <a:chOff x="4584675" y="2927500"/>
                          <a:chExt cx="1522650" cy="1705000"/>
                        </a:xfrm>
                      </wpg:grpSpPr>
                      <wpg:grpSp>
                        <wpg:cNvGrpSpPr/>
                        <wpg:grpSpPr>
                          <a:xfrm>
                            <a:off x="4584699" y="2927513"/>
                            <a:ext cx="1522603" cy="1704975"/>
                            <a:chOff x="4760525" y="2929600"/>
                            <a:chExt cx="1170950" cy="1707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760525" y="2929600"/>
                              <a:ext cx="1170950" cy="1707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rot="-5400000">
                              <a:off x="4495608" y="3200880"/>
                              <a:ext cx="1700784" cy="1158240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28" name="Shape 28"/>
                            <wps:spPr>
                              <a:xfrm>
                                <a:off x="0" y="0"/>
                                <a:ext cx="1700775" cy="10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1700784" cy="1024128"/>
                                <a:chOff x="0" y="0"/>
                                <a:chExt cx="1700784" cy="10241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0" y="0"/>
                                  <a:ext cx="1700784" cy="10241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0" y="0"/>
                                  <a:ext cx="1463040" cy="1014984"/>
                                </a:xfrm>
                                <a:custGeom>
                                  <a:rect b="b" l="l" r="r" t="t"/>
                                  <a:pathLst>
                                    <a:path extrusionOk="0" h="1014481" w="1462822">
                                      <a:moveTo>
                                        <a:pt x="0" y="0"/>
                                      </a:moveTo>
                                      <a:lnTo>
                                        <a:pt x="1462822" y="0"/>
                                      </a:lnTo>
                                      <a:lnTo>
                                        <a:pt x="1462822" y="1014481"/>
                                      </a:lnTo>
                                      <a:lnTo>
                                        <a:pt x="638269" y="4078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0" y="0"/>
                                  <a:ext cx="1472184" cy="1024128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7">
                                    <a:alphaModFix/>
                                  </a:blip>
                                  <a:stretch>
                                    <a:fillRect b="0" l="0" r="0" t="0"/>
                                  </a:stretch>
                                </a:blipFill>
                                <a:ln cap="flat" cmpd="sng" w="1270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33" name="Shape 33"/>
                            <wps:spPr>
                              <a:xfrm>
                                <a:off x="1032625" y="9510"/>
                                <a:ext cx="438150" cy="375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-904874</wp:posOffset>
                </wp:positionH>
                <wp:positionV relativeFrom="paragraph">
                  <wp:posOffset>3190875</wp:posOffset>
                </wp:positionV>
                <wp:extent cx="1522603" cy="1704975"/>
                <wp:effectExtent b="0" l="0" r="0" t="0"/>
                <wp:wrapNone/>
                <wp:docPr id="17645506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603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4" w:type="default"/>
      <w:footerReference r:id="rId15" w:type="default"/>
      <w:pgSz w:h="16838" w:w="11906" w:orient="portrait"/>
      <w:pgMar w:bottom="1418" w:top="1418" w:left="1418" w:right="1418" w:header="709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CADERNO DE ATUALIZAÇÕES E PESQUISA EM PSICOLOGIA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9766300</wp:posOffset>
              </wp:positionV>
              <wp:extent cx="1169049" cy="1479918"/>
              <wp:effectExtent b="0" l="0" r="0" t="0"/>
              <wp:wrapNone/>
              <wp:docPr id="176455062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61475" y="3040025"/>
                        <a:ext cx="1169049" cy="1479918"/>
                        <a:chOff x="4761475" y="3040025"/>
                        <a:chExt cx="1169100" cy="1479950"/>
                      </a:xfrm>
                    </wpg:grpSpPr>
                    <wpg:grpSp>
                      <wpg:cNvGrpSpPr/>
                      <wpg:grpSpPr>
                        <a:xfrm>
                          <a:off x="4761476" y="3040041"/>
                          <a:ext cx="1169049" cy="1479918"/>
                          <a:chOff x="4761475" y="3040025"/>
                          <a:chExt cx="1175400" cy="1486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61475" y="3040025"/>
                            <a:ext cx="1175400" cy="148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 rot="-5400000">
                            <a:off x="4606041" y="3195476"/>
                            <a:ext cx="1479918" cy="1169049"/>
                            <a:chOff x="-9143" y="0"/>
                            <a:chExt cx="1479918" cy="1033685"/>
                          </a:xfrm>
                        </wpg:grpSpPr>
                        <wps:wsp>
                          <wps:cNvSpPr/>
                          <wps:cNvPr id="21" name="Shape 21"/>
                          <wps:spPr>
                            <a:xfrm>
                              <a:off x="-9143" y="0"/>
                              <a:ext cx="1479900" cy="1033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9143" y="0"/>
                              <a:ext cx="1472184" cy="1033685"/>
                              <a:chOff x="-9143" y="0"/>
                              <a:chExt cx="1472184" cy="1033685"/>
                            </a:xfrm>
                          </wpg:grpSpPr>
                          <wps:wsp>
                            <wps:cNvSpPr/>
                            <wps:cNvPr id="23" name="Shape 23"/>
                            <wps:spPr>
                              <a:xfrm>
                                <a:off x="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1462822" y="1014481"/>
                                    </a:lnTo>
                                    <a:lnTo>
                                      <a:pt x="638269" y="4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-9143" y="9557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5" name="Shape 25"/>
                          <wps:spPr>
                            <a:xfrm>
                              <a:off x="1032625" y="9510"/>
                              <a:ext cx="438150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9766300</wp:posOffset>
              </wp:positionV>
              <wp:extent cx="1169049" cy="1479918"/>
              <wp:effectExtent b="0" l="0" r="0" t="0"/>
              <wp:wrapNone/>
              <wp:docPr id="17645506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9049" cy="147991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-266699</wp:posOffset>
              </wp:positionV>
              <wp:extent cx="1700784" cy="1158240"/>
              <wp:effectExtent b="0" l="0" r="0" t="0"/>
              <wp:wrapNone/>
              <wp:docPr id="17645506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5575" y="3200800"/>
                        <a:ext cx="1700784" cy="1158240"/>
                        <a:chOff x="4495575" y="3200800"/>
                        <a:chExt cx="1700825" cy="1158400"/>
                      </a:xfrm>
                    </wpg:grpSpPr>
                    <wpg:grpSp>
                      <wpg:cNvGrpSpPr/>
                      <wpg:grpSpPr>
                        <a:xfrm>
                          <a:off x="4495608" y="3200880"/>
                          <a:ext cx="1700784" cy="1158240"/>
                          <a:chOff x="4489250" y="3194525"/>
                          <a:chExt cx="1707150" cy="1170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489250" y="3194525"/>
                            <a:ext cx="1707150" cy="117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5608" y="3200880"/>
                            <a:ext cx="1700784" cy="1158240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36" name="Shape 36"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rect b="b" l="l" r="r" t="t"/>
                              <a:pathLst>
                                <a:path extrusionOk="0" h="1014481" w="1462822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5194300</wp:posOffset>
              </wp:positionH>
              <wp:positionV relativeFrom="paragraph">
                <wp:posOffset>-266699</wp:posOffset>
              </wp:positionV>
              <wp:extent cx="1700784" cy="1158240"/>
              <wp:effectExtent b="0" l="0" r="0" t="0"/>
              <wp:wrapNone/>
              <wp:docPr id="176455062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158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VOLUME 1, 2025, CEEINTER. ISSN: 0000-0000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|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6092825</wp:posOffset>
              </wp:positionH>
              <wp:positionV relativeFrom="page">
                <wp:posOffset>3094</wp:posOffset>
              </wp:positionV>
              <wp:extent cx="1709926" cy="1158244"/>
              <wp:effectExtent b="0" l="0" r="0" t="0"/>
              <wp:wrapNone/>
              <wp:docPr id="176455061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491025" y="3200800"/>
                        <a:ext cx="1709926" cy="1158244"/>
                        <a:chOff x="4491025" y="3200800"/>
                        <a:chExt cx="1709950" cy="1158400"/>
                      </a:xfrm>
                    </wpg:grpSpPr>
                    <wpg:grpSp>
                      <wpg:cNvGrpSpPr/>
                      <wpg:grpSpPr>
                        <a:xfrm>
                          <a:off x="4491037" y="3200878"/>
                          <a:ext cx="1709926" cy="1158244"/>
                          <a:chOff x="4484675" y="3194525"/>
                          <a:chExt cx="1716300" cy="1170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484675" y="3194525"/>
                            <a:ext cx="1716300" cy="117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1037" y="3200878"/>
                            <a:ext cx="1709926" cy="1158244"/>
                            <a:chOff x="-9142" y="0"/>
                            <a:chExt cx="1709926" cy="102413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9142" y="0"/>
                              <a:ext cx="170992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9142" y="0"/>
                              <a:ext cx="1709926" cy="1024132"/>
                              <a:chOff x="-9142" y="0"/>
                              <a:chExt cx="1709926" cy="1024132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1462822" y="1014481"/>
                                    </a:lnTo>
                                    <a:lnTo>
                                      <a:pt x="638269" y="4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-9142" y="4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0" name="Shape 10"/>
                          <wps:spPr>
                            <a:xfrm>
                              <a:off x="1032625" y="9510"/>
                              <a:ext cx="438150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6092825</wp:posOffset>
              </wp:positionH>
              <wp:positionV relativeFrom="page">
                <wp:posOffset>3094</wp:posOffset>
              </wp:positionV>
              <wp:extent cx="1709926" cy="1158244"/>
              <wp:effectExtent b="0" l="0" r="0" t="0"/>
              <wp:wrapNone/>
              <wp:docPr id="176455061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9926" cy="1158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80808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-3045</wp:posOffset>
              </wp:positionH>
              <wp:positionV relativeFrom="page">
                <wp:posOffset>-233805</wp:posOffset>
              </wp:positionV>
              <wp:extent cx="1158240" cy="1700784"/>
              <wp:effectExtent b="0" l="0" r="0" t="0"/>
              <wp:wrapNone/>
              <wp:docPr id="176455062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66800" y="2929600"/>
                        <a:ext cx="1158240" cy="1700784"/>
                        <a:chOff x="4766800" y="2929600"/>
                        <a:chExt cx="1158400" cy="1700825"/>
                      </a:xfrm>
                    </wpg:grpSpPr>
                    <wpg:grpSp>
                      <wpg:cNvGrpSpPr/>
                      <wpg:grpSpPr>
                        <a:xfrm>
                          <a:off x="4766880" y="2929608"/>
                          <a:ext cx="1158240" cy="1700784"/>
                          <a:chOff x="4760525" y="2929600"/>
                          <a:chExt cx="1170950" cy="170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60525" y="2929600"/>
                            <a:ext cx="1170950" cy="170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 rot="-5400000">
                            <a:off x="4495608" y="3200880"/>
                            <a:ext cx="1700784" cy="1158240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1463040" cy="1014984"/>
                              </a:xfrm>
                              <a:custGeom>
                                <a:rect b="b" l="l" r="r" t="t"/>
                                <a:pathLst>
                                  <a:path extrusionOk="0" h="1014481" w="1462822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1462822" y="1014481"/>
                                    </a:lnTo>
                                    <a:lnTo>
                                      <a:pt x="638269" y="4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 cap="flat" cmpd="sng" w="12700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8" name="Shape 18"/>
                          <wps:spPr>
                            <a:xfrm>
                              <a:off x="1032625" y="9510"/>
                              <a:ext cx="438150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-3045</wp:posOffset>
              </wp:positionH>
              <wp:positionV relativeFrom="page">
                <wp:posOffset>-233805</wp:posOffset>
              </wp:positionV>
              <wp:extent cx="1158240" cy="1700784"/>
              <wp:effectExtent b="0" l="0" r="0" t="0"/>
              <wp:wrapNone/>
              <wp:docPr id="17645506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8240" cy="17007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21F8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421F8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421F8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421F8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421F8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421F8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421F8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421F8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421F8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21F8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421F8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421F8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421F8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421F8B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421F8B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421F8B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421F8B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421F8B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421F8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421F8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421F8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421F8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421F8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421F8B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421F8B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421F8B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421F8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421F8B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421F8B"/>
    <w:rPr>
      <w:b w:val="1"/>
      <w:bCs w:val="1"/>
      <w:smallCaps w:val="1"/>
      <w:color w:val="2f5496" w:themeColor="accent1" w:themeShade="0000BF"/>
      <w:spacing w:val="5"/>
    </w:rPr>
  </w:style>
  <w:style w:type="paragraph" w:styleId="SemEspaamento">
    <w:name w:val="No Spacing"/>
    <w:link w:val="SemEspaamentoChar"/>
    <w:uiPriority w:val="1"/>
    <w:qFormat w:val="1"/>
    <w:rsid w:val="002F755C"/>
    <w:pPr>
      <w:spacing w:after="0" w:line="240" w:lineRule="auto"/>
    </w:pPr>
    <w:rPr>
      <w:rFonts w:eastAsiaTheme="minorEastAsia"/>
      <w:kern w:val="0"/>
      <w:lang w:eastAsia="pt-BR"/>
    </w:rPr>
  </w:style>
  <w:style w:type="character" w:styleId="SemEspaamentoChar" w:customStyle="1">
    <w:name w:val="Sem Espaçamento Char"/>
    <w:basedOn w:val="Fontepargpadro"/>
    <w:link w:val="SemEspaamento"/>
    <w:uiPriority w:val="1"/>
    <w:rsid w:val="002F755C"/>
    <w:rPr>
      <w:rFonts w:eastAsiaTheme="minorEastAsia"/>
      <w:kern w:val="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2F75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755C"/>
  </w:style>
  <w:style w:type="paragraph" w:styleId="Rodap">
    <w:name w:val="footer"/>
    <w:basedOn w:val="Normal"/>
    <w:link w:val="RodapChar"/>
    <w:uiPriority w:val="99"/>
    <w:unhideWhenUsed w:val="1"/>
    <w:rsid w:val="002F75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755C"/>
  </w:style>
  <w:style w:type="character" w:styleId="Hyperlink">
    <w:name w:val="Hyperlink"/>
    <w:basedOn w:val="Fontepargpadro"/>
    <w:uiPriority w:val="99"/>
    <w:unhideWhenUsed w:val="1"/>
    <w:rsid w:val="00B62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629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ulheresprogressistas.org/AudioVideo/FEMINISMO%20E%20LUTA%20DE%20CLASSE.pdf" TargetMode="External"/><Relationship Id="rId10" Type="http://schemas.openxmlformats.org/officeDocument/2006/relationships/hyperlink" Target="https://revistas.ceeinter.com.br/revistadeiniciacaocientifica/article/view/770" TargetMode="External"/><Relationship Id="rId13" Type="http://schemas.openxmlformats.org/officeDocument/2006/relationships/hyperlink" Target="https://portal.ceeinter.com.br/" TargetMode="External"/><Relationship Id="rId12" Type="http://schemas.openxmlformats.org/officeDocument/2006/relationships/hyperlink" Target="https://sucupira.capes.gov.br/sucupira/public/inde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vistas.ceeinter.com.br/revistadeestudosinterdisciplinar/article/view/597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87YlBrnNBgqlrhKYnhZEkaeHg==">CgMxLjAyCWguMmV0OTJwMDIIaC50eWpjd3QyCWguM2R5NnZrbTIJaC4xdDNoNXNmOAByITFzeERGM2RPQlY0S2VpclN3aEZ2TlNuQWMxUjRXTGNSaA==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2025-02-08T20:43:00Z</dcterms:created>
  <dc:creator>Desconhecido</dc:creator>
</cp:coreProperties>
</file>