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B26B8" w14:textId="77777777" w:rsidR="00C802EF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ATÉ 14 PALAVRAS, CENTRALIZADO, FONTE TIMES NEWS ROMAN 12, NEGRITO E CAIXA ALTA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77777777" w:rsidR="00C802EF" w:rsidRDefault="00000000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Autor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 Autor</w:t>
      </w:r>
      <w:r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Autor</w:t>
      </w:r>
      <w:proofErr w:type="gramStart"/>
      <w:r>
        <w:rPr>
          <w:b/>
          <w:sz w:val="20"/>
          <w:szCs w:val="20"/>
          <w:vertAlign w:val="superscript"/>
        </w:rPr>
        <w:t>3</w:t>
      </w:r>
      <w:r>
        <w:rPr>
          <w:b/>
          <w:sz w:val="20"/>
          <w:szCs w:val="20"/>
        </w:rPr>
        <w:t xml:space="preserve">  (</w:t>
      </w:r>
      <w:proofErr w:type="gramEnd"/>
      <w:r>
        <w:rPr>
          <w:b/>
          <w:sz w:val="20"/>
          <w:szCs w:val="20"/>
        </w:rPr>
        <w:t>máximo de 10)</w:t>
      </w:r>
    </w:p>
    <w:p w14:paraId="4744856E" w14:textId="77777777" w:rsidR="00C802EF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Instituição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Instituição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, </w:t>
      </w:r>
      <w:proofErr w:type="gramStart"/>
      <w:r>
        <w:rPr>
          <w:sz w:val="20"/>
          <w:szCs w:val="20"/>
        </w:rPr>
        <w:t>Instituição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, etc.</w:t>
      </w:r>
      <w:proofErr w:type="gramEnd"/>
    </w:p>
    <w:p w14:paraId="2ABFA84D" w14:textId="77777777" w:rsidR="00C802EF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* e-mail do autor correspondente.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F28E9A9" w14:textId="77777777" w:rsidR="00C802EF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  <w:highlight w:val="yellow"/>
        </w:rPr>
        <w:t>(CAIXA ALTA, ALINHAMENTO JUSTIFICADO, NEGRITO, TAMANHO 10, FONTE TIMES NEW ROMAN, SEM ESPAÇO ANTES E APÓS O PARÁGRAFO)</w:t>
      </w:r>
    </w:p>
    <w:p w14:paraId="1F98CA71" w14:textId="77777777" w:rsidR="00C802EF" w:rsidRDefault="00000000">
      <w:pPr>
        <w:widowControl/>
        <w:ind w:right="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Máximo de 250 palavras, parágrafo único, justificado, fonte 10, times new </w:t>
      </w:r>
      <w:proofErr w:type="spellStart"/>
      <w:r>
        <w:rPr>
          <w:sz w:val="20"/>
          <w:szCs w:val="20"/>
        </w:rPr>
        <w:t>roman</w:t>
      </w:r>
      <w:proofErr w:type="spellEnd"/>
      <w:r>
        <w:rPr>
          <w:sz w:val="20"/>
          <w:szCs w:val="20"/>
        </w:rPr>
        <w:t>, recuo do texto em 1 cm esquerdo e direito.</w:t>
      </w:r>
    </w:p>
    <w:p w14:paraId="439B26EB" w14:textId="77777777" w:rsidR="00C802EF" w:rsidRDefault="00000000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(máximo 5, </w:t>
      </w:r>
      <w:r>
        <w:rPr>
          <w:color w:val="111111"/>
          <w:sz w:val="20"/>
          <w:szCs w:val="20"/>
          <w:shd w:val="clear" w:color="auto" w:fill="FBFBF3"/>
        </w:rPr>
        <w:t>diferentes das contidas no título do artigo</w:t>
      </w:r>
      <w:r>
        <w:rPr>
          <w:sz w:val="20"/>
          <w:szCs w:val="20"/>
        </w:rPr>
        <w:t>).</w:t>
      </w:r>
    </w:p>
    <w:p w14:paraId="3230E55B" w14:textId="77777777" w:rsidR="00C802EF" w:rsidRDefault="00000000">
      <w:pPr>
        <w:widowControl/>
        <w:ind w:firstLine="708"/>
        <w:jc w:val="both"/>
        <w:rPr>
          <w:b/>
          <w:color w:val="FF0000"/>
          <w:sz w:val="20"/>
          <w:szCs w:val="20"/>
          <w:highlight w:val="yellow"/>
        </w:rPr>
      </w:pPr>
      <w:r>
        <w:rPr>
          <w:b/>
          <w:color w:val="FF0000"/>
          <w:sz w:val="20"/>
          <w:szCs w:val="20"/>
          <w:highlight w:val="yellow"/>
        </w:rPr>
        <w:t>Atenção:  O resumo expandido deverá ter no máximo 4 páginas. Resumos com mais de 4 páginas serão desconsiderados.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  <w:r>
        <w:rPr>
          <w:b/>
          <w:sz w:val="20"/>
          <w:szCs w:val="20"/>
          <w:highlight w:val="yellow"/>
        </w:rPr>
        <w:t>(CAIXA ALTA, NEGRITO, TAMANHO 10, FONTE TIMES NEW ROMAN, ALINHAMENTO JUSTIFICADO)</w:t>
      </w:r>
    </w:p>
    <w:p w14:paraId="0F777849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Tamanho 10, Fonte Times New Roman, alinhamento justificado, recuo especial na primeira linha de 1,25 cm em cada parágrafo, espaçamento simples.</w:t>
      </w:r>
    </w:p>
    <w:p w14:paraId="754E400A" w14:textId="77777777" w:rsidR="00C802EF" w:rsidRDefault="0000000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 introdução os autores devem </w:t>
      </w:r>
      <w:r>
        <w:rPr>
          <w:color w:val="111111"/>
          <w:sz w:val="20"/>
          <w:szCs w:val="20"/>
        </w:rPr>
        <w:t>obrigatoriamente apresentar a(s) hipótese(s) e/ou o(s) objetivo(s) do trabalho</w:t>
      </w:r>
      <w:r>
        <w:rPr>
          <w:sz w:val="20"/>
          <w:szCs w:val="20"/>
        </w:rPr>
        <w:t>.</w:t>
      </w:r>
      <w:r>
        <w:rPr>
          <w:color w:val="111111"/>
          <w:sz w:val="20"/>
          <w:szCs w:val="20"/>
        </w:rPr>
        <w:t xml:space="preserve"> Nomes científicos, quando citados pela primeira vez no texto, devem ser escritos na íntegra: gênero, espécie e autor(es). Siglas e abreviat</w:t>
      </w:r>
      <w:r>
        <w:rPr>
          <w:color w:val="111111"/>
          <w:sz w:val="20"/>
          <w:szCs w:val="20"/>
          <w:shd w:val="clear" w:color="auto" w:fill="FBFBF3"/>
        </w:rPr>
        <w:t>uras, ao aparecerem pela primeira vez no artigo, devem ser colocadas entre parênteses, precedidas do nome por extenso.</w:t>
      </w:r>
    </w:p>
    <w:p w14:paraId="55FBB053" w14:textId="77777777" w:rsidR="00C802EF" w:rsidRDefault="0000000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A revisão bibliográfica pode estar contida na introdução. As citações devem seguir o sistema de nome e ano (ver REFERÊNCIAS).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58D98A87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  <w:r>
        <w:rPr>
          <w:b/>
          <w:sz w:val="20"/>
          <w:szCs w:val="20"/>
          <w:highlight w:val="yellow"/>
        </w:rPr>
        <w:t>(CAIXA ALTA, NEGRITO, TAMANHO 10, FONTE TIMES NEW ROMAN, ALINHAMENTO JUSTIFICADO)</w:t>
      </w:r>
    </w:p>
    <w:p w14:paraId="2CA450CF" w14:textId="77777777" w:rsidR="00C802EF" w:rsidRDefault="00C802EF">
      <w:pPr>
        <w:widowControl/>
        <w:jc w:val="both"/>
        <w:rPr>
          <w:sz w:val="20"/>
          <w:szCs w:val="20"/>
        </w:rPr>
      </w:pPr>
    </w:p>
    <w:p w14:paraId="36BCE107" w14:textId="77777777" w:rsidR="00C802EF" w:rsidRDefault="00000000">
      <w:pPr>
        <w:widowControl/>
        <w:rPr>
          <w:sz w:val="20"/>
          <w:szCs w:val="20"/>
        </w:rPr>
      </w:pPr>
      <w:r>
        <w:rPr>
          <w:b/>
          <w:sz w:val="20"/>
          <w:szCs w:val="20"/>
        </w:rPr>
        <w:t xml:space="preserve">Coleta do material vegetal </w:t>
      </w:r>
    </w:p>
    <w:p w14:paraId="07119C7E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Quando houver subitens, deverá ser obedecida a seguinte ordem: o primeiro subitem deverá ser em negrito, em caixa baixa, somente a primeira inicial </w:t>
      </w:r>
      <w:proofErr w:type="spellStart"/>
      <w:r>
        <w:rPr>
          <w:sz w:val="20"/>
          <w:szCs w:val="20"/>
        </w:rPr>
        <w:t>maiuscula</w:t>
      </w:r>
      <w:proofErr w:type="spellEnd"/>
      <w:r>
        <w:rPr>
          <w:sz w:val="20"/>
          <w:szCs w:val="20"/>
        </w:rPr>
        <w:t>; o segundo subitem igual ao primeiro sem negrito.</w:t>
      </w:r>
    </w:p>
    <w:p w14:paraId="49AD442C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Tamanho 10, Fonte Times New Roman, alinhamento justificado, recuo especial na primeira linha de 1,25 cm em cada parágrafo, espaçamento simples.</w:t>
      </w:r>
    </w:p>
    <w:p w14:paraId="171D20E2" w14:textId="77777777" w:rsidR="00C802EF" w:rsidRDefault="0000000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Artigos que envolvam plantas e outras formas de vida (fungos, </w:t>
      </w:r>
      <w:proofErr w:type="gramStart"/>
      <w:r>
        <w:rPr>
          <w:sz w:val="20"/>
          <w:szCs w:val="20"/>
        </w:rPr>
        <w:t>insetos, etc.</w:t>
      </w:r>
      <w:proofErr w:type="gramEnd"/>
      <w:r>
        <w:rPr>
          <w:sz w:val="20"/>
          <w:szCs w:val="20"/>
        </w:rPr>
        <w:t>) devem apresentar o número de registro de tombamento em instituições que mantêm coleções científicas de acesso público ou uma justificativa para falta dessa informação. A omissão acarretará a recusa do manuscrito.</w:t>
      </w:r>
    </w:p>
    <w:p w14:paraId="538329DC" w14:textId="77777777" w:rsidR="00C802EF" w:rsidRDefault="00000000">
      <w:pPr>
        <w:widowControl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fórmulas e equações devem ser inseridas com a função </w:t>
      </w:r>
      <w:proofErr w:type="spellStart"/>
      <w:r>
        <w:rPr>
          <w:i/>
          <w:sz w:val="20"/>
          <w:szCs w:val="20"/>
        </w:rPr>
        <w:t>Equation</w:t>
      </w:r>
      <w:proofErr w:type="spellEnd"/>
      <w:r>
        <w:rPr>
          <w:sz w:val="20"/>
          <w:szCs w:val="20"/>
        </w:rPr>
        <w:t xml:space="preserve"> do Word.</w:t>
      </w:r>
    </w:p>
    <w:p w14:paraId="69E9B9C1" w14:textId="77777777" w:rsidR="00C802EF" w:rsidRDefault="00C802EF">
      <w:pPr>
        <w:widowControl/>
        <w:ind w:firstLine="708"/>
        <w:jc w:val="both"/>
        <w:rPr>
          <w:sz w:val="20"/>
          <w:szCs w:val="20"/>
        </w:rPr>
      </w:pPr>
    </w:p>
    <w:p w14:paraId="46882357" w14:textId="77777777" w:rsidR="00C802EF" w:rsidRDefault="00000000">
      <w:pPr>
        <w:widowControl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114300" distR="114300" wp14:anchorId="67755EC7" wp14:editId="1CC1F174">
            <wp:extent cx="2019300" cy="19050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08E9A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em que: C a massa do cimento (g), M a massa das partículas (g) e TU% o teor de umidade das partículas.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BAC9FA9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  <w:r>
        <w:rPr>
          <w:b/>
          <w:sz w:val="20"/>
          <w:szCs w:val="20"/>
          <w:highlight w:val="yellow"/>
        </w:rPr>
        <w:t>(CAIXA ALTA, NEGRITO, TAMANHO 10, FONTE TIMES NEW ROMAN, ALINHAMENTO JUSTIFICADO)</w:t>
      </w:r>
    </w:p>
    <w:p w14:paraId="1875CFCB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AB15777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Tamanho 10, Fonte Times New Roman, alinhamento justificado, recuo especial na primeira linha de 1,25 cm em cada parágrafo, espaçamento simples.</w:t>
      </w:r>
    </w:p>
    <w:p w14:paraId="00755D55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Tabelas e figuras deverão ser incluídas ao longo do texto, com títulos em caixa baixa, exceto a letra inicial, em português e em inglês. As tabelas devem ser produzidas em editor de texto (Word) e não podem ser inseridas no texto como figuras. As figuras, compostas por gráficos, fotografias e mapas, não devem conter sombreamento e contorno. As dimensões (largura e altura) não devem ser maiores que 15cm, sempre com orientação da página </w:t>
      </w:r>
      <w:r>
        <w:rPr>
          <w:sz w:val="20"/>
          <w:szCs w:val="20"/>
        </w:rPr>
        <w:lastRenderedPageBreak/>
        <w:t>na forma retrato, com legendas na fonte Times New Roman, não-negrito e não-itálico. Os mapas devem ter escala gráfica. A soma do número de figuras e de tabelas não deve ultrapassar oito.</w:t>
      </w:r>
    </w:p>
    <w:p w14:paraId="318A24FA" w14:textId="77777777" w:rsidR="00C802EF" w:rsidRDefault="00000000">
      <w:pPr>
        <w:widowControl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114300" distR="114300" wp14:anchorId="5758BDF7" wp14:editId="70B9ABDA">
            <wp:extent cx="3376295" cy="240601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9"/>
                    <a:srcRect t="3070"/>
                    <a:stretch/>
                  </pic:blipFill>
                  <pic:spPr bwMode="auto">
                    <a:xfrm>
                      <a:off x="0" y="0"/>
                      <a:ext cx="3376295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94CE9" w14:textId="77777777" w:rsidR="00C802EF" w:rsidRDefault="00000000">
      <w:pPr>
        <w:widowControl/>
        <w:tabs>
          <w:tab w:val="left" w:pos="142"/>
        </w:tabs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Figura 1.</w:t>
      </w:r>
      <w:r>
        <w:rPr>
          <w:sz w:val="20"/>
          <w:szCs w:val="20"/>
        </w:rPr>
        <w:tab/>
        <w:t xml:space="preserve">Curvas exotérmicas de hidratação do cimento puro, do cimento misturado com madeira de </w:t>
      </w:r>
      <w:r>
        <w:rPr>
          <w:i/>
          <w:sz w:val="20"/>
          <w:szCs w:val="20"/>
        </w:rPr>
        <w:t xml:space="preserve">E. </w:t>
      </w:r>
      <w:proofErr w:type="spellStart"/>
      <w:r>
        <w:rPr>
          <w:i/>
          <w:sz w:val="20"/>
          <w:szCs w:val="20"/>
        </w:rPr>
        <w:t>saligna</w:t>
      </w:r>
      <w:proofErr w:type="spellEnd"/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e das misturas com adição de agentes aceleradores de cura.</w:t>
      </w:r>
    </w:p>
    <w:p w14:paraId="2EC84D91" w14:textId="77777777" w:rsidR="00C802EF" w:rsidRDefault="00C802EF">
      <w:pPr>
        <w:widowControl/>
        <w:ind w:left="851"/>
        <w:jc w:val="both"/>
        <w:rPr>
          <w:sz w:val="20"/>
          <w:szCs w:val="20"/>
        </w:rPr>
      </w:pPr>
    </w:p>
    <w:p w14:paraId="5554775F" w14:textId="77777777" w:rsidR="00C802EF" w:rsidRDefault="00000000">
      <w:pPr>
        <w:widowControl/>
        <w:ind w:left="851"/>
        <w:jc w:val="both"/>
        <w:rPr>
          <w:sz w:val="20"/>
          <w:szCs w:val="20"/>
        </w:rPr>
      </w:pPr>
      <w:r>
        <w:rPr>
          <w:sz w:val="20"/>
          <w:szCs w:val="20"/>
          <w:highlight w:val="yellow"/>
        </w:rPr>
        <w:t>Tamanho 10, Fonte Times New Roman, alinhamento justificado, recuo especial deslocamento de 1,5 cm, título abaixo da figura em português.</w:t>
      </w:r>
    </w:p>
    <w:p w14:paraId="247468D8" w14:textId="77777777" w:rsidR="00C802EF" w:rsidRDefault="00C802EF">
      <w:pPr>
        <w:widowControl/>
        <w:ind w:left="851"/>
        <w:jc w:val="both"/>
        <w:rPr>
          <w:sz w:val="20"/>
          <w:szCs w:val="20"/>
        </w:rPr>
      </w:pPr>
    </w:p>
    <w:p w14:paraId="20E6E2DD" w14:textId="77777777" w:rsidR="00C802EF" w:rsidRDefault="00000000">
      <w:pPr>
        <w:widowControl/>
        <w:ind w:left="851"/>
        <w:jc w:val="both"/>
        <w:rPr>
          <w:sz w:val="20"/>
          <w:szCs w:val="20"/>
        </w:rPr>
      </w:pPr>
      <w:r>
        <w:rPr>
          <w:sz w:val="20"/>
          <w:szCs w:val="20"/>
          <w:highlight w:val="yellow"/>
        </w:rPr>
        <w:t xml:space="preserve">Tamanho 10, Fonte Times New Roman, alinhamento justificado, recuo especial deslocamento de 1,5 cm, título acima da tabela em português. </w:t>
      </w:r>
    </w:p>
    <w:p w14:paraId="5499FB32" w14:textId="77777777" w:rsidR="00C802EF" w:rsidRDefault="00C802EF">
      <w:pPr>
        <w:widowControl/>
        <w:ind w:left="851"/>
        <w:jc w:val="both"/>
        <w:rPr>
          <w:sz w:val="20"/>
          <w:szCs w:val="20"/>
        </w:rPr>
      </w:pPr>
    </w:p>
    <w:p w14:paraId="32468EDF" w14:textId="77777777" w:rsidR="00C802EF" w:rsidRDefault="00000000">
      <w:pPr>
        <w:widowControl/>
        <w:ind w:left="851" w:hanging="851"/>
        <w:jc w:val="both"/>
        <w:rPr>
          <w:sz w:val="18"/>
          <w:szCs w:val="18"/>
        </w:rPr>
      </w:pPr>
      <w:r>
        <w:rPr>
          <w:sz w:val="20"/>
          <w:szCs w:val="20"/>
        </w:rPr>
        <w:t>Tabela 4.</w:t>
      </w:r>
      <w:r>
        <w:rPr>
          <w:sz w:val="20"/>
          <w:szCs w:val="20"/>
        </w:rPr>
        <w:tab/>
        <w:t xml:space="preserve">Propriedades físicas dos painéis cimento-madeira produzidos com e sem adição de aceleradores de </w:t>
      </w:r>
      <w:r>
        <w:rPr>
          <w:sz w:val="18"/>
          <w:szCs w:val="18"/>
        </w:rPr>
        <w:t>cura do cimento (CaCl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 xml:space="preserve"> e MgCl</w:t>
      </w:r>
      <w:r>
        <w:rPr>
          <w:sz w:val="18"/>
          <w:szCs w:val="18"/>
          <w:vertAlign w:val="subscript"/>
        </w:rPr>
        <w:t>2</w:t>
      </w:r>
      <w:r>
        <w:rPr>
          <w:sz w:val="18"/>
          <w:szCs w:val="18"/>
        </w:rPr>
        <w:t>).</w:t>
      </w:r>
    </w:p>
    <w:sdt>
      <w:sdtPr>
        <w:tag w:val="goog_rdk_0"/>
        <w:id w:val="753094134"/>
        <w:lock w:val="contentLocked"/>
      </w:sdtPr>
      <w:sdtContent>
        <w:tbl>
          <w:tblPr>
            <w:tblStyle w:val="a0"/>
            <w:tblW w:w="6752" w:type="dxa"/>
            <w:jc w:val="center"/>
            <w:tblInd w:w="0" w:type="dxa"/>
            <w:tblBorders>
              <w:top w:val="single" w:sz="4" w:space="0" w:color="000000"/>
              <w:left w:val="nil"/>
              <w:bottom w:val="single" w:sz="4" w:space="0" w:color="000000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465"/>
            <w:gridCol w:w="2243"/>
            <w:gridCol w:w="1441"/>
            <w:gridCol w:w="1603"/>
          </w:tblGrid>
          <w:tr w:rsidR="00C802EF" w14:paraId="696B1E1B" w14:textId="77777777">
            <w:trPr>
              <w:trHeight w:val="227"/>
              <w:jc w:val="center"/>
            </w:trPr>
            <w:tc>
              <w:tcPr>
                <w:tcW w:w="1465" w:type="dxa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57E3D574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Tratamento</w:t>
                </w:r>
              </w:p>
            </w:tc>
            <w:tc>
              <w:tcPr>
                <w:tcW w:w="2243" w:type="dxa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5A80B82D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Densidade (g/cm</w:t>
                </w:r>
                <w:r>
                  <w:rPr>
                    <w:b/>
                    <w:sz w:val="18"/>
                    <w:szCs w:val="18"/>
                    <w:vertAlign w:val="superscript"/>
                  </w:rPr>
                  <w:t>3</w:t>
                </w:r>
                <w:r>
                  <w:rPr>
                    <w:b/>
                    <w:sz w:val="18"/>
                    <w:szCs w:val="18"/>
                  </w:rPr>
                  <w:t>)</w:t>
                </w:r>
              </w:p>
            </w:tc>
            <w:tc>
              <w:tcPr>
                <w:tcW w:w="1441" w:type="dxa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17268BEA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AA 2h (%)</w:t>
                </w:r>
              </w:p>
            </w:tc>
            <w:tc>
              <w:tcPr>
                <w:tcW w:w="1603" w:type="dxa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3CD24342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AA 24h (%)</w:t>
                </w:r>
              </w:p>
            </w:tc>
          </w:tr>
          <w:tr w:rsidR="00C802EF" w14:paraId="6C9B82CB" w14:textId="77777777">
            <w:trPr>
              <w:trHeight w:val="227"/>
              <w:jc w:val="center"/>
            </w:trPr>
            <w:tc>
              <w:tcPr>
                <w:tcW w:w="1465" w:type="dxa"/>
                <w:tcBorders>
                  <w:top w:val="single" w:sz="4" w:space="0" w:color="000000"/>
                </w:tcBorders>
                <w:vAlign w:val="center"/>
              </w:tcPr>
              <w:p w14:paraId="4D6ED790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T1</w:t>
                </w:r>
              </w:p>
            </w:tc>
            <w:tc>
              <w:tcPr>
                <w:tcW w:w="2243" w:type="dxa"/>
                <w:tcBorders>
                  <w:top w:val="single" w:sz="4" w:space="0" w:color="000000"/>
                </w:tcBorders>
                <w:vAlign w:val="center"/>
              </w:tcPr>
              <w:p w14:paraId="30507C6A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0,89</w:t>
                </w:r>
                <w:r>
                  <w:rPr>
                    <w:sz w:val="18"/>
                    <w:szCs w:val="18"/>
                    <w:vertAlign w:val="superscript"/>
                  </w:rPr>
                  <w:t>b</w:t>
                </w:r>
              </w:p>
              <w:p w14:paraId="1AC1C4D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(8,14)</w:t>
                </w:r>
              </w:p>
            </w:tc>
            <w:tc>
              <w:tcPr>
                <w:tcW w:w="1441" w:type="dxa"/>
                <w:tcBorders>
                  <w:top w:val="single" w:sz="4" w:space="0" w:color="000000"/>
                </w:tcBorders>
                <w:vAlign w:val="center"/>
              </w:tcPr>
              <w:p w14:paraId="16A8B616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38,43</w:t>
                </w:r>
                <w:r>
                  <w:rPr>
                    <w:sz w:val="18"/>
                    <w:szCs w:val="18"/>
                    <w:vertAlign w:val="superscript"/>
                  </w:rPr>
                  <w:t>c</w:t>
                </w:r>
              </w:p>
              <w:p w14:paraId="615E1EE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(11,90)</w:t>
                </w:r>
              </w:p>
            </w:tc>
            <w:tc>
              <w:tcPr>
                <w:tcW w:w="1603" w:type="dxa"/>
                <w:tcBorders>
                  <w:top w:val="single" w:sz="4" w:space="0" w:color="000000"/>
                </w:tcBorders>
                <w:vAlign w:val="center"/>
              </w:tcPr>
              <w:p w14:paraId="72D3F3CE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45,46</w:t>
                </w:r>
                <w:r>
                  <w:rPr>
                    <w:sz w:val="18"/>
                    <w:szCs w:val="18"/>
                    <w:vertAlign w:val="superscript"/>
                  </w:rPr>
                  <w:t>b</w:t>
                </w:r>
              </w:p>
              <w:p w14:paraId="483D240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(11,30)</w:t>
                </w:r>
              </w:p>
            </w:tc>
          </w:tr>
          <w:tr w:rsidR="00C802EF" w14:paraId="61BA75C5" w14:textId="77777777">
            <w:trPr>
              <w:trHeight w:val="227"/>
              <w:jc w:val="center"/>
            </w:trPr>
            <w:tc>
              <w:tcPr>
                <w:tcW w:w="1465" w:type="dxa"/>
                <w:tcBorders>
                  <w:bottom w:val="nil"/>
                </w:tcBorders>
                <w:vAlign w:val="center"/>
              </w:tcPr>
              <w:p w14:paraId="24F5A1AE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T2</w:t>
                </w:r>
              </w:p>
            </w:tc>
            <w:tc>
              <w:tcPr>
                <w:tcW w:w="2243" w:type="dxa"/>
                <w:tcBorders>
                  <w:bottom w:val="nil"/>
                </w:tcBorders>
                <w:vAlign w:val="center"/>
              </w:tcPr>
              <w:p w14:paraId="7E485478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1,06</w:t>
                </w:r>
                <w:r>
                  <w:rPr>
                    <w:sz w:val="18"/>
                    <w:szCs w:val="18"/>
                    <w:vertAlign w:val="superscript"/>
                  </w:rPr>
                  <w:t>a</w:t>
                </w:r>
              </w:p>
              <w:p w14:paraId="37DD6BA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(3,85)</w:t>
                </w:r>
              </w:p>
            </w:tc>
            <w:tc>
              <w:tcPr>
                <w:tcW w:w="1441" w:type="dxa"/>
                <w:tcBorders>
                  <w:bottom w:val="nil"/>
                </w:tcBorders>
                <w:vAlign w:val="center"/>
              </w:tcPr>
              <w:p w14:paraId="447749B8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21,89</w:t>
                </w:r>
                <w:r>
                  <w:rPr>
                    <w:sz w:val="18"/>
                    <w:szCs w:val="18"/>
                    <w:vertAlign w:val="superscript"/>
                  </w:rPr>
                  <w:t>d</w:t>
                </w:r>
              </w:p>
              <w:p w14:paraId="2F53FB33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(8,11)</w:t>
                </w:r>
              </w:p>
            </w:tc>
            <w:tc>
              <w:tcPr>
                <w:tcW w:w="1603" w:type="dxa"/>
                <w:tcBorders>
                  <w:bottom w:val="nil"/>
                </w:tcBorders>
                <w:vAlign w:val="center"/>
              </w:tcPr>
              <w:p w14:paraId="43D8A7D2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29,11</w:t>
                </w:r>
                <w:r>
                  <w:rPr>
                    <w:sz w:val="18"/>
                    <w:szCs w:val="18"/>
                    <w:vertAlign w:val="superscript"/>
                  </w:rPr>
                  <w:t>c</w:t>
                </w:r>
              </w:p>
              <w:p w14:paraId="69AB0A63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(7,87)</w:t>
                </w:r>
              </w:p>
            </w:tc>
          </w:tr>
          <w:tr w:rsidR="00C802EF" w14:paraId="2A0AE5F0" w14:textId="77777777">
            <w:trPr>
              <w:trHeight w:val="227"/>
              <w:jc w:val="center"/>
            </w:trPr>
            <w:tc>
              <w:tcPr>
                <w:tcW w:w="1465" w:type="dxa"/>
                <w:tcBorders>
                  <w:top w:val="nil"/>
                  <w:bottom w:val="nil"/>
                </w:tcBorders>
                <w:vAlign w:val="center"/>
              </w:tcPr>
              <w:p w14:paraId="4944DF6E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T3</w:t>
                </w:r>
              </w:p>
            </w:tc>
            <w:tc>
              <w:tcPr>
                <w:tcW w:w="2243" w:type="dxa"/>
                <w:tcBorders>
                  <w:top w:val="nil"/>
                  <w:bottom w:val="nil"/>
                </w:tcBorders>
                <w:vAlign w:val="center"/>
              </w:tcPr>
              <w:p w14:paraId="723C6922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1,01</w:t>
                </w:r>
                <w:r>
                  <w:rPr>
                    <w:sz w:val="18"/>
                    <w:szCs w:val="18"/>
                    <w:vertAlign w:val="superscript"/>
                  </w:rPr>
                  <w:t>a</w:t>
                </w:r>
              </w:p>
              <w:p w14:paraId="129A25F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(5,28)</w:t>
                </w:r>
              </w:p>
            </w:tc>
            <w:tc>
              <w:tcPr>
                <w:tcW w:w="1441" w:type="dxa"/>
                <w:tcBorders>
                  <w:top w:val="nil"/>
                  <w:bottom w:val="nil"/>
                </w:tcBorders>
                <w:vAlign w:val="center"/>
              </w:tcPr>
              <w:p w14:paraId="3EAECAFF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27,14</w:t>
                </w:r>
                <w:r>
                  <w:rPr>
                    <w:sz w:val="18"/>
                    <w:szCs w:val="18"/>
                    <w:vertAlign w:val="superscript"/>
                  </w:rPr>
                  <w:t>d</w:t>
                </w:r>
              </w:p>
              <w:p w14:paraId="52AE6BCE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(12,69)</w:t>
                </w:r>
              </w:p>
            </w:tc>
            <w:tc>
              <w:tcPr>
                <w:tcW w:w="1603" w:type="dxa"/>
                <w:tcBorders>
                  <w:top w:val="nil"/>
                  <w:bottom w:val="nil"/>
                </w:tcBorders>
                <w:vAlign w:val="center"/>
              </w:tcPr>
              <w:p w14:paraId="086AAF82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32,66</w:t>
                </w:r>
                <w:r>
                  <w:rPr>
                    <w:sz w:val="18"/>
                    <w:szCs w:val="18"/>
                    <w:vertAlign w:val="superscript"/>
                  </w:rPr>
                  <w:t>c</w:t>
                </w:r>
              </w:p>
              <w:p w14:paraId="7FDBB06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(12,01)</w:t>
                </w:r>
              </w:p>
            </w:tc>
          </w:tr>
          <w:tr w:rsidR="00C802EF" w14:paraId="45B17A7C" w14:textId="77777777">
            <w:trPr>
              <w:trHeight w:val="227"/>
              <w:jc w:val="center"/>
            </w:trPr>
            <w:tc>
              <w:tcPr>
                <w:tcW w:w="1465" w:type="dxa"/>
                <w:tcBorders>
                  <w:top w:val="nil"/>
                </w:tcBorders>
                <w:vAlign w:val="center"/>
              </w:tcPr>
              <w:p w14:paraId="7F23FA88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T4</w:t>
                </w:r>
              </w:p>
            </w:tc>
            <w:tc>
              <w:tcPr>
                <w:tcW w:w="2243" w:type="dxa"/>
                <w:tcBorders>
                  <w:top w:val="nil"/>
                </w:tcBorders>
                <w:vAlign w:val="center"/>
              </w:tcPr>
              <w:p w14:paraId="224F2526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0,72</w:t>
                </w:r>
                <w:r>
                  <w:rPr>
                    <w:sz w:val="18"/>
                    <w:szCs w:val="18"/>
                    <w:vertAlign w:val="superscript"/>
                  </w:rPr>
                  <w:t>c</w:t>
                </w:r>
              </w:p>
              <w:p w14:paraId="5150F27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(3,91)</w:t>
                </w:r>
              </w:p>
            </w:tc>
            <w:tc>
              <w:tcPr>
                <w:tcW w:w="1441" w:type="dxa"/>
                <w:tcBorders>
                  <w:top w:val="nil"/>
                </w:tcBorders>
                <w:vAlign w:val="center"/>
              </w:tcPr>
              <w:p w14:paraId="2972293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55,59</w:t>
                </w:r>
                <w:r>
                  <w:rPr>
                    <w:sz w:val="18"/>
                    <w:szCs w:val="18"/>
                    <w:vertAlign w:val="superscript"/>
                  </w:rPr>
                  <w:t>a</w:t>
                </w:r>
              </w:p>
              <w:p w14:paraId="1BA37A4C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(4,55)</w:t>
                </w:r>
              </w:p>
            </w:tc>
            <w:tc>
              <w:tcPr>
                <w:tcW w:w="1603" w:type="dxa"/>
                <w:tcBorders>
                  <w:top w:val="nil"/>
                </w:tcBorders>
                <w:vAlign w:val="center"/>
              </w:tcPr>
              <w:p w14:paraId="6997773F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62,83</w:t>
                </w:r>
                <w:r>
                  <w:rPr>
                    <w:sz w:val="18"/>
                    <w:szCs w:val="18"/>
                    <w:vertAlign w:val="superscript"/>
                  </w:rPr>
                  <w:t>a</w:t>
                </w:r>
              </w:p>
              <w:p w14:paraId="72C68A38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(5,42)</w:t>
                </w:r>
              </w:p>
            </w:tc>
          </w:tr>
          <w:tr w:rsidR="00C802EF" w14:paraId="0A9556DF" w14:textId="77777777">
            <w:trPr>
              <w:trHeight w:val="227"/>
              <w:jc w:val="center"/>
            </w:trPr>
            <w:tc>
              <w:tcPr>
                <w:tcW w:w="1465" w:type="dxa"/>
                <w:vAlign w:val="center"/>
              </w:tcPr>
              <w:p w14:paraId="44B4AF81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T5</w:t>
                </w:r>
              </w:p>
            </w:tc>
            <w:tc>
              <w:tcPr>
                <w:tcW w:w="2243" w:type="dxa"/>
                <w:vAlign w:val="center"/>
              </w:tcPr>
              <w:p w14:paraId="62BDB423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0,77</w:t>
                </w:r>
                <w:r>
                  <w:rPr>
                    <w:sz w:val="18"/>
                    <w:szCs w:val="18"/>
                    <w:vertAlign w:val="superscript"/>
                  </w:rPr>
                  <w:t>c</w:t>
                </w:r>
              </w:p>
              <w:p w14:paraId="22B49F79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(3,51)</w:t>
                </w:r>
              </w:p>
            </w:tc>
            <w:tc>
              <w:tcPr>
                <w:tcW w:w="1441" w:type="dxa"/>
                <w:vAlign w:val="center"/>
              </w:tcPr>
              <w:p w14:paraId="0656A8FF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41,29</w:t>
                </w:r>
                <w:r>
                  <w:rPr>
                    <w:sz w:val="18"/>
                    <w:szCs w:val="18"/>
                    <w:vertAlign w:val="superscript"/>
                  </w:rPr>
                  <w:t>bc</w:t>
                </w:r>
              </w:p>
              <w:p w14:paraId="459DEF6A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(9,64)</w:t>
                </w:r>
              </w:p>
            </w:tc>
            <w:tc>
              <w:tcPr>
                <w:tcW w:w="1603" w:type="dxa"/>
                <w:vAlign w:val="center"/>
              </w:tcPr>
              <w:p w14:paraId="56F698DD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44,07</w:t>
                </w:r>
                <w:r>
                  <w:rPr>
                    <w:sz w:val="18"/>
                    <w:szCs w:val="18"/>
                    <w:vertAlign w:val="superscript"/>
                  </w:rPr>
                  <w:t>b</w:t>
                </w:r>
              </w:p>
              <w:p w14:paraId="4D532A9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(7,53)</w:t>
                </w:r>
              </w:p>
            </w:tc>
          </w:tr>
          <w:tr w:rsidR="00C802EF" w14:paraId="2E6D2303" w14:textId="77777777">
            <w:trPr>
              <w:trHeight w:val="227"/>
              <w:jc w:val="center"/>
            </w:trPr>
            <w:tc>
              <w:tcPr>
                <w:tcW w:w="1465" w:type="dxa"/>
                <w:tcBorders>
                  <w:bottom w:val="single" w:sz="4" w:space="0" w:color="000000"/>
                </w:tcBorders>
                <w:vAlign w:val="center"/>
              </w:tcPr>
              <w:p w14:paraId="1E325A18" w14:textId="77777777" w:rsidR="00C802EF" w:rsidRDefault="00000000">
                <w:pPr>
                  <w:widowControl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T6</w:t>
                </w:r>
              </w:p>
            </w:tc>
            <w:tc>
              <w:tcPr>
                <w:tcW w:w="2243" w:type="dxa"/>
                <w:tcBorders>
                  <w:bottom w:val="single" w:sz="4" w:space="0" w:color="000000"/>
                </w:tcBorders>
                <w:vAlign w:val="center"/>
              </w:tcPr>
              <w:p w14:paraId="0CB6FD39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0,75</w:t>
                </w:r>
                <w:r>
                  <w:rPr>
                    <w:sz w:val="18"/>
                    <w:szCs w:val="18"/>
                    <w:vertAlign w:val="superscript"/>
                  </w:rPr>
                  <w:t>c</w:t>
                </w:r>
              </w:p>
              <w:p w14:paraId="631D3784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(4,24)</w:t>
                </w:r>
              </w:p>
            </w:tc>
            <w:tc>
              <w:tcPr>
                <w:tcW w:w="1441" w:type="dxa"/>
                <w:tcBorders>
                  <w:bottom w:val="single" w:sz="4" w:space="0" w:color="000000"/>
                </w:tcBorders>
                <w:vAlign w:val="center"/>
              </w:tcPr>
              <w:p w14:paraId="72E7AB8D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45,82</w:t>
                </w:r>
                <w:r>
                  <w:rPr>
                    <w:sz w:val="18"/>
                    <w:szCs w:val="18"/>
                    <w:vertAlign w:val="superscript"/>
                  </w:rPr>
                  <w:t>b</w:t>
                </w:r>
              </w:p>
              <w:p w14:paraId="3CAD2FF1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(5,81)</w:t>
                </w:r>
              </w:p>
            </w:tc>
            <w:tc>
              <w:tcPr>
                <w:tcW w:w="1603" w:type="dxa"/>
                <w:tcBorders>
                  <w:bottom w:val="single" w:sz="4" w:space="0" w:color="000000"/>
                </w:tcBorders>
                <w:vAlign w:val="center"/>
              </w:tcPr>
              <w:p w14:paraId="5B1503CB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  <w:vertAlign w:val="superscript"/>
                  </w:rPr>
                </w:pPr>
                <w:r>
                  <w:rPr>
                    <w:sz w:val="18"/>
                    <w:szCs w:val="18"/>
                  </w:rPr>
                  <w:t>48,62</w:t>
                </w:r>
                <w:r>
                  <w:rPr>
                    <w:sz w:val="18"/>
                    <w:szCs w:val="18"/>
                    <w:vertAlign w:val="superscript"/>
                  </w:rPr>
                  <w:t>b</w:t>
                </w:r>
              </w:p>
              <w:p w14:paraId="503F7B61" w14:textId="77777777" w:rsidR="00C802EF" w:rsidRDefault="00000000">
                <w:pPr>
                  <w:widowControl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(4,95)</w:t>
                </w:r>
              </w:p>
            </w:tc>
          </w:tr>
        </w:tbl>
      </w:sdtContent>
    </w:sdt>
    <w:p w14:paraId="2BE4FDB6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Legenda: AA, absorção de água após 2 ou 24 horas; e IE, o inchamento em espessura após 2 e 24 horas; </w:t>
      </w:r>
      <w:proofErr w:type="gramStart"/>
      <w:r>
        <w:rPr>
          <w:sz w:val="20"/>
          <w:szCs w:val="20"/>
        </w:rPr>
        <w:t>Médias</w:t>
      </w:r>
      <w:proofErr w:type="gramEnd"/>
      <w:r>
        <w:rPr>
          <w:sz w:val="20"/>
          <w:szCs w:val="20"/>
        </w:rPr>
        <w:t xml:space="preserve"> seguidas pela mesma letra, dentro da mesma coluna, não diferem estatisticamente ao nível de 5% de probabilidade pelo teste de </w:t>
      </w:r>
      <w:proofErr w:type="spellStart"/>
      <w:r>
        <w:rPr>
          <w:sz w:val="20"/>
          <w:szCs w:val="20"/>
        </w:rPr>
        <w:t>Tukey</w:t>
      </w:r>
      <w:proofErr w:type="spellEnd"/>
      <w:r>
        <w:rPr>
          <w:sz w:val="20"/>
          <w:szCs w:val="20"/>
        </w:rPr>
        <w:t>; Valores entre parênteses indicam o coeficiente de variação (%).</w:t>
      </w:r>
    </w:p>
    <w:p w14:paraId="0AE5FDDF" w14:textId="77777777" w:rsidR="00C802EF" w:rsidRDefault="00000000">
      <w:pPr>
        <w:widowControl/>
        <w:ind w:left="851"/>
        <w:jc w:val="both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Rodapé da tabela: Tamanho 8, Fonte Times New Roman, alinhamento justificado, sem recuo.</w:t>
      </w:r>
    </w:p>
    <w:p w14:paraId="344903D1" w14:textId="77777777" w:rsidR="00C802EF" w:rsidRDefault="00C802EF">
      <w:pPr>
        <w:widowControl/>
        <w:ind w:left="851"/>
        <w:jc w:val="both"/>
        <w:rPr>
          <w:b/>
          <w:sz w:val="20"/>
          <w:szCs w:val="20"/>
        </w:rPr>
      </w:pPr>
    </w:p>
    <w:p w14:paraId="70243E6B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  <w:r>
        <w:rPr>
          <w:b/>
          <w:sz w:val="20"/>
          <w:szCs w:val="20"/>
          <w:highlight w:val="yellow"/>
        </w:rPr>
        <w:t>(CAIXA ALTA, NEGRITO, TAMANHO 10, FONTE TIMES NEW ROMAN, ALINHAMENTO JUSTIFICADO)</w:t>
      </w:r>
    </w:p>
    <w:p w14:paraId="397B7260" w14:textId="77777777" w:rsidR="00C802EF" w:rsidRDefault="00C802EF">
      <w:pPr>
        <w:widowControl/>
        <w:rPr>
          <w:sz w:val="20"/>
          <w:szCs w:val="20"/>
        </w:rPr>
      </w:pPr>
    </w:p>
    <w:p w14:paraId="4FDFAF1B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yellow"/>
        </w:rPr>
        <w:t>Tamanho 10, Fonte Times New Roman, alinhamento justificado, espaçamento simples. Os itens seguem a mesma formatação com recuo especial deslocamento 0,63 cm.</w:t>
      </w:r>
      <w:r>
        <w:rPr>
          <w:sz w:val="20"/>
          <w:szCs w:val="20"/>
        </w:rPr>
        <w:t xml:space="preserve"> </w:t>
      </w:r>
    </w:p>
    <w:p w14:paraId="534D7DAB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Podem ser organizadas em forma de itens e não se admite citações bibliográficas. Por exemplo:</w:t>
      </w:r>
    </w:p>
    <w:p w14:paraId="5EDAE14F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0E028BE3" w14:textId="77777777" w:rsidR="00C802EF" w:rsidRDefault="00000000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extração do óleo essencial das folhas de </w:t>
      </w:r>
      <w:r>
        <w:rPr>
          <w:i/>
          <w:sz w:val="20"/>
          <w:szCs w:val="20"/>
        </w:rPr>
        <w:t>D</w:t>
      </w:r>
      <w:r>
        <w:rPr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angustifolia</w:t>
      </w:r>
      <w:proofErr w:type="spellEnd"/>
      <w:r>
        <w:rPr>
          <w:sz w:val="20"/>
          <w:szCs w:val="20"/>
        </w:rPr>
        <w:t xml:space="preserve"> em equipamento industrial demonstra ser viável, sendo possível obter óleo essencial de folhas frescas e secas.</w:t>
      </w:r>
    </w:p>
    <w:p w14:paraId="12BD446E" w14:textId="77777777" w:rsidR="00C802EF" w:rsidRDefault="00000000">
      <w:pPr>
        <w:widowControl/>
        <w:numPr>
          <w:ilvl w:val="0"/>
          <w:numId w:val="1"/>
        </w:numPr>
        <w:ind w:left="357"/>
        <w:jc w:val="both"/>
        <w:rPr>
          <w:sz w:val="20"/>
          <w:szCs w:val="20"/>
        </w:rPr>
      </w:pPr>
      <w:r>
        <w:rPr>
          <w:sz w:val="20"/>
          <w:szCs w:val="20"/>
        </w:rPr>
        <w:t>O percentual de rendimento da extração do óleo essencial das folhas secas é maior quando comparado ao percentual obtido com a extração realizada com as folhas frescas.</w:t>
      </w:r>
    </w:p>
    <w:p w14:paraId="01F6F5F3" w14:textId="77777777" w:rsidR="00C802EF" w:rsidRDefault="00C802EF">
      <w:pPr>
        <w:widowControl/>
        <w:jc w:val="both"/>
        <w:rPr>
          <w:sz w:val="20"/>
          <w:szCs w:val="20"/>
        </w:rPr>
      </w:pPr>
    </w:p>
    <w:p w14:paraId="7A46116A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AGRADECIMENTOS </w:t>
      </w:r>
      <w:r>
        <w:rPr>
          <w:b/>
          <w:sz w:val="20"/>
          <w:szCs w:val="20"/>
          <w:highlight w:val="yellow"/>
        </w:rPr>
        <w:t>(CAIXA ALTA, NEGRITO, TAMANHO 10, FONTE TIMES NEW ROMAN, ALINHAMENTO JUSTIFICADO)</w:t>
      </w:r>
    </w:p>
    <w:p w14:paraId="6D16FACE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5A0A5F3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yellow"/>
        </w:rPr>
        <w:t>Tamanho 10, Fonte Times New Roman, alinhamento justificado, recuo especial na primeira linha de 1,25 cm em cada parágrafo, espaçamento simples.</w:t>
      </w:r>
    </w:p>
    <w:p w14:paraId="1F0B3186" w14:textId="77777777" w:rsidR="00C802EF" w:rsidRDefault="00000000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Item opcional. Se não houver agradecimentos o tópico deve ser suprimido.</w:t>
      </w: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06068CAE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  <w:r>
        <w:rPr>
          <w:b/>
          <w:sz w:val="20"/>
          <w:szCs w:val="20"/>
          <w:highlight w:val="yellow"/>
        </w:rPr>
        <w:t>(CAIXA ALTA, NEGRITO, TAMANHO 10, FONTE TIMES NEW ROMAN, ALINHAMENTO JUSTIFICADO)</w:t>
      </w:r>
    </w:p>
    <w:p w14:paraId="444FAB74" w14:textId="77777777" w:rsidR="00C802EF" w:rsidRDefault="00C802EF">
      <w:pPr>
        <w:widowControl/>
        <w:jc w:val="both"/>
        <w:rPr>
          <w:sz w:val="20"/>
          <w:szCs w:val="20"/>
        </w:rPr>
      </w:pPr>
    </w:p>
    <w:p w14:paraId="3F715C7B" w14:textId="77777777" w:rsidR="00C802EF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  <w:highlight w:val="yellow"/>
        </w:rPr>
        <w:t>Tamanho 10, Fonte Times New Roman, alinhamento justificado, espaçamento entre linhas simples, espaçamento depois: 6 pts.</w:t>
      </w:r>
    </w:p>
    <w:p w14:paraId="7AF59E44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Pelo menos 70% das referências devem ser de artigos científicos dos últimos 10 anos. O número de citações não deve ultrapassar a 25. As citações que estiverem em texto corrente devem estar em caixa baixa e as entre parênteses, em caixa alta. Quando houver três ou mais autores, a citação será feita utilizando-se “</w:t>
      </w:r>
      <w:r>
        <w:rPr>
          <w:i/>
          <w:sz w:val="20"/>
          <w:szCs w:val="20"/>
        </w:rPr>
        <w:t>et al</w:t>
      </w:r>
      <w:r>
        <w:rPr>
          <w:sz w:val="20"/>
          <w:szCs w:val="20"/>
        </w:rPr>
        <w:t xml:space="preserve">.” (em itálico). Todos os autores deverão ser citados nas referências. Ex.: Martins (2009); Campos e Leite (2009); </w:t>
      </w:r>
      <w:proofErr w:type="spellStart"/>
      <w:r>
        <w:rPr>
          <w:sz w:val="20"/>
          <w:szCs w:val="20"/>
        </w:rPr>
        <w:t>Wendling</w:t>
      </w:r>
      <w:proofErr w:type="spellEnd"/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et al</w:t>
      </w:r>
      <w:r>
        <w:rPr>
          <w:sz w:val="20"/>
          <w:szCs w:val="20"/>
        </w:rPr>
        <w:t xml:space="preserve">. (2014); (LARCHER, 2006); (BARBOSA; FARIA, 2006); (VENDRAMINI </w:t>
      </w:r>
      <w:r>
        <w:rPr>
          <w:i/>
          <w:sz w:val="20"/>
          <w:szCs w:val="20"/>
        </w:rPr>
        <w:t>et al</w:t>
      </w:r>
      <w:r>
        <w:rPr>
          <w:sz w:val="20"/>
          <w:szCs w:val="20"/>
        </w:rPr>
        <w:t>., 2011). Quando houver mais de uma referência do mesmo autor em um mesmo ano, essas deverão ser distinguidas por letra minúscula após a data. Ex.: Machado (2011a); Machado (2011b). As referências bibliográficas devem estar em ordem alfabética, seguindo as normas da ABNT-NBR - 6023, assim como outros aspectos não contemplados nesta normativa, conforme exemplos abaixo:</w:t>
      </w:r>
    </w:p>
    <w:p w14:paraId="3BC590C3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a) Livro:</w:t>
      </w:r>
    </w:p>
    <w:p w14:paraId="254F5EA2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TEIXEIRA, W.; TOLEDO, M. C. M. de; FAIRCHILD, T. R.; TAIOLI, F. </w:t>
      </w:r>
      <w:r>
        <w:rPr>
          <w:b/>
          <w:sz w:val="20"/>
          <w:szCs w:val="20"/>
        </w:rPr>
        <w:t>Decifrando a Terra</w:t>
      </w:r>
      <w:r>
        <w:rPr>
          <w:sz w:val="20"/>
          <w:szCs w:val="20"/>
        </w:rPr>
        <w:t>. São Paulo: Oficina de Textos, 2 ed. 2009, 624 p.</w:t>
      </w:r>
    </w:p>
    <w:p w14:paraId="70EE45DD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b) Capítulo de livro:</w:t>
      </w:r>
    </w:p>
    <w:p w14:paraId="7FFB2764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MARTINS, F. R.; BATALHA, M. A. Formas de vida, espectro biológico de </w:t>
      </w:r>
      <w:proofErr w:type="spellStart"/>
      <w:r>
        <w:rPr>
          <w:sz w:val="20"/>
          <w:szCs w:val="20"/>
        </w:rPr>
        <w:t>Raunkiaer</w:t>
      </w:r>
      <w:proofErr w:type="spellEnd"/>
      <w:r>
        <w:rPr>
          <w:sz w:val="20"/>
          <w:szCs w:val="20"/>
        </w:rPr>
        <w:t xml:space="preserve"> e fisionomia da vegetação. In: FELFILI, J. M.; ENSENLOHR, P. V.; MELO, M. M, da R. F. de; ANDRADE, L. A. de; MEIRA NETO, J. A. A. </w:t>
      </w:r>
      <w:r>
        <w:rPr>
          <w:b/>
          <w:sz w:val="20"/>
          <w:szCs w:val="20"/>
        </w:rPr>
        <w:t>Fitossociologia no Brasil</w:t>
      </w:r>
      <w:r>
        <w:rPr>
          <w:sz w:val="20"/>
          <w:szCs w:val="20"/>
        </w:rPr>
        <w:t>: métodos e estudos de caso. Viçosa: Ed. UFV, 2011, 556 p.</w:t>
      </w:r>
    </w:p>
    <w:p w14:paraId="61232E1F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c) Artigo de periódico:</w:t>
      </w:r>
    </w:p>
    <w:p w14:paraId="1DAD52C6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PEREIRA, L. A.; PINTO SOBRINHO, F. de A.; COSTA NETO, S. V. Florística e estrutura de uma mata de terra firme na reserva de desenvolvimento sustentável rio </w:t>
      </w:r>
      <w:proofErr w:type="spellStart"/>
      <w:r>
        <w:rPr>
          <w:sz w:val="20"/>
          <w:szCs w:val="20"/>
        </w:rPr>
        <w:t>Iratapuru</w:t>
      </w:r>
      <w:proofErr w:type="spellEnd"/>
      <w:r>
        <w:rPr>
          <w:sz w:val="20"/>
          <w:szCs w:val="20"/>
        </w:rPr>
        <w:t xml:space="preserve">, Amapá, Amazônia Oriental, Brasil. </w:t>
      </w:r>
      <w:r>
        <w:rPr>
          <w:b/>
          <w:sz w:val="20"/>
          <w:szCs w:val="20"/>
        </w:rPr>
        <w:t>Floresta</w:t>
      </w:r>
      <w:r>
        <w:rPr>
          <w:sz w:val="20"/>
          <w:szCs w:val="20"/>
        </w:rPr>
        <w:t>, Curitiba, v. 41, n. 1, p. 113 - 122, 2011.</w:t>
      </w:r>
    </w:p>
    <w:p w14:paraId="1D4D44E8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COPENHAVER, P. E.; TINKER, D. B. Stand </w:t>
      </w:r>
      <w:proofErr w:type="spellStart"/>
      <w:r>
        <w:rPr>
          <w:sz w:val="20"/>
          <w:szCs w:val="20"/>
        </w:rPr>
        <w:t>density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age </w:t>
      </w:r>
      <w:proofErr w:type="spellStart"/>
      <w:r>
        <w:rPr>
          <w:sz w:val="20"/>
          <w:szCs w:val="20"/>
        </w:rPr>
        <w:t>affect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tree-level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structural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functional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characteristics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young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postfire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lodgepole</w:t>
      </w:r>
      <w:proofErr w:type="spellEnd"/>
      <w:r>
        <w:rPr>
          <w:sz w:val="20"/>
          <w:szCs w:val="20"/>
        </w:rPr>
        <w:t xml:space="preserve"> pine in Yellowstone </w:t>
      </w:r>
      <w:proofErr w:type="spellStart"/>
      <w:r>
        <w:rPr>
          <w:sz w:val="20"/>
          <w:szCs w:val="20"/>
        </w:rPr>
        <w:t>National</w:t>
      </w:r>
      <w:proofErr w:type="spellEnd"/>
      <w:r>
        <w:rPr>
          <w:sz w:val="20"/>
          <w:szCs w:val="20"/>
        </w:rPr>
        <w:t xml:space="preserve"> Park, </w:t>
      </w:r>
      <w:r>
        <w:rPr>
          <w:b/>
          <w:sz w:val="20"/>
          <w:szCs w:val="20"/>
        </w:rPr>
        <w:t xml:space="preserve">Forest </w:t>
      </w:r>
      <w:proofErr w:type="spellStart"/>
      <w:r>
        <w:rPr>
          <w:b/>
          <w:sz w:val="20"/>
          <w:szCs w:val="20"/>
        </w:rPr>
        <w:t>Ecology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and</w:t>
      </w:r>
      <w:proofErr w:type="spellEnd"/>
      <w:r>
        <w:rPr>
          <w:b/>
          <w:sz w:val="20"/>
          <w:szCs w:val="20"/>
        </w:rPr>
        <w:t xml:space="preserve"> Management,</w:t>
      </w:r>
      <w:r>
        <w:rPr>
          <w:sz w:val="20"/>
          <w:szCs w:val="20"/>
        </w:rPr>
        <w:t xml:space="preserve"> Amsterdam, v. 320, p. 138 - 148, 2014.</w:t>
      </w:r>
    </w:p>
    <w:p w14:paraId="38593CFE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e) Internet:</w:t>
      </w:r>
    </w:p>
    <w:p w14:paraId="5285A567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MISSOURI BOTANICAL GARDEN (MOBOT). </w:t>
      </w:r>
      <w:r>
        <w:rPr>
          <w:b/>
          <w:sz w:val="20"/>
          <w:szCs w:val="20"/>
        </w:rPr>
        <w:t xml:space="preserve">Explore </w:t>
      </w:r>
      <w:proofErr w:type="spellStart"/>
      <w:r>
        <w:rPr>
          <w:b/>
          <w:sz w:val="20"/>
          <w:szCs w:val="20"/>
        </w:rPr>
        <w:t>the</w:t>
      </w:r>
      <w:proofErr w:type="spellEnd"/>
      <w:r>
        <w:rPr>
          <w:b/>
          <w:sz w:val="20"/>
          <w:szCs w:val="20"/>
        </w:rPr>
        <w:t xml:space="preserve"> beta release </w:t>
      </w:r>
      <w:proofErr w:type="spellStart"/>
      <w:r>
        <w:rPr>
          <w:b/>
          <w:sz w:val="20"/>
          <w:szCs w:val="20"/>
        </w:rPr>
        <w:t>of</w:t>
      </w:r>
      <w:proofErr w:type="spellEnd"/>
      <w:r>
        <w:rPr>
          <w:b/>
          <w:sz w:val="20"/>
          <w:szCs w:val="20"/>
        </w:rPr>
        <w:t xml:space="preserve"> web TROPICOS</w:t>
      </w:r>
      <w:r>
        <w:rPr>
          <w:sz w:val="20"/>
          <w:szCs w:val="20"/>
        </w:rPr>
        <w:t>. Disponível em: &lt;http://www.tropicos.org/&gt; Acesso em: 01 dez. 2014.</w:t>
      </w:r>
    </w:p>
    <w:p w14:paraId="6C27450B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f) Legislação:</w:t>
      </w:r>
    </w:p>
    <w:p w14:paraId="3990B507" w14:textId="77777777" w:rsidR="00C802EF" w:rsidRDefault="00000000">
      <w:pPr>
        <w:widowControl/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BRASIL. Lei nº 12.651, de 25 de maio de 2012. Dispõe sobre a proteção da vegetação nativa; altera as Leis nos 6.938, de 31 de agosto de 1981, 9.393, de 19 de dezembro de 1996, e 11.428, de 22 de dezembro de 2006; revoga as Leis nos 4.771, de 15 de setembro de 1965, e 7.754, de 14 de abril de 1989, e a Medida Provisória no 2.166-67, de 24 de agosto de 2001; e dá outras providências. </w:t>
      </w:r>
      <w:r>
        <w:rPr>
          <w:b/>
          <w:sz w:val="20"/>
          <w:szCs w:val="20"/>
        </w:rPr>
        <w:t>Diário Oficial da União</w:t>
      </w:r>
      <w:r>
        <w:rPr>
          <w:sz w:val="20"/>
          <w:szCs w:val="20"/>
        </w:rPr>
        <w:t>, Brasília, DF, vinte cinco de maio de 2012. Disponível em: &lt;http://www.planalto.gov.br/ccivil_03/_Ato2011-2014/2012/Lei/L12651.htm&gt;. Acesso em: 01 dez. 2014.</w:t>
      </w:r>
    </w:p>
    <w:p w14:paraId="7F7D9519" w14:textId="77777777" w:rsidR="00C802EF" w:rsidRDefault="00000000">
      <w:pPr>
        <w:spacing w:after="100"/>
        <w:jc w:val="both"/>
        <w:rPr>
          <w:sz w:val="20"/>
          <w:szCs w:val="20"/>
        </w:rPr>
      </w:pPr>
      <w:r>
        <w:rPr>
          <w:sz w:val="20"/>
          <w:szCs w:val="20"/>
        </w:rPr>
        <w:t>g) Norma Técnica:</w:t>
      </w:r>
    </w:p>
    <w:p w14:paraId="651165A5" w14:textId="1E02C202" w:rsidR="00C802EF" w:rsidRPr="001D53B6" w:rsidRDefault="00000000" w:rsidP="001D53B6">
      <w:pPr>
        <w:spacing w:after="10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ASSOCIAÇÃO BRASILEIRA DE NORMAS TÉCNICAS. </w:t>
      </w:r>
      <w:r>
        <w:rPr>
          <w:b/>
          <w:sz w:val="20"/>
          <w:szCs w:val="20"/>
        </w:rPr>
        <w:t>NBR 10520:</w:t>
      </w:r>
      <w:r>
        <w:rPr>
          <w:sz w:val="20"/>
          <w:szCs w:val="20"/>
        </w:rPr>
        <w:t xml:space="preserve"> informação e documentação: citações em documentos: apresentação. Rio de Janeiro, 2002.</w:t>
      </w:r>
    </w:p>
    <w:sectPr w:rsidR="00C802EF" w:rsidRPr="001D53B6" w:rsidSect="001D53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391F2" w14:textId="77777777" w:rsidR="00987143" w:rsidRDefault="00987143">
      <w:r>
        <w:separator/>
      </w:r>
    </w:p>
  </w:endnote>
  <w:endnote w:type="continuationSeparator" w:id="0">
    <w:p w14:paraId="6A67BB33" w14:textId="77777777" w:rsidR="00987143" w:rsidRDefault="00987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1BA96E4-08EF-44FF-99E3-BC4A3ED07041}"/>
    <w:embedItalic r:id="rId2" w:fontKey="{0E5E1DCA-7E8B-4CDE-A011-BB178F11AC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502757-2940-46DD-AEBB-A0AC39940B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D452AE-0EFB-4B28-A274-E70A3EDB2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6C0D6" w14:textId="77777777" w:rsidR="00987143" w:rsidRDefault="00987143">
      <w:r>
        <w:separator/>
      </w:r>
    </w:p>
  </w:footnote>
  <w:footnote w:type="continuationSeparator" w:id="0">
    <w:p w14:paraId="21E38F98" w14:textId="77777777" w:rsidR="00987143" w:rsidRDefault="00987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1D53B6"/>
    <w:rsid w:val="0033715D"/>
    <w:rsid w:val="005925B4"/>
    <w:rsid w:val="0079562D"/>
    <w:rsid w:val="00987143"/>
    <w:rsid w:val="00B84A84"/>
    <w:rsid w:val="00C802EF"/>
    <w:rsid w:val="00E5343D"/>
    <w:rsid w:val="00E8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1342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Hugo Henrique</cp:lastModifiedBy>
  <cp:revision>4</cp:revision>
  <dcterms:created xsi:type="dcterms:W3CDTF">2024-05-19T23:16:00Z</dcterms:created>
  <dcterms:modified xsi:type="dcterms:W3CDTF">2025-04-28T16:18:00Z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