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18" w:rsidRPr="00813F18" w:rsidRDefault="003F6A7C" w:rsidP="00824730">
      <w:pPr>
        <w:spacing w:line="240" w:lineRule="auto"/>
        <w:jc w:val="center"/>
        <w:rPr>
          <w:b/>
        </w:rPr>
      </w:pPr>
      <w:r>
        <w:rPr>
          <w:b/>
        </w:rPr>
        <w:t>E</w:t>
      </w:r>
      <w:r w:rsidRPr="003F6A7C">
        <w:rPr>
          <w:b/>
        </w:rPr>
        <w:t>xplosão de reservatório de água aquecida proveniente de súbita vaporização causada por brusca queda de pressão – análise termodinâmica e sucessão de fatores determinantes</w:t>
      </w:r>
    </w:p>
    <w:p w:rsidR="00595933" w:rsidRPr="00813F18" w:rsidRDefault="00595933" w:rsidP="00824730">
      <w:pPr>
        <w:spacing w:line="240" w:lineRule="auto"/>
        <w:jc w:val="left"/>
      </w:pPr>
    </w:p>
    <w:p w:rsidR="00817160" w:rsidRPr="00813F18" w:rsidRDefault="003F6A7C" w:rsidP="00824730">
      <w:pPr>
        <w:spacing w:line="240" w:lineRule="auto"/>
        <w:jc w:val="center"/>
        <w:rPr>
          <w:b/>
        </w:rPr>
      </w:pPr>
      <w:r w:rsidRPr="003F6A7C">
        <w:rPr>
          <w:b/>
        </w:rPr>
        <w:t>R. M. Tocantins</w:t>
      </w:r>
      <w:r w:rsidR="00817160" w:rsidRPr="00813F18">
        <w:rPr>
          <w:b/>
          <w:vertAlign w:val="superscript"/>
        </w:rPr>
        <w:t>1</w:t>
      </w:r>
      <w:r w:rsidR="00FC71F5" w:rsidRPr="00813F18">
        <w:rPr>
          <w:b/>
        </w:rPr>
        <w:t>,</w:t>
      </w:r>
      <w:r w:rsidR="00817160" w:rsidRPr="00813F18">
        <w:rPr>
          <w:b/>
        </w:rPr>
        <w:t xml:space="preserve"> </w:t>
      </w:r>
      <w:r w:rsidR="00043C0D">
        <w:rPr>
          <w:b/>
        </w:rPr>
        <w:t>J.F. Fernandes</w:t>
      </w:r>
      <w:r w:rsidR="006B0CC4" w:rsidRPr="00813F18">
        <w:rPr>
          <w:b/>
          <w:vertAlign w:val="superscript"/>
        </w:rPr>
        <w:t>2</w:t>
      </w:r>
    </w:p>
    <w:p w:rsidR="009A202B" w:rsidRDefault="00817160" w:rsidP="00824730">
      <w:pPr>
        <w:spacing w:line="240" w:lineRule="auto"/>
        <w:jc w:val="center"/>
        <w:rPr>
          <w:i/>
          <w:sz w:val="20"/>
          <w:szCs w:val="20"/>
        </w:rPr>
      </w:pPr>
      <w:r w:rsidRPr="00F6162F">
        <w:rPr>
          <w:sz w:val="20"/>
          <w:szCs w:val="20"/>
          <w:vertAlign w:val="superscript"/>
        </w:rPr>
        <w:t>1</w:t>
      </w:r>
      <w:r w:rsidRPr="00F6162F">
        <w:rPr>
          <w:sz w:val="20"/>
          <w:szCs w:val="20"/>
        </w:rPr>
        <w:t xml:space="preserve"> </w:t>
      </w:r>
      <w:r w:rsidR="009A5F55">
        <w:rPr>
          <w:i/>
          <w:sz w:val="20"/>
          <w:szCs w:val="20"/>
        </w:rPr>
        <w:t>Setor de Engenharia Forense, I</w:t>
      </w:r>
      <w:r w:rsidR="003F6A7C" w:rsidRPr="003F6A7C">
        <w:rPr>
          <w:i/>
          <w:sz w:val="20"/>
          <w:szCs w:val="20"/>
        </w:rPr>
        <w:t>nstituto Geral de Perícias de Santa Catarina – IGP/SC</w:t>
      </w:r>
    </w:p>
    <w:p w:rsidR="00FF2189" w:rsidRPr="00F6162F" w:rsidRDefault="00FF2189" w:rsidP="00FF2189">
      <w:pPr>
        <w:spacing w:line="240" w:lineRule="auto"/>
        <w:jc w:val="center"/>
        <w:rPr>
          <w:rFonts w:eastAsiaTheme="minorHAnsi"/>
          <w:sz w:val="20"/>
          <w:szCs w:val="20"/>
          <w:lang w:eastAsia="en-US"/>
        </w:rPr>
      </w:pPr>
      <w:r w:rsidRPr="009A5F55">
        <w:rPr>
          <w:sz w:val="20"/>
          <w:szCs w:val="20"/>
          <w:vertAlign w:val="superscript"/>
        </w:rPr>
        <w:t>2</w:t>
      </w:r>
      <w:r w:rsidRPr="009A5F55">
        <w:rPr>
          <w:sz w:val="20"/>
          <w:szCs w:val="20"/>
        </w:rPr>
        <w:t xml:space="preserve"> </w:t>
      </w:r>
      <w:r w:rsidR="009A5F55">
        <w:rPr>
          <w:i/>
          <w:sz w:val="20"/>
          <w:szCs w:val="20"/>
        </w:rPr>
        <w:t>Setor de Localística, I</w:t>
      </w:r>
      <w:r w:rsidR="009A5F55" w:rsidRPr="003F6A7C">
        <w:rPr>
          <w:i/>
          <w:sz w:val="20"/>
          <w:szCs w:val="20"/>
        </w:rPr>
        <w:t>nstituto Geral de Perícias de Santa Catarina – IGP/SC</w:t>
      </w:r>
    </w:p>
    <w:p w:rsidR="006B0CC4" w:rsidRPr="00FC71F5" w:rsidRDefault="006B0CC4" w:rsidP="00824730">
      <w:pPr>
        <w:spacing w:line="240" w:lineRule="auto"/>
        <w:jc w:val="center"/>
      </w:pPr>
    </w:p>
    <w:p w:rsidR="00A9585D" w:rsidRPr="00B00282" w:rsidRDefault="00AF0BDD" w:rsidP="00051A3B">
      <w:pPr>
        <w:spacing w:line="240" w:lineRule="auto"/>
        <w:ind w:firstLine="851"/>
        <w:rPr>
          <w:sz w:val="22"/>
          <w:szCs w:val="22"/>
        </w:rPr>
      </w:pPr>
      <w:r w:rsidRPr="00B00282">
        <w:rPr>
          <w:sz w:val="22"/>
          <w:szCs w:val="22"/>
        </w:rPr>
        <w:t>A</w:t>
      </w:r>
      <w:r w:rsidR="00A9585D" w:rsidRPr="00B00282">
        <w:rPr>
          <w:sz w:val="22"/>
          <w:szCs w:val="22"/>
        </w:rPr>
        <w:t xml:space="preserve"> utilização de caldeiras (unidades geradoras de vapor) e de vasos de pressão (unidades de processo) </w:t>
      </w:r>
      <w:r w:rsidRPr="00B00282">
        <w:rPr>
          <w:sz w:val="22"/>
          <w:szCs w:val="22"/>
        </w:rPr>
        <w:t xml:space="preserve">é imprescindível </w:t>
      </w:r>
      <w:r w:rsidR="00A9585D" w:rsidRPr="00B00282">
        <w:rPr>
          <w:sz w:val="22"/>
          <w:szCs w:val="22"/>
        </w:rPr>
        <w:t>nos processos de transformação primária pela necessidade de captação da energia liberada pela queima do combustível numa unidade central, e posterior distribuição aos demais pontos de consumo das empresas. Diversos fluidos de trabalho podem ser empregados com tal finalidade, porém, a preferência pelo vapor d’água é justificada pelo seu elevado calor específico, aliado à</w:t>
      </w:r>
      <w:r w:rsidR="006947F5" w:rsidRPr="00B00282">
        <w:rPr>
          <w:sz w:val="22"/>
          <w:szCs w:val="22"/>
        </w:rPr>
        <w:t xml:space="preserve"> ampla</w:t>
      </w:r>
      <w:r w:rsidR="00A9585D" w:rsidRPr="00B00282">
        <w:rPr>
          <w:sz w:val="22"/>
          <w:szCs w:val="22"/>
        </w:rPr>
        <w:t xml:space="preserve"> disponibilidad</w:t>
      </w:r>
      <w:r w:rsidR="00B2671D" w:rsidRPr="00B00282">
        <w:rPr>
          <w:sz w:val="22"/>
          <w:szCs w:val="22"/>
        </w:rPr>
        <w:t>e</w:t>
      </w:r>
      <w:r w:rsidR="00A9585D" w:rsidRPr="00B00282">
        <w:rPr>
          <w:sz w:val="22"/>
          <w:szCs w:val="22"/>
        </w:rPr>
        <w:t xml:space="preserve"> de água no mei</w:t>
      </w:r>
      <w:r w:rsidR="00B2671D" w:rsidRPr="00B00282">
        <w:rPr>
          <w:sz w:val="22"/>
          <w:szCs w:val="22"/>
        </w:rPr>
        <w:t>o ambiente</w:t>
      </w:r>
      <w:r w:rsidR="00A9585D" w:rsidRPr="00B00282">
        <w:rPr>
          <w:sz w:val="22"/>
          <w:szCs w:val="22"/>
        </w:rPr>
        <w:t>.</w:t>
      </w:r>
      <w:r w:rsidR="00B2671D" w:rsidRPr="00B00282">
        <w:rPr>
          <w:sz w:val="22"/>
          <w:szCs w:val="22"/>
        </w:rPr>
        <w:t xml:space="preserve"> Destarte, caldeiras e vasos de pressão tornaram-se equipamentos amplamente empregados tanto no setor industrial, como em hotéis, hospitais, clubes desportivos, restaurantes e edificações prediais diversas.</w:t>
      </w:r>
    </w:p>
    <w:p w:rsidR="0015364A" w:rsidRPr="00B00282" w:rsidRDefault="00B2671D" w:rsidP="0015364A">
      <w:pPr>
        <w:spacing w:line="240" w:lineRule="auto"/>
        <w:ind w:firstLine="851"/>
        <w:rPr>
          <w:sz w:val="22"/>
          <w:szCs w:val="22"/>
        </w:rPr>
      </w:pPr>
      <w:r w:rsidRPr="00B00282">
        <w:rPr>
          <w:sz w:val="22"/>
          <w:szCs w:val="22"/>
        </w:rPr>
        <w:t>C</w:t>
      </w:r>
      <w:r w:rsidR="0015364A" w:rsidRPr="00B00282">
        <w:rPr>
          <w:sz w:val="22"/>
          <w:szCs w:val="22"/>
        </w:rPr>
        <w:t>onstruídos para suportar e/ou armazenar substâncias a pressões e temperaturas muito diferente</w:t>
      </w:r>
      <w:r w:rsidR="006947F5" w:rsidRPr="00B00282">
        <w:rPr>
          <w:sz w:val="22"/>
          <w:szCs w:val="22"/>
        </w:rPr>
        <w:t>s</w:t>
      </w:r>
      <w:r w:rsidR="0015364A" w:rsidRPr="00B00282">
        <w:rPr>
          <w:sz w:val="22"/>
          <w:szCs w:val="22"/>
        </w:rPr>
        <w:t xml:space="preserve"> das condições normais</w:t>
      </w:r>
      <w:r w:rsidRPr="00B00282">
        <w:rPr>
          <w:sz w:val="22"/>
          <w:szCs w:val="22"/>
        </w:rPr>
        <w:t xml:space="preserve">, caldeiras e vasos de pressão </w:t>
      </w:r>
      <w:r w:rsidR="0015364A" w:rsidRPr="00B00282">
        <w:rPr>
          <w:sz w:val="22"/>
          <w:szCs w:val="22"/>
        </w:rPr>
        <w:t xml:space="preserve">encerram uma quantidade de energia, que, se liberadas sob controle, atenderão a suas finalidades, sem qualquer risco. Entretanto, caso não sejam observadas determinadas normas de projeto, fabricação, instalação e, principalmente, de </w:t>
      </w:r>
      <w:r w:rsidR="0015364A" w:rsidRPr="00B00282">
        <w:rPr>
          <w:bCs/>
          <w:sz w:val="22"/>
          <w:szCs w:val="22"/>
        </w:rPr>
        <w:t>operação e manutenção</w:t>
      </w:r>
      <w:r w:rsidR="0015364A" w:rsidRPr="00B00282">
        <w:rPr>
          <w:sz w:val="22"/>
          <w:szCs w:val="22"/>
        </w:rPr>
        <w:t xml:space="preserve">, sinistros poderão ocorrer. </w:t>
      </w:r>
      <w:r w:rsidRPr="00B00282">
        <w:rPr>
          <w:sz w:val="22"/>
          <w:szCs w:val="22"/>
        </w:rPr>
        <w:t>Não raramente, t</w:t>
      </w:r>
      <w:r w:rsidR="0015364A" w:rsidRPr="00B00282">
        <w:rPr>
          <w:sz w:val="22"/>
          <w:szCs w:val="22"/>
        </w:rPr>
        <w:t>ais sinistros</w:t>
      </w:r>
      <w:r w:rsidRPr="00B00282">
        <w:rPr>
          <w:sz w:val="22"/>
          <w:szCs w:val="22"/>
        </w:rPr>
        <w:t xml:space="preserve"> constituem-se em</w:t>
      </w:r>
      <w:r w:rsidR="0015364A" w:rsidRPr="00B00282">
        <w:rPr>
          <w:sz w:val="22"/>
          <w:szCs w:val="22"/>
        </w:rPr>
        <w:t xml:space="preserve"> catástrofes</w:t>
      </w:r>
      <w:r w:rsidRPr="00B00282">
        <w:rPr>
          <w:sz w:val="22"/>
          <w:szCs w:val="22"/>
        </w:rPr>
        <w:t xml:space="preserve"> explosivas</w:t>
      </w:r>
      <w:r w:rsidR="0015364A" w:rsidRPr="00B00282">
        <w:rPr>
          <w:sz w:val="22"/>
          <w:szCs w:val="22"/>
        </w:rPr>
        <w:t xml:space="preserve"> de grandes proporções, em que a energia acumulada é subitamente liberada. Constituem-se, portanto, em equipamentos de altíssimo risco dado o elevado potencial de danos materiais, lesões corporais e/ou vítimas fatais.</w:t>
      </w:r>
    </w:p>
    <w:p w:rsidR="0032165A" w:rsidRPr="00B00282" w:rsidRDefault="0032165A" w:rsidP="0032165A">
      <w:pPr>
        <w:spacing w:line="240" w:lineRule="auto"/>
        <w:ind w:firstLine="851"/>
        <w:rPr>
          <w:sz w:val="22"/>
          <w:szCs w:val="22"/>
        </w:rPr>
      </w:pPr>
      <w:r w:rsidRPr="00B00282">
        <w:rPr>
          <w:sz w:val="22"/>
          <w:szCs w:val="22"/>
        </w:rPr>
        <w:t>No Brasil, as empresas que possuem esses equipamentos e atividades em seu escopo, deve</w:t>
      </w:r>
      <w:r w:rsidR="00D348C0" w:rsidRPr="00B00282">
        <w:rPr>
          <w:sz w:val="22"/>
          <w:szCs w:val="22"/>
        </w:rPr>
        <w:t>m</w:t>
      </w:r>
      <w:r w:rsidRPr="00B00282">
        <w:rPr>
          <w:sz w:val="22"/>
          <w:szCs w:val="22"/>
        </w:rPr>
        <w:t xml:space="preserve"> adotar os procedimentos obrigatórios da N</w:t>
      </w:r>
      <w:r w:rsidR="00D348C0" w:rsidRPr="00B00282">
        <w:rPr>
          <w:sz w:val="22"/>
          <w:szCs w:val="22"/>
        </w:rPr>
        <w:t>R-</w:t>
      </w:r>
      <w:r w:rsidRPr="00B00282">
        <w:rPr>
          <w:sz w:val="22"/>
          <w:szCs w:val="22"/>
        </w:rPr>
        <w:t>13</w:t>
      </w:r>
      <w:r w:rsidR="00543A8C">
        <w:rPr>
          <w:sz w:val="22"/>
          <w:szCs w:val="22"/>
        </w:rPr>
        <w:t>,</w:t>
      </w:r>
      <w:r w:rsidRPr="00B00282">
        <w:rPr>
          <w:sz w:val="22"/>
          <w:szCs w:val="22"/>
        </w:rPr>
        <w:t xml:space="preserve"> que fornece orientações fundamentais e específicas para a segurança do processo. A NR-13 possui caráter preventivo de danos ao ser humano e às instalações</w:t>
      </w:r>
      <w:r w:rsidR="00AF0BDD" w:rsidRPr="00B00282">
        <w:rPr>
          <w:sz w:val="22"/>
          <w:szCs w:val="22"/>
        </w:rPr>
        <w:t xml:space="preserve">, </w:t>
      </w:r>
      <w:r w:rsidRPr="00B00282">
        <w:rPr>
          <w:sz w:val="22"/>
          <w:szCs w:val="22"/>
        </w:rPr>
        <w:t>requer</w:t>
      </w:r>
      <w:r w:rsidR="00AF0BDD" w:rsidRPr="00B00282">
        <w:rPr>
          <w:sz w:val="22"/>
          <w:szCs w:val="22"/>
        </w:rPr>
        <w:t>endo</w:t>
      </w:r>
      <w:r w:rsidRPr="00B00282">
        <w:rPr>
          <w:sz w:val="22"/>
          <w:szCs w:val="22"/>
        </w:rPr>
        <w:t xml:space="preserve"> inspeções, dispositivos de segurança, identificações, registros</w:t>
      </w:r>
      <w:r w:rsidR="00A51761">
        <w:rPr>
          <w:sz w:val="22"/>
          <w:szCs w:val="22"/>
        </w:rPr>
        <w:t>,</w:t>
      </w:r>
      <w:r w:rsidRPr="00B00282">
        <w:rPr>
          <w:sz w:val="22"/>
          <w:szCs w:val="22"/>
        </w:rPr>
        <w:t xml:space="preserve"> documentos, projeto de instalação, manutenções</w:t>
      </w:r>
      <w:r w:rsidR="001E1232">
        <w:rPr>
          <w:sz w:val="22"/>
          <w:szCs w:val="22"/>
        </w:rPr>
        <w:t>,</w:t>
      </w:r>
      <w:r w:rsidRPr="00B00282">
        <w:rPr>
          <w:sz w:val="22"/>
          <w:szCs w:val="22"/>
        </w:rPr>
        <w:t xml:space="preserve"> profissionais habilitados</w:t>
      </w:r>
      <w:r w:rsidR="001E1232">
        <w:rPr>
          <w:sz w:val="22"/>
          <w:szCs w:val="22"/>
        </w:rPr>
        <w:t>,</w:t>
      </w:r>
      <w:r w:rsidRPr="00B00282">
        <w:rPr>
          <w:sz w:val="22"/>
          <w:szCs w:val="22"/>
        </w:rPr>
        <w:t xml:space="preserve"> entre outros.</w:t>
      </w:r>
    </w:p>
    <w:p w:rsidR="00247455" w:rsidRPr="00B00282" w:rsidRDefault="006947F5" w:rsidP="00824730">
      <w:pPr>
        <w:spacing w:line="240" w:lineRule="auto"/>
        <w:ind w:firstLine="851"/>
        <w:rPr>
          <w:sz w:val="22"/>
          <w:szCs w:val="22"/>
        </w:rPr>
      </w:pPr>
      <w:r w:rsidRPr="00B00282">
        <w:rPr>
          <w:sz w:val="22"/>
          <w:szCs w:val="22"/>
        </w:rPr>
        <w:t>O</w:t>
      </w:r>
      <w:r w:rsidR="0018033F" w:rsidRPr="00B00282">
        <w:rPr>
          <w:sz w:val="22"/>
          <w:szCs w:val="22"/>
        </w:rPr>
        <w:t xml:space="preserve"> presente trabalho</w:t>
      </w:r>
      <w:r w:rsidR="00244839" w:rsidRPr="00B00282">
        <w:rPr>
          <w:sz w:val="22"/>
          <w:szCs w:val="22"/>
        </w:rPr>
        <w:t xml:space="preserve"> apresenta o</w:t>
      </w:r>
      <w:r w:rsidRPr="00B00282">
        <w:rPr>
          <w:sz w:val="22"/>
          <w:szCs w:val="22"/>
        </w:rPr>
        <w:t xml:space="preserve"> estudo de caso </w:t>
      </w:r>
      <w:r w:rsidR="0018033F" w:rsidRPr="00B00282">
        <w:rPr>
          <w:sz w:val="22"/>
          <w:szCs w:val="22"/>
        </w:rPr>
        <w:t>d</w:t>
      </w:r>
      <w:r w:rsidR="00244839" w:rsidRPr="00B00282">
        <w:rPr>
          <w:sz w:val="22"/>
          <w:szCs w:val="22"/>
        </w:rPr>
        <w:t>e uma</w:t>
      </w:r>
      <w:r w:rsidR="0018033F" w:rsidRPr="00B00282">
        <w:rPr>
          <w:sz w:val="22"/>
          <w:szCs w:val="22"/>
        </w:rPr>
        <w:t xml:space="preserve"> explosão </w:t>
      </w:r>
      <w:r w:rsidRPr="00B00282">
        <w:rPr>
          <w:sz w:val="22"/>
          <w:szCs w:val="22"/>
        </w:rPr>
        <w:t>ocorrid</w:t>
      </w:r>
      <w:r w:rsidR="0018033F" w:rsidRPr="00B00282">
        <w:rPr>
          <w:sz w:val="22"/>
          <w:szCs w:val="22"/>
        </w:rPr>
        <w:t>a</w:t>
      </w:r>
      <w:r w:rsidRPr="00B00282">
        <w:rPr>
          <w:sz w:val="22"/>
          <w:szCs w:val="22"/>
        </w:rPr>
        <w:t xml:space="preserve"> em um estabelecimento hoteleiro</w:t>
      </w:r>
      <w:r w:rsidR="00244839" w:rsidRPr="00B00282">
        <w:rPr>
          <w:sz w:val="22"/>
          <w:szCs w:val="22"/>
        </w:rPr>
        <w:t xml:space="preserve"> que se utilizava de caldeiras e vasos de pressão</w:t>
      </w:r>
      <w:r w:rsidR="00CE6D58" w:rsidRPr="00B00282">
        <w:rPr>
          <w:sz w:val="22"/>
          <w:szCs w:val="22"/>
        </w:rPr>
        <w:t xml:space="preserve"> para</w:t>
      </w:r>
      <w:r w:rsidR="00244839" w:rsidRPr="00B00282">
        <w:rPr>
          <w:sz w:val="22"/>
          <w:szCs w:val="22"/>
        </w:rPr>
        <w:t xml:space="preserve"> o abastecimento</w:t>
      </w:r>
      <w:r w:rsidR="00B00282" w:rsidRPr="00B00282">
        <w:rPr>
          <w:sz w:val="22"/>
          <w:szCs w:val="22"/>
        </w:rPr>
        <w:t>, armazenamento</w:t>
      </w:r>
      <w:r w:rsidR="0055601A" w:rsidRPr="00B00282">
        <w:rPr>
          <w:sz w:val="22"/>
          <w:szCs w:val="22"/>
        </w:rPr>
        <w:t xml:space="preserve"> e distribuição</w:t>
      </w:r>
      <w:r w:rsidR="00244839" w:rsidRPr="00B00282">
        <w:rPr>
          <w:sz w:val="22"/>
          <w:szCs w:val="22"/>
        </w:rPr>
        <w:t xml:space="preserve"> de água aquecida</w:t>
      </w:r>
      <w:r w:rsidR="00CE6D58" w:rsidRPr="00B00282">
        <w:rPr>
          <w:sz w:val="22"/>
          <w:szCs w:val="22"/>
        </w:rPr>
        <w:t xml:space="preserve"> em suas atividades comerciais (lavanderia, cozinha e banho)</w:t>
      </w:r>
      <w:r w:rsidR="00541C6C" w:rsidRPr="00B00282">
        <w:rPr>
          <w:sz w:val="22"/>
          <w:szCs w:val="22"/>
        </w:rPr>
        <w:t>.</w:t>
      </w:r>
      <w:r w:rsidR="0055601A" w:rsidRPr="00B00282">
        <w:rPr>
          <w:sz w:val="22"/>
          <w:szCs w:val="22"/>
        </w:rPr>
        <w:t xml:space="preserve"> </w:t>
      </w:r>
      <w:r w:rsidR="00EE70EE" w:rsidRPr="00B00282">
        <w:rPr>
          <w:sz w:val="22"/>
          <w:szCs w:val="22"/>
        </w:rPr>
        <w:t xml:space="preserve">O </w:t>
      </w:r>
      <w:r w:rsidR="0055601A" w:rsidRPr="00B00282">
        <w:rPr>
          <w:sz w:val="22"/>
          <w:szCs w:val="22"/>
        </w:rPr>
        <w:t>epicentro da explosão foi um dos reservatórios de água aquecida</w:t>
      </w:r>
      <w:r w:rsidR="008949B2" w:rsidRPr="00B00282">
        <w:rPr>
          <w:sz w:val="22"/>
          <w:szCs w:val="22"/>
        </w:rPr>
        <w:t xml:space="preserve"> que possuía um trocador de calor proveniente de uma das caldeiras</w:t>
      </w:r>
      <w:r w:rsidR="006E4FEA" w:rsidRPr="00B00282">
        <w:rPr>
          <w:sz w:val="22"/>
          <w:szCs w:val="22"/>
        </w:rPr>
        <w:t xml:space="preserve">. </w:t>
      </w:r>
      <w:r w:rsidR="00353468" w:rsidRPr="00B00282">
        <w:rPr>
          <w:sz w:val="22"/>
          <w:szCs w:val="22"/>
        </w:rPr>
        <w:t>Após o sinistro, d</w:t>
      </w:r>
      <w:r w:rsidR="006E4FEA" w:rsidRPr="00B00282">
        <w:rPr>
          <w:sz w:val="22"/>
          <w:szCs w:val="22"/>
        </w:rPr>
        <w:t xml:space="preserve">eu-se o início ao tradicional jogo de empurra das responsabilidades. </w:t>
      </w:r>
      <w:r w:rsidR="00B00282" w:rsidRPr="00B00282">
        <w:rPr>
          <w:sz w:val="22"/>
          <w:szCs w:val="22"/>
        </w:rPr>
        <w:t>P</w:t>
      </w:r>
      <w:r w:rsidR="006E4FEA" w:rsidRPr="00B00282">
        <w:rPr>
          <w:sz w:val="22"/>
          <w:szCs w:val="22"/>
        </w:rPr>
        <w:t>roprietários e gerentes do</w:t>
      </w:r>
      <w:r w:rsidR="00B30B26" w:rsidRPr="00B00282">
        <w:rPr>
          <w:sz w:val="22"/>
          <w:szCs w:val="22"/>
        </w:rPr>
        <w:t xml:space="preserve"> </w:t>
      </w:r>
      <w:r w:rsidR="00D6094C" w:rsidRPr="00B00282">
        <w:rPr>
          <w:sz w:val="22"/>
          <w:szCs w:val="22"/>
        </w:rPr>
        <w:t>estabelecimento</w:t>
      </w:r>
      <w:r w:rsidR="006E4FEA" w:rsidRPr="00B00282">
        <w:rPr>
          <w:sz w:val="22"/>
          <w:szCs w:val="22"/>
        </w:rPr>
        <w:t xml:space="preserve"> hoteleiro </w:t>
      </w:r>
      <w:r w:rsidR="003E761E" w:rsidRPr="00B00282">
        <w:rPr>
          <w:sz w:val="22"/>
          <w:szCs w:val="22"/>
        </w:rPr>
        <w:t xml:space="preserve">se isentavam da responsabilidade alegando que </w:t>
      </w:r>
      <w:r w:rsidR="006E4FEA" w:rsidRPr="00B00282">
        <w:rPr>
          <w:sz w:val="22"/>
          <w:szCs w:val="22"/>
        </w:rPr>
        <w:t xml:space="preserve">havia responsável técnico capacitado </w:t>
      </w:r>
      <w:r w:rsidR="00B00282" w:rsidRPr="00B00282">
        <w:rPr>
          <w:sz w:val="22"/>
          <w:szCs w:val="22"/>
        </w:rPr>
        <w:t xml:space="preserve">encarregado de </w:t>
      </w:r>
      <w:r w:rsidR="006E4FEA" w:rsidRPr="00B00282">
        <w:rPr>
          <w:sz w:val="22"/>
          <w:szCs w:val="22"/>
        </w:rPr>
        <w:t>realiza</w:t>
      </w:r>
      <w:r w:rsidR="00B00282" w:rsidRPr="00B00282">
        <w:rPr>
          <w:sz w:val="22"/>
          <w:szCs w:val="22"/>
        </w:rPr>
        <w:t>r</w:t>
      </w:r>
      <w:r w:rsidR="006E4FEA" w:rsidRPr="00B00282">
        <w:rPr>
          <w:sz w:val="22"/>
          <w:szCs w:val="22"/>
        </w:rPr>
        <w:t xml:space="preserve"> inspeções</w:t>
      </w:r>
      <w:r w:rsidR="00B00282" w:rsidRPr="00B00282">
        <w:rPr>
          <w:sz w:val="22"/>
          <w:szCs w:val="22"/>
        </w:rPr>
        <w:t xml:space="preserve"> e manutenções</w:t>
      </w:r>
      <w:r w:rsidR="006E4FEA" w:rsidRPr="00B00282">
        <w:rPr>
          <w:sz w:val="22"/>
          <w:szCs w:val="22"/>
        </w:rPr>
        <w:t xml:space="preserve"> periódicas</w:t>
      </w:r>
      <w:r w:rsidR="003E761E" w:rsidRPr="00B00282">
        <w:rPr>
          <w:sz w:val="22"/>
          <w:szCs w:val="22"/>
        </w:rPr>
        <w:t xml:space="preserve">, </w:t>
      </w:r>
      <w:r w:rsidR="006E4FEA" w:rsidRPr="00B00282">
        <w:rPr>
          <w:sz w:val="22"/>
          <w:szCs w:val="22"/>
        </w:rPr>
        <w:t xml:space="preserve">e atribuíam </w:t>
      </w:r>
      <w:r w:rsidR="004B1A67" w:rsidRPr="00B00282">
        <w:rPr>
          <w:sz w:val="22"/>
          <w:szCs w:val="22"/>
        </w:rPr>
        <w:t xml:space="preserve">a responsabilidade </w:t>
      </w:r>
      <w:r w:rsidR="00353468" w:rsidRPr="00B00282">
        <w:rPr>
          <w:sz w:val="22"/>
          <w:szCs w:val="22"/>
        </w:rPr>
        <w:t xml:space="preserve">à empresa </w:t>
      </w:r>
      <w:r w:rsidR="004B1A67" w:rsidRPr="00B00282">
        <w:rPr>
          <w:sz w:val="22"/>
          <w:szCs w:val="22"/>
        </w:rPr>
        <w:t>fabricante do reservatório</w:t>
      </w:r>
      <w:r w:rsidR="00474F95" w:rsidRPr="00B00282">
        <w:rPr>
          <w:sz w:val="22"/>
          <w:szCs w:val="22"/>
        </w:rPr>
        <w:t xml:space="preserve"> sinistrado, </w:t>
      </w:r>
      <w:r w:rsidR="00353468" w:rsidRPr="00B00282">
        <w:rPr>
          <w:sz w:val="22"/>
          <w:szCs w:val="22"/>
        </w:rPr>
        <w:t xml:space="preserve">que </w:t>
      </w:r>
      <w:r w:rsidR="00474F95" w:rsidRPr="00B00282">
        <w:rPr>
          <w:sz w:val="22"/>
          <w:szCs w:val="22"/>
        </w:rPr>
        <w:t>não mais existia</w:t>
      </w:r>
      <w:r w:rsidR="006E4FEA" w:rsidRPr="00B00282">
        <w:rPr>
          <w:sz w:val="22"/>
          <w:szCs w:val="22"/>
        </w:rPr>
        <w:t>. O responsável técnico capacitado, por sua vez,</w:t>
      </w:r>
      <w:r w:rsidR="00D6094C" w:rsidRPr="00B00282">
        <w:rPr>
          <w:sz w:val="22"/>
          <w:szCs w:val="22"/>
        </w:rPr>
        <w:t xml:space="preserve"> </w:t>
      </w:r>
      <w:r w:rsidR="00474F95" w:rsidRPr="00B00282">
        <w:rPr>
          <w:sz w:val="22"/>
          <w:szCs w:val="22"/>
        </w:rPr>
        <w:t xml:space="preserve">também </w:t>
      </w:r>
      <w:r w:rsidR="00353468" w:rsidRPr="00B00282">
        <w:rPr>
          <w:sz w:val="22"/>
          <w:szCs w:val="22"/>
        </w:rPr>
        <w:t>se isentava da responsabilidade</w:t>
      </w:r>
      <w:r w:rsidR="003E761E" w:rsidRPr="00B00282">
        <w:rPr>
          <w:sz w:val="22"/>
          <w:szCs w:val="22"/>
        </w:rPr>
        <w:t>, alegando</w:t>
      </w:r>
      <w:r w:rsidR="00D6094C" w:rsidRPr="00B00282">
        <w:rPr>
          <w:sz w:val="22"/>
          <w:szCs w:val="22"/>
        </w:rPr>
        <w:t xml:space="preserve"> que</w:t>
      </w:r>
      <w:r w:rsidR="00353468" w:rsidRPr="00B00282">
        <w:rPr>
          <w:sz w:val="22"/>
          <w:szCs w:val="22"/>
        </w:rPr>
        <w:t xml:space="preserve"> sua responsabilidade técnica</w:t>
      </w:r>
      <w:r w:rsidR="00B00282" w:rsidRPr="00B00282">
        <w:rPr>
          <w:sz w:val="22"/>
          <w:szCs w:val="22"/>
        </w:rPr>
        <w:t xml:space="preserve"> se restringia</w:t>
      </w:r>
      <w:r w:rsidR="00353468" w:rsidRPr="00B00282">
        <w:rPr>
          <w:sz w:val="22"/>
          <w:szCs w:val="22"/>
        </w:rPr>
        <w:t xml:space="preserve"> às caldeiras, uma vez que </w:t>
      </w:r>
      <w:r w:rsidR="00D6094C" w:rsidRPr="00B00282">
        <w:rPr>
          <w:sz w:val="22"/>
          <w:szCs w:val="22"/>
        </w:rPr>
        <w:t xml:space="preserve">o reservatório sinistrado não </w:t>
      </w:r>
      <w:r w:rsidR="00B00282" w:rsidRPr="00B00282">
        <w:rPr>
          <w:sz w:val="22"/>
          <w:szCs w:val="22"/>
        </w:rPr>
        <w:t>era classificado como</w:t>
      </w:r>
      <w:r w:rsidR="00D6094C" w:rsidRPr="00B00282">
        <w:rPr>
          <w:sz w:val="22"/>
          <w:szCs w:val="22"/>
        </w:rPr>
        <w:t xml:space="preserve"> vaso de pressão</w:t>
      </w:r>
      <w:r w:rsidR="00B32F1D" w:rsidRPr="00B00282">
        <w:rPr>
          <w:sz w:val="22"/>
          <w:szCs w:val="22"/>
        </w:rPr>
        <w:t xml:space="preserve"> por </w:t>
      </w:r>
      <w:r w:rsidR="00B00282" w:rsidRPr="00B00282">
        <w:rPr>
          <w:sz w:val="22"/>
          <w:szCs w:val="22"/>
        </w:rPr>
        <w:t>tratar-se de</w:t>
      </w:r>
      <w:r w:rsidR="00353468" w:rsidRPr="00B00282">
        <w:rPr>
          <w:sz w:val="22"/>
          <w:szCs w:val="22"/>
        </w:rPr>
        <w:t xml:space="preserve"> um</w:t>
      </w:r>
      <w:r w:rsidR="00B32F1D" w:rsidRPr="00B00282">
        <w:rPr>
          <w:sz w:val="22"/>
          <w:szCs w:val="22"/>
        </w:rPr>
        <w:t xml:space="preserve"> vaso aberto</w:t>
      </w:r>
      <w:r w:rsidR="00353468" w:rsidRPr="00B00282">
        <w:rPr>
          <w:sz w:val="22"/>
          <w:szCs w:val="22"/>
        </w:rPr>
        <w:t xml:space="preserve"> para a atmosfera</w:t>
      </w:r>
      <w:r w:rsidR="008572CF" w:rsidRPr="00B00282">
        <w:rPr>
          <w:sz w:val="22"/>
          <w:szCs w:val="22"/>
        </w:rPr>
        <w:t>, não estando</w:t>
      </w:r>
      <w:r w:rsidR="00353468" w:rsidRPr="00B00282">
        <w:rPr>
          <w:sz w:val="22"/>
          <w:szCs w:val="22"/>
        </w:rPr>
        <w:t>,</w:t>
      </w:r>
      <w:r w:rsidR="008572CF" w:rsidRPr="00B00282">
        <w:rPr>
          <w:sz w:val="22"/>
          <w:szCs w:val="22"/>
        </w:rPr>
        <w:t xml:space="preserve"> portanto</w:t>
      </w:r>
      <w:r w:rsidR="00353468" w:rsidRPr="00B00282">
        <w:rPr>
          <w:sz w:val="22"/>
          <w:szCs w:val="22"/>
        </w:rPr>
        <w:t>,</w:t>
      </w:r>
      <w:r w:rsidR="008572CF" w:rsidRPr="00B00282">
        <w:rPr>
          <w:sz w:val="22"/>
          <w:szCs w:val="22"/>
        </w:rPr>
        <w:t xml:space="preserve"> enquadrado na NR-13</w:t>
      </w:r>
      <w:r w:rsidR="00D6094C" w:rsidRPr="00B00282">
        <w:rPr>
          <w:sz w:val="22"/>
          <w:szCs w:val="22"/>
        </w:rPr>
        <w:t>.</w:t>
      </w:r>
    </w:p>
    <w:p w:rsidR="00BD2918" w:rsidRPr="00FC71F5" w:rsidRDefault="00FF2189" w:rsidP="00BD2918">
      <w:pPr>
        <w:tabs>
          <w:tab w:val="left" w:pos="1245"/>
        </w:tabs>
        <w:spacing w:line="240" w:lineRule="auto"/>
        <w:ind w:firstLine="851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121285</wp:posOffset>
            </wp:positionV>
            <wp:extent cx="1933575" cy="1447800"/>
            <wp:effectExtent l="19050" t="0" r="9525" b="0"/>
            <wp:wrapNone/>
            <wp:docPr id="6" name="Imagem 4" descr="DSC0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6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83185</wp:posOffset>
            </wp:positionV>
            <wp:extent cx="1990725" cy="1495425"/>
            <wp:effectExtent l="19050" t="0" r="9525" b="0"/>
            <wp:wrapNone/>
            <wp:docPr id="5" name="Imagem 1" descr="explosão_hotel_Plaza_Blumenau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osão_hotel_Plaza_Blumenau (8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918">
        <w:rPr>
          <w:sz w:val="22"/>
          <w:szCs w:val="22"/>
        </w:rPr>
        <w:tab/>
      </w:r>
    </w:p>
    <w:p w:rsidR="00BD2918" w:rsidRPr="00FC71F5" w:rsidRDefault="00BD2918" w:rsidP="00BD2918">
      <w:pPr>
        <w:spacing w:line="240" w:lineRule="auto"/>
        <w:ind w:firstLine="851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rPr>
          <w:sz w:val="22"/>
          <w:szCs w:val="22"/>
        </w:rPr>
      </w:pPr>
    </w:p>
    <w:p w:rsidR="00BD2918" w:rsidRPr="00FC71F5" w:rsidRDefault="00BD2918" w:rsidP="00BD2918">
      <w:pPr>
        <w:spacing w:line="240" w:lineRule="auto"/>
        <w:jc w:val="left"/>
        <w:rPr>
          <w:sz w:val="22"/>
          <w:szCs w:val="22"/>
        </w:rPr>
      </w:pPr>
      <w:r w:rsidRPr="00FC71F5">
        <w:rPr>
          <w:sz w:val="22"/>
          <w:szCs w:val="22"/>
        </w:rPr>
        <w:t xml:space="preserve">     </w:t>
      </w:r>
      <w:r w:rsidR="00FF2189">
        <w:rPr>
          <w:sz w:val="22"/>
          <w:szCs w:val="22"/>
        </w:rPr>
        <w:t xml:space="preserve">        </w:t>
      </w:r>
      <w:r w:rsidRPr="00FC71F5">
        <w:rPr>
          <w:sz w:val="22"/>
          <w:szCs w:val="22"/>
        </w:rPr>
        <w:t xml:space="preserve">      </w:t>
      </w:r>
      <w:r w:rsidRPr="00FC71F5">
        <w:rPr>
          <w:b/>
          <w:sz w:val="22"/>
          <w:szCs w:val="22"/>
        </w:rPr>
        <w:t>Figura 1.</w:t>
      </w:r>
      <w:r w:rsidRPr="00FC71F5">
        <w:rPr>
          <w:sz w:val="22"/>
          <w:szCs w:val="22"/>
        </w:rPr>
        <w:t xml:space="preserve"> </w:t>
      </w:r>
      <w:r>
        <w:rPr>
          <w:sz w:val="22"/>
          <w:szCs w:val="22"/>
        </w:rPr>
        <w:t>Edificação sinistrada</w:t>
      </w:r>
      <w:r w:rsidRPr="00FC71F5">
        <w:rPr>
          <w:sz w:val="22"/>
          <w:szCs w:val="22"/>
        </w:rPr>
        <w:t>.</w:t>
      </w:r>
      <w:r w:rsidRPr="00FC71F5">
        <w:rPr>
          <w:sz w:val="22"/>
          <w:szCs w:val="22"/>
        </w:rPr>
        <w:tab/>
      </w:r>
      <w:r w:rsidRPr="00FC71F5">
        <w:rPr>
          <w:sz w:val="22"/>
          <w:szCs w:val="22"/>
        </w:rPr>
        <w:tab/>
        <w:t xml:space="preserve"> </w:t>
      </w:r>
      <w:r w:rsidR="00FF2189">
        <w:rPr>
          <w:sz w:val="22"/>
          <w:szCs w:val="22"/>
        </w:rPr>
        <w:t xml:space="preserve">      </w:t>
      </w:r>
      <w:r w:rsidRPr="00FC71F5">
        <w:rPr>
          <w:sz w:val="22"/>
          <w:szCs w:val="22"/>
        </w:rPr>
        <w:t xml:space="preserve">  </w:t>
      </w:r>
      <w:r w:rsidRPr="00FC71F5">
        <w:rPr>
          <w:b/>
          <w:sz w:val="22"/>
          <w:szCs w:val="22"/>
        </w:rPr>
        <w:t>Figura 2.</w:t>
      </w:r>
      <w:r w:rsidRPr="00FC71F5">
        <w:rPr>
          <w:sz w:val="22"/>
          <w:szCs w:val="22"/>
        </w:rPr>
        <w:t xml:space="preserve"> </w:t>
      </w:r>
      <w:r>
        <w:rPr>
          <w:sz w:val="22"/>
          <w:szCs w:val="22"/>
        </w:rPr>
        <w:t>Reservatório sinistrado</w:t>
      </w:r>
      <w:r w:rsidRPr="00FC71F5">
        <w:rPr>
          <w:sz w:val="22"/>
          <w:szCs w:val="22"/>
        </w:rPr>
        <w:t>.</w:t>
      </w:r>
    </w:p>
    <w:p w:rsidR="006B0091" w:rsidRDefault="006B0091" w:rsidP="00824730">
      <w:pPr>
        <w:spacing w:line="240" w:lineRule="auto"/>
        <w:ind w:firstLine="851"/>
        <w:rPr>
          <w:sz w:val="22"/>
          <w:szCs w:val="22"/>
        </w:rPr>
      </w:pPr>
    </w:p>
    <w:p w:rsidR="0080108D" w:rsidRDefault="003E761E" w:rsidP="00824730">
      <w:pPr>
        <w:spacing w:line="240" w:lineRule="auto"/>
        <w:ind w:firstLine="851"/>
        <w:rPr>
          <w:sz w:val="22"/>
          <w:szCs w:val="22"/>
        </w:rPr>
      </w:pPr>
      <w:r w:rsidRPr="00B00282">
        <w:rPr>
          <w:sz w:val="22"/>
          <w:szCs w:val="22"/>
        </w:rPr>
        <w:t>Assim</w:t>
      </w:r>
      <w:r w:rsidR="00D55EBC" w:rsidRPr="00B00282">
        <w:rPr>
          <w:sz w:val="22"/>
          <w:szCs w:val="22"/>
        </w:rPr>
        <w:t xml:space="preserve"> sendo</w:t>
      </w:r>
      <w:r w:rsidRPr="00B00282">
        <w:rPr>
          <w:sz w:val="22"/>
          <w:szCs w:val="22"/>
        </w:rPr>
        <w:t>,</w:t>
      </w:r>
      <w:r w:rsidR="00D6094C" w:rsidRPr="00B00282">
        <w:rPr>
          <w:sz w:val="22"/>
          <w:szCs w:val="22"/>
        </w:rPr>
        <w:t xml:space="preserve"> </w:t>
      </w:r>
      <w:r w:rsidR="00080175" w:rsidRPr="00B00282">
        <w:rPr>
          <w:sz w:val="22"/>
          <w:szCs w:val="22"/>
        </w:rPr>
        <w:t xml:space="preserve">além da natural materialização do fato, o </w:t>
      </w:r>
      <w:r w:rsidR="00D6094C" w:rsidRPr="00B00282">
        <w:rPr>
          <w:sz w:val="22"/>
          <w:szCs w:val="22"/>
        </w:rPr>
        <w:t>trabalho pericial</w:t>
      </w:r>
      <w:r w:rsidR="00080175" w:rsidRPr="00B00282">
        <w:rPr>
          <w:sz w:val="22"/>
          <w:szCs w:val="22"/>
        </w:rPr>
        <w:t xml:space="preserve"> teve como objetivo precípuo, através do levantamento e interpretação dos vestígios existentes no local sinistrado,</w:t>
      </w:r>
      <w:r w:rsidR="00D55EBC" w:rsidRPr="00B00282">
        <w:rPr>
          <w:sz w:val="22"/>
          <w:szCs w:val="22"/>
        </w:rPr>
        <w:t xml:space="preserve"> </w:t>
      </w:r>
      <w:r w:rsidR="00D6094C" w:rsidRPr="00B00282">
        <w:rPr>
          <w:sz w:val="22"/>
          <w:szCs w:val="22"/>
        </w:rPr>
        <w:t>determinar</w:t>
      </w:r>
      <w:r w:rsidR="0080108D" w:rsidRPr="00B00282">
        <w:rPr>
          <w:sz w:val="22"/>
          <w:szCs w:val="22"/>
        </w:rPr>
        <w:t xml:space="preserve">: </w:t>
      </w:r>
      <w:r w:rsidR="00D55EBC" w:rsidRPr="00B00282">
        <w:rPr>
          <w:sz w:val="22"/>
          <w:szCs w:val="22"/>
        </w:rPr>
        <w:t>que componente</w:t>
      </w:r>
      <w:r w:rsidR="0080108D" w:rsidRPr="00B00282">
        <w:rPr>
          <w:sz w:val="22"/>
          <w:szCs w:val="22"/>
        </w:rPr>
        <w:t xml:space="preserve"> explodiu</w:t>
      </w:r>
      <w:r w:rsidR="008039FA">
        <w:rPr>
          <w:sz w:val="22"/>
          <w:szCs w:val="22"/>
        </w:rPr>
        <w:t>,</w:t>
      </w:r>
      <w:r w:rsidR="0080108D" w:rsidRPr="00B00282">
        <w:rPr>
          <w:sz w:val="22"/>
          <w:szCs w:val="22"/>
        </w:rPr>
        <w:t xml:space="preserve"> </w:t>
      </w:r>
      <w:r w:rsidR="00D55EBC" w:rsidRPr="00B00282">
        <w:rPr>
          <w:sz w:val="22"/>
          <w:szCs w:val="22"/>
        </w:rPr>
        <w:t>como</w:t>
      </w:r>
      <w:r w:rsidR="00B00282">
        <w:rPr>
          <w:sz w:val="22"/>
          <w:szCs w:val="22"/>
        </w:rPr>
        <w:t xml:space="preserve"> e por que</w:t>
      </w:r>
      <w:r w:rsidR="00D55EBC" w:rsidRPr="00B00282">
        <w:rPr>
          <w:sz w:val="22"/>
          <w:szCs w:val="22"/>
        </w:rPr>
        <w:t xml:space="preserve"> explodiu</w:t>
      </w:r>
      <w:r w:rsidR="008039FA">
        <w:rPr>
          <w:sz w:val="22"/>
          <w:szCs w:val="22"/>
        </w:rPr>
        <w:t>,</w:t>
      </w:r>
      <w:r w:rsidR="00F11B6C" w:rsidRPr="00B00282">
        <w:rPr>
          <w:sz w:val="22"/>
          <w:szCs w:val="22"/>
        </w:rPr>
        <w:t xml:space="preserve"> </w:t>
      </w:r>
      <w:r w:rsidR="00B00282">
        <w:rPr>
          <w:sz w:val="22"/>
          <w:szCs w:val="22"/>
        </w:rPr>
        <w:t xml:space="preserve">e </w:t>
      </w:r>
      <w:r w:rsidR="00D55EBC" w:rsidRPr="00B00282">
        <w:rPr>
          <w:sz w:val="22"/>
          <w:szCs w:val="22"/>
        </w:rPr>
        <w:t>q</w:t>
      </w:r>
      <w:r w:rsidR="00F11B6C" w:rsidRPr="00B00282">
        <w:rPr>
          <w:sz w:val="22"/>
          <w:szCs w:val="22"/>
        </w:rPr>
        <w:t xml:space="preserve">uais as </w:t>
      </w:r>
      <w:r w:rsidR="0080108D" w:rsidRPr="00B00282">
        <w:rPr>
          <w:sz w:val="22"/>
          <w:szCs w:val="22"/>
        </w:rPr>
        <w:t>causas determinantes</w:t>
      </w:r>
      <w:r w:rsidR="00F11B6C" w:rsidRPr="00B00282">
        <w:rPr>
          <w:sz w:val="22"/>
          <w:szCs w:val="22"/>
        </w:rPr>
        <w:t xml:space="preserve"> da explosão</w:t>
      </w:r>
      <w:r w:rsidR="008039FA">
        <w:rPr>
          <w:sz w:val="22"/>
          <w:szCs w:val="22"/>
        </w:rPr>
        <w:t>.</w:t>
      </w:r>
    </w:p>
    <w:p w:rsidR="00C11825" w:rsidRDefault="00D55EBC" w:rsidP="00824730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A metodologia aplicada </w:t>
      </w:r>
      <w:r w:rsidR="00C11825">
        <w:rPr>
          <w:sz w:val="22"/>
          <w:szCs w:val="22"/>
        </w:rPr>
        <w:t>para respo</w:t>
      </w:r>
      <w:r w:rsidR="00B00282">
        <w:rPr>
          <w:sz w:val="22"/>
          <w:szCs w:val="22"/>
        </w:rPr>
        <w:t>nder</w:t>
      </w:r>
      <w:r w:rsidR="00C11825">
        <w:rPr>
          <w:sz w:val="22"/>
          <w:szCs w:val="22"/>
        </w:rPr>
        <w:t xml:space="preserve"> a estes questionamentos foi dividida em etapas de campo, de laboratório e de pesquisa documental.</w:t>
      </w:r>
    </w:p>
    <w:p w:rsidR="00486A9E" w:rsidRDefault="00C11825" w:rsidP="00824730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etapa de campo, </w:t>
      </w:r>
      <w:r w:rsidR="00026BC8">
        <w:rPr>
          <w:sz w:val="22"/>
          <w:szCs w:val="22"/>
        </w:rPr>
        <w:t xml:space="preserve">a análise estrutural </w:t>
      </w:r>
      <w:r w:rsidR="00486A9E">
        <w:rPr>
          <w:sz w:val="22"/>
          <w:szCs w:val="22"/>
        </w:rPr>
        <w:t xml:space="preserve">da edificação e dos equipamentos presentes no interior desta, </w:t>
      </w:r>
      <w:r w:rsidR="00026BC8">
        <w:rPr>
          <w:sz w:val="22"/>
          <w:szCs w:val="22"/>
        </w:rPr>
        <w:t xml:space="preserve">permitiu identificar </w:t>
      </w:r>
      <w:r w:rsidR="00080175">
        <w:rPr>
          <w:sz w:val="22"/>
          <w:szCs w:val="22"/>
        </w:rPr>
        <w:t>como foco da explosão</w:t>
      </w:r>
      <w:r w:rsidR="00486A9E">
        <w:rPr>
          <w:sz w:val="22"/>
          <w:szCs w:val="22"/>
        </w:rPr>
        <w:t xml:space="preserve"> um dos reservatórios de armazenamento de água aquecida</w:t>
      </w:r>
      <w:r w:rsidR="00026BC8">
        <w:rPr>
          <w:sz w:val="22"/>
          <w:szCs w:val="22"/>
        </w:rPr>
        <w:t>.</w:t>
      </w:r>
      <w:r w:rsidR="006A774A">
        <w:rPr>
          <w:sz w:val="22"/>
          <w:szCs w:val="22"/>
        </w:rPr>
        <w:t xml:space="preserve"> O sinistro</w:t>
      </w:r>
      <w:r w:rsidR="00026BC8">
        <w:rPr>
          <w:sz w:val="22"/>
          <w:szCs w:val="22"/>
        </w:rPr>
        <w:t xml:space="preserve"> causou avarias que </w:t>
      </w:r>
      <w:r w:rsidR="006A774A">
        <w:rPr>
          <w:sz w:val="22"/>
          <w:szCs w:val="22"/>
        </w:rPr>
        <w:t xml:space="preserve">interromperam o fornecimento de </w:t>
      </w:r>
      <w:r w:rsidR="00026BC8">
        <w:rPr>
          <w:sz w:val="22"/>
          <w:szCs w:val="22"/>
        </w:rPr>
        <w:t>energia elétrica nos arredores</w:t>
      </w:r>
      <w:r w:rsidR="006A774A">
        <w:rPr>
          <w:sz w:val="22"/>
          <w:szCs w:val="22"/>
        </w:rPr>
        <w:t xml:space="preserve">. A </w:t>
      </w:r>
      <w:r w:rsidR="00026BC8">
        <w:rPr>
          <w:sz w:val="22"/>
          <w:szCs w:val="22"/>
        </w:rPr>
        <w:t xml:space="preserve">análise </w:t>
      </w:r>
      <w:r w:rsidR="00486A9E">
        <w:rPr>
          <w:sz w:val="22"/>
          <w:szCs w:val="22"/>
        </w:rPr>
        <w:t>d</w:t>
      </w:r>
      <w:r w:rsidR="006A774A">
        <w:rPr>
          <w:sz w:val="22"/>
          <w:szCs w:val="22"/>
        </w:rPr>
        <w:t>as</w:t>
      </w:r>
      <w:r w:rsidR="00486A9E">
        <w:rPr>
          <w:sz w:val="22"/>
          <w:szCs w:val="22"/>
        </w:rPr>
        <w:t xml:space="preserve"> imagens</w:t>
      </w:r>
      <w:r w:rsidR="00486A9E" w:rsidRPr="00486A9E">
        <w:rPr>
          <w:sz w:val="22"/>
          <w:szCs w:val="22"/>
        </w:rPr>
        <w:t xml:space="preserve"> </w:t>
      </w:r>
      <w:r w:rsidR="00486A9E">
        <w:rPr>
          <w:sz w:val="22"/>
          <w:szCs w:val="22"/>
        </w:rPr>
        <w:t xml:space="preserve">de câmeras de monitoramento de um estabelecimento vizinho </w:t>
      </w:r>
      <w:r w:rsidR="006A774A">
        <w:rPr>
          <w:sz w:val="22"/>
          <w:szCs w:val="22"/>
        </w:rPr>
        <w:t>possibilitou precisar</w:t>
      </w:r>
      <w:r w:rsidR="00486A9E">
        <w:rPr>
          <w:sz w:val="22"/>
          <w:szCs w:val="22"/>
        </w:rPr>
        <w:t xml:space="preserve"> o horário de interrupção do fornecimento de energia elétrica</w:t>
      </w:r>
      <w:r w:rsidR="006A774A">
        <w:rPr>
          <w:sz w:val="22"/>
          <w:szCs w:val="22"/>
        </w:rPr>
        <w:t xml:space="preserve">. </w:t>
      </w:r>
      <w:r w:rsidR="00486A9E">
        <w:rPr>
          <w:sz w:val="22"/>
          <w:szCs w:val="22"/>
        </w:rPr>
        <w:t xml:space="preserve">A </w:t>
      </w:r>
      <w:r w:rsidR="00026BC8">
        <w:rPr>
          <w:sz w:val="22"/>
          <w:szCs w:val="22"/>
        </w:rPr>
        <w:t xml:space="preserve">certificação de componentes eletroeletrônicos </w:t>
      </w:r>
      <w:r w:rsidR="00486A9E">
        <w:rPr>
          <w:sz w:val="22"/>
          <w:szCs w:val="22"/>
        </w:rPr>
        <w:t>das caldeiras</w:t>
      </w:r>
      <w:r w:rsidR="006A774A">
        <w:rPr>
          <w:sz w:val="22"/>
          <w:szCs w:val="22"/>
        </w:rPr>
        <w:t>, e a determinação do horário da explosão</w:t>
      </w:r>
      <w:r w:rsidR="00080175">
        <w:rPr>
          <w:sz w:val="22"/>
          <w:szCs w:val="22"/>
        </w:rPr>
        <w:t>,</w:t>
      </w:r>
      <w:r w:rsidR="00486A9E">
        <w:rPr>
          <w:sz w:val="22"/>
          <w:szCs w:val="22"/>
        </w:rPr>
        <w:t xml:space="preserve"> evidenciaram que </w:t>
      </w:r>
      <w:r w:rsidR="006A774A">
        <w:rPr>
          <w:sz w:val="22"/>
          <w:szCs w:val="22"/>
        </w:rPr>
        <w:t>as caldeiras estavam</w:t>
      </w:r>
      <w:r w:rsidR="00080175">
        <w:rPr>
          <w:sz w:val="22"/>
          <w:szCs w:val="22"/>
        </w:rPr>
        <w:t xml:space="preserve"> desligadas no momento da explosão</w:t>
      </w:r>
      <w:r w:rsidR="006A774A">
        <w:rPr>
          <w:sz w:val="22"/>
          <w:szCs w:val="22"/>
        </w:rPr>
        <w:t>,</w:t>
      </w:r>
      <w:r w:rsidR="00080175">
        <w:rPr>
          <w:sz w:val="22"/>
          <w:szCs w:val="22"/>
        </w:rPr>
        <w:t xml:space="preserve"> não </w:t>
      </w:r>
      <w:r w:rsidR="006A774A">
        <w:rPr>
          <w:sz w:val="22"/>
          <w:szCs w:val="22"/>
        </w:rPr>
        <w:t>tendo</w:t>
      </w:r>
      <w:r w:rsidR="00080175">
        <w:rPr>
          <w:sz w:val="22"/>
          <w:szCs w:val="22"/>
        </w:rPr>
        <w:t xml:space="preserve"> qualquer influência no sinistro.</w:t>
      </w:r>
    </w:p>
    <w:p w:rsidR="00D66DB9" w:rsidRDefault="00D66DB9" w:rsidP="00D66DB9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Na ausência de operação das caldeiras, o sistema de aquecimento de água era mantido com o auxílio de resistências elétricas e termostatos. A análise estrutural das avarias no reservatório sinistrado e em sua tampa evidenciaram a região de eclosão da explosão em sua porção anterior direita. Havia um avançado estado de corrosão interna. Ressalta-se que a </w:t>
      </w:r>
      <w:r w:rsidRPr="0032165A">
        <w:rPr>
          <w:sz w:val="22"/>
          <w:szCs w:val="22"/>
        </w:rPr>
        <w:t>vida útil do equipamento é um aspec</w:t>
      </w:r>
      <w:r>
        <w:rPr>
          <w:sz w:val="22"/>
          <w:szCs w:val="22"/>
        </w:rPr>
        <w:t xml:space="preserve">to importante a ser respeitado. Em casos de corrosão avançada, </w:t>
      </w:r>
      <w:r w:rsidRPr="0032165A">
        <w:rPr>
          <w:sz w:val="22"/>
          <w:szCs w:val="22"/>
        </w:rPr>
        <w:t>o risco de acidente tende a aumentar na proporção que diminuem a tensão admissível do material e a espessura efetiva de parede.</w:t>
      </w:r>
      <w:r>
        <w:rPr>
          <w:sz w:val="22"/>
          <w:szCs w:val="22"/>
        </w:rPr>
        <w:t xml:space="preserve"> Amostras dessa região foram coletadas para exames complementares de análises laboratoriais.</w:t>
      </w:r>
    </w:p>
    <w:p w:rsidR="00D55EBC" w:rsidRDefault="004A1F23" w:rsidP="00824730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Na etapa de laboratório, evidenciou-se que a corrosão nas amostras apresentavam profundidade aproximada de um quarto à me</w:t>
      </w:r>
      <w:r w:rsidR="00CF3290">
        <w:rPr>
          <w:sz w:val="22"/>
          <w:szCs w:val="22"/>
        </w:rPr>
        <w:t>tade da espessura das amostras.</w:t>
      </w:r>
      <w:r w:rsidR="00D66DB9">
        <w:rPr>
          <w:sz w:val="22"/>
          <w:szCs w:val="22"/>
        </w:rPr>
        <w:t xml:space="preserve"> </w:t>
      </w:r>
      <w:r>
        <w:rPr>
          <w:sz w:val="22"/>
          <w:szCs w:val="22"/>
        </w:rPr>
        <w:t>As análises de microestrutura e de microdureza das amostras - inclusive na junta de solda entre a tampa e a estrutura do reservatório - evidenciaram tratarem-se de aço carbono ferítico perlítico, com valores de dureza típicos para o material, não sendo constatada qualquer anomalia microestrutura</w:t>
      </w:r>
      <w:r w:rsidR="00CF3290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="00CF3290">
        <w:rPr>
          <w:sz w:val="22"/>
          <w:szCs w:val="22"/>
        </w:rPr>
        <w:t xml:space="preserve">ou </w:t>
      </w:r>
      <w:r>
        <w:rPr>
          <w:sz w:val="22"/>
          <w:szCs w:val="22"/>
        </w:rPr>
        <w:t>de microdureza.</w:t>
      </w:r>
      <w:r w:rsidR="00CF3290">
        <w:rPr>
          <w:sz w:val="22"/>
          <w:szCs w:val="22"/>
        </w:rPr>
        <w:t xml:space="preserve"> </w:t>
      </w:r>
      <w:r w:rsidR="001D2633">
        <w:rPr>
          <w:sz w:val="22"/>
          <w:szCs w:val="22"/>
        </w:rPr>
        <w:t>Os resultados da</w:t>
      </w:r>
      <w:r w:rsidR="00CF3290">
        <w:rPr>
          <w:sz w:val="22"/>
          <w:szCs w:val="22"/>
        </w:rPr>
        <w:t xml:space="preserve"> análise química</w:t>
      </w:r>
      <w:r w:rsidR="001D2633">
        <w:rPr>
          <w:sz w:val="22"/>
          <w:szCs w:val="22"/>
        </w:rPr>
        <w:t xml:space="preserve"> reiteraram tratar-se de um</w:t>
      </w:r>
      <w:r w:rsidR="00CF3290">
        <w:rPr>
          <w:sz w:val="22"/>
          <w:szCs w:val="22"/>
        </w:rPr>
        <w:t xml:space="preserve"> material constituído de aço carbono típicos </w:t>
      </w:r>
      <w:r>
        <w:rPr>
          <w:sz w:val="22"/>
          <w:szCs w:val="22"/>
        </w:rPr>
        <w:t>para a aplicação a que se destinavam.</w:t>
      </w:r>
    </w:p>
    <w:p w:rsidR="006B00A7" w:rsidRPr="00734E3C" w:rsidRDefault="00D83186" w:rsidP="00824730">
      <w:pPr>
        <w:spacing w:line="240" w:lineRule="auto"/>
        <w:ind w:firstLine="851"/>
        <w:rPr>
          <w:sz w:val="22"/>
          <w:szCs w:val="22"/>
        </w:rPr>
      </w:pPr>
      <w:r w:rsidRPr="00734E3C">
        <w:rPr>
          <w:sz w:val="22"/>
          <w:szCs w:val="22"/>
        </w:rPr>
        <w:t>A</w:t>
      </w:r>
      <w:r w:rsidR="003F0931" w:rsidRPr="00734E3C">
        <w:rPr>
          <w:sz w:val="22"/>
          <w:szCs w:val="22"/>
        </w:rPr>
        <w:t xml:space="preserve"> pesquisa documental</w:t>
      </w:r>
      <w:r w:rsidRPr="00734E3C">
        <w:rPr>
          <w:sz w:val="22"/>
          <w:szCs w:val="22"/>
        </w:rPr>
        <w:t xml:space="preserve"> foi dividida em </w:t>
      </w:r>
      <w:r w:rsidR="00CC7593" w:rsidRPr="00734E3C">
        <w:rPr>
          <w:sz w:val="22"/>
          <w:szCs w:val="22"/>
        </w:rPr>
        <w:t>etapas</w:t>
      </w:r>
      <w:r w:rsidRPr="00734E3C">
        <w:rPr>
          <w:sz w:val="22"/>
          <w:szCs w:val="22"/>
        </w:rPr>
        <w:t>.</w:t>
      </w:r>
      <w:r w:rsidR="00CC7593" w:rsidRPr="00734E3C">
        <w:rPr>
          <w:sz w:val="22"/>
          <w:szCs w:val="22"/>
        </w:rPr>
        <w:t xml:space="preserve"> A primeira,</w:t>
      </w:r>
      <w:r w:rsidRPr="00734E3C">
        <w:rPr>
          <w:sz w:val="22"/>
          <w:szCs w:val="22"/>
        </w:rPr>
        <w:t xml:space="preserve"> </w:t>
      </w:r>
      <w:r w:rsidR="00CC7593" w:rsidRPr="00734E3C">
        <w:rPr>
          <w:sz w:val="22"/>
          <w:szCs w:val="22"/>
        </w:rPr>
        <w:t>consistiu n</w:t>
      </w:r>
      <w:r w:rsidRPr="00734E3C">
        <w:rPr>
          <w:sz w:val="22"/>
          <w:szCs w:val="22"/>
        </w:rPr>
        <w:t>a</w:t>
      </w:r>
      <w:r w:rsidR="00CC7593" w:rsidRPr="00734E3C">
        <w:rPr>
          <w:sz w:val="22"/>
          <w:szCs w:val="22"/>
        </w:rPr>
        <w:t xml:space="preserve"> análise </w:t>
      </w:r>
      <w:r w:rsidRPr="00734E3C">
        <w:rPr>
          <w:sz w:val="22"/>
          <w:szCs w:val="22"/>
        </w:rPr>
        <w:t xml:space="preserve">dos manuais </w:t>
      </w:r>
      <w:r w:rsidR="00E573A1" w:rsidRPr="00734E3C">
        <w:rPr>
          <w:sz w:val="22"/>
          <w:szCs w:val="22"/>
        </w:rPr>
        <w:t xml:space="preserve">de fabricação </w:t>
      </w:r>
      <w:r w:rsidRPr="00734E3C">
        <w:rPr>
          <w:sz w:val="22"/>
          <w:szCs w:val="22"/>
        </w:rPr>
        <w:t>e do</w:t>
      </w:r>
      <w:r w:rsidR="00E573A1" w:rsidRPr="00734E3C">
        <w:rPr>
          <w:sz w:val="22"/>
          <w:szCs w:val="22"/>
        </w:rPr>
        <w:t>s</w:t>
      </w:r>
      <w:r w:rsidRPr="00734E3C">
        <w:rPr>
          <w:sz w:val="22"/>
          <w:szCs w:val="22"/>
        </w:rPr>
        <w:t xml:space="preserve"> histórico</w:t>
      </w:r>
      <w:r w:rsidR="00E573A1" w:rsidRPr="00734E3C">
        <w:rPr>
          <w:sz w:val="22"/>
          <w:szCs w:val="22"/>
        </w:rPr>
        <w:t>s</w:t>
      </w:r>
      <w:r w:rsidRPr="00734E3C">
        <w:rPr>
          <w:sz w:val="22"/>
          <w:szCs w:val="22"/>
        </w:rPr>
        <w:t xml:space="preserve"> de </w:t>
      </w:r>
      <w:r w:rsidR="00E573A1" w:rsidRPr="00734E3C">
        <w:rPr>
          <w:sz w:val="22"/>
          <w:szCs w:val="22"/>
        </w:rPr>
        <w:t>inspeção/</w:t>
      </w:r>
      <w:r w:rsidRPr="00734E3C">
        <w:rPr>
          <w:sz w:val="22"/>
          <w:szCs w:val="22"/>
        </w:rPr>
        <w:t>manutenção d</w:t>
      </w:r>
      <w:r w:rsidR="00CC7593" w:rsidRPr="00734E3C">
        <w:rPr>
          <w:sz w:val="22"/>
          <w:szCs w:val="22"/>
        </w:rPr>
        <w:t>os equipamentos de interesse.</w:t>
      </w:r>
      <w:r w:rsidR="00E573A1" w:rsidRPr="00734E3C">
        <w:rPr>
          <w:sz w:val="22"/>
          <w:szCs w:val="22"/>
        </w:rPr>
        <w:t xml:space="preserve"> Os responsáveis pelo estabelecimento hoteleiro disponibilizaram </w:t>
      </w:r>
      <w:r w:rsidR="00F10ED3">
        <w:rPr>
          <w:sz w:val="22"/>
          <w:szCs w:val="22"/>
        </w:rPr>
        <w:t>a</w:t>
      </w:r>
      <w:r w:rsidR="00CC7593" w:rsidRPr="00734E3C">
        <w:rPr>
          <w:sz w:val="22"/>
          <w:szCs w:val="22"/>
        </w:rPr>
        <w:t>queles referentes às</w:t>
      </w:r>
      <w:r w:rsidR="00E573A1" w:rsidRPr="00734E3C">
        <w:rPr>
          <w:sz w:val="22"/>
          <w:szCs w:val="22"/>
        </w:rPr>
        <w:t xml:space="preserve"> caldeiras, porém não possuíam qualquer documentação referente aos reservatórios de </w:t>
      </w:r>
      <w:r w:rsidR="00CC7593" w:rsidRPr="00734E3C">
        <w:rPr>
          <w:sz w:val="22"/>
          <w:szCs w:val="22"/>
        </w:rPr>
        <w:t>armazenamento de água aquecida</w:t>
      </w:r>
      <w:r w:rsidR="00C86D3A">
        <w:rPr>
          <w:sz w:val="22"/>
          <w:szCs w:val="22"/>
        </w:rPr>
        <w:t>. S</w:t>
      </w:r>
      <w:r w:rsidR="00E573A1" w:rsidRPr="00734E3C">
        <w:rPr>
          <w:sz w:val="22"/>
          <w:szCs w:val="22"/>
        </w:rPr>
        <w:t xml:space="preserve">obre </w:t>
      </w:r>
      <w:r w:rsidR="00CC7593" w:rsidRPr="00734E3C">
        <w:rPr>
          <w:sz w:val="22"/>
          <w:szCs w:val="22"/>
        </w:rPr>
        <w:t>estes, relataram</w:t>
      </w:r>
      <w:r w:rsidR="00E573A1" w:rsidRPr="00734E3C">
        <w:rPr>
          <w:sz w:val="22"/>
          <w:szCs w:val="22"/>
        </w:rPr>
        <w:t xml:space="preserve"> </w:t>
      </w:r>
      <w:r w:rsidR="00CC7593" w:rsidRPr="00734E3C">
        <w:rPr>
          <w:sz w:val="22"/>
          <w:szCs w:val="22"/>
        </w:rPr>
        <w:t>possuírem</w:t>
      </w:r>
      <w:r w:rsidR="006B00A7" w:rsidRPr="00734E3C">
        <w:rPr>
          <w:sz w:val="22"/>
          <w:szCs w:val="22"/>
        </w:rPr>
        <w:t xml:space="preserve"> 18 anos de uso </w:t>
      </w:r>
      <w:r w:rsidR="00CC7593" w:rsidRPr="00734E3C">
        <w:rPr>
          <w:sz w:val="22"/>
          <w:szCs w:val="22"/>
        </w:rPr>
        <w:t xml:space="preserve">sem quaisquer </w:t>
      </w:r>
      <w:r w:rsidR="006B00A7" w:rsidRPr="00734E3C">
        <w:rPr>
          <w:sz w:val="22"/>
          <w:szCs w:val="22"/>
        </w:rPr>
        <w:t>inspeções e serviços de manutenção n</w:t>
      </w:r>
      <w:r w:rsidR="00CC7593" w:rsidRPr="00734E3C">
        <w:rPr>
          <w:sz w:val="22"/>
          <w:szCs w:val="22"/>
        </w:rPr>
        <w:t>este período</w:t>
      </w:r>
      <w:r w:rsidR="006B00A7" w:rsidRPr="00734E3C">
        <w:rPr>
          <w:sz w:val="22"/>
          <w:szCs w:val="22"/>
        </w:rPr>
        <w:t>.</w:t>
      </w:r>
      <w:r w:rsidR="00CC7593" w:rsidRPr="00734E3C">
        <w:rPr>
          <w:sz w:val="22"/>
          <w:szCs w:val="22"/>
        </w:rPr>
        <w:t xml:space="preserve"> </w:t>
      </w:r>
      <w:r w:rsidRPr="00734E3C">
        <w:rPr>
          <w:sz w:val="22"/>
          <w:szCs w:val="22"/>
        </w:rPr>
        <w:t xml:space="preserve">A segunda </w:t>
      </w:r>
      <w:r w:rsidR="00CC7593" w:rsidRPr="00734E3C">
        <w:rPr>
          <w:sz w:val="22"/>
          <w:szCs w:val="22"/>
        </w:rPr>
        <w:t xml:space="preserve">etapa </w:t>
      </w:r>
      <w:r w:rsidR="006B00A7" w:rsidRPr="00734E3C">
        <w:rPr>
          <w:sz w:val="22"/>
          <w:szCs w:val="22"/>
        </w:rPr>
        <w:t>foi alicerçada na NR-13</w:t>
      </w:r>
      <w:r w:rsidR="00CC7593" w:rsidRPr="00734E3C">
        <w:rPr>
          <w:sz w:val="22"/>
          <w:szCs w:val="22"/>
        </w:rPr>
        <w:t xml:space="preserve">, onde </w:t>
      </w:r>
      <w:r w:rsidR="000E62DA">
        <w:rPr>
          <w:sz w:val="22"/>
          <w:szCs w:val="22"/>
        </w:rPr>
        <w:t xml:space="preserve">se </w:t>
      </w:r>
      <w:r w:rsidR="00CC7593" w:rsidRPr="00734E3C">
        <w:rPr>
          <w:sz w:val="22"/>
          <w:szCs w:val="22"/>
        </w:rPr>
        <w:t>determinou que o</w:t>
      </w:r>
      <w:r w:rsidR="006B00A7" w:rsidRPr="00734E3C">
        <w:rPr>
          <w:sz w:val="22"/>
          <w:szCs w:val="22"/>
        </w:rPr>
        <w:t xml:space="preserve"> reservatório sinistrado encontrava-se efetivamente enquadrado n</w:t>
      </w:r>
      <w:r w:rsidR="00CC7593" w:rsidRPr="00734E3C">
        <w:rPr>
          <w:sz w:val="22"/>
          <w:szCs w:val="22"/>
        </w:rPr>
        <w:t>a norma</w:t>
      </w:r>
      <w:r w:rsidR="006B00A7" w:rsidRPr="00734E3C">
        <w:rPr>
          <w:sz w:val="22"/>
          <w:szCs w:val="22"/>
        </w:rPr>
        <w:t>, como um vaso de pressão de categoria V, deve</w:t>
      </w:r>
      <w:r w:rsidR="00CC7593" w:rsidRPr="00734E3C">
        <w:rPr>
          <w:sz w:val="22"/>
          <w:szCs w:val="22"/>
        </w:rPr>
        <w:t>ndo</w:t>
      </w:r>
      <w:r w:rsidR="006B00A7" w:rsidRPr="00734E3C">
        <w:rPr>
          <w:sz w:val="22"/>
          <w:szCs w:val="22"/>
        </w:rPr>
        <w:t xml:space="preserve"> obedecer os prazos máximos de inspeção de segurança: exame externo – 5 anos, exame interno – 10 anos, e teste hidrostático – 20 anos.</w:t>
      </w:r>
    </w:p>
    <w:p w:rsidR="00734E3C" w:rsidRDefault="00BA23C0" w:rsidP="00D55EBC">
      <w:pPr>
        <w:spacing w:line="240" w:lineRule="auto"/>
        <w:ind w:firstLine="851"/>
        <w:rPr>
          <w:sz w:val="22"/>
          <w:szCs w:val="22"/>
        </w:rPr>
      </w:pPr>
      <w:r w:rsidRPr="00734E3C">
        <w:rPr>
          <w:sz w:val="22"/>
          <w:szCs w:val="22"/>
        </w:rPr>
        <w:t>Na</w:t>
      </w:r>
      <w:r w:rsidR="00F363E3" w:rsidRPr="00734E3C">
        <w:rPr>
          <w:sz w:val="22"/>
          <w:szCs w:val="22"/>
        </w:rPr>
        <w:t xml:space="preserve"> terceira </w:t>
      </w:r>
      <w:r w:rsidR="00CC7593" w:rsidRPr="00734E3C">
        <w:rPr>
          <w:sz w:val="22"/>
          <w:szCs w:val="22"/>
        </w:rPr>
        <w:t>etapa</w:t>
      </w:r>
      <w:r w:rsidR="00F363E3" w:rsidRPr="00734E3C">
        <w:rPr>
          <w:sz w:val="22"/>
          <w:szCs w:val="22"/>
        </w:rPr>
        <w:t xml:space="preserve"> d</w:t>
      </w:r>
      <w:r w:rsidR="00CC7593" w:rsidRPr="00734E3C">
        <w:rPr>
          <w:sz w:val="22"/>
          <w:szCs w:val="22"/>
        </w:rPr>
        <w:t>a</w:t>
      </w:r>
      <w:r w:rsidR="00F363E3" w:rsidRPr="00734E3C">
        <w:rPr>
          <w:sz w:val="22"/>
          <w:szCs w:val="22"/>
        </w:rPr>
        <w:t xml:space="preserve"> pesquisa documental</w:t>
      </w:r>
      <w:r w:rsidR="00CC7593" w:rsidRPr="00734E3C">
        <w:rPr>
          <w:sz w:val="22"/>
          <w:szCs w:val="22"/>
        </w:rPr>
        <w:t>,</w:t>
      </w:r>
      <w:r w:rsidR="009217B6" w:rsidRPr="00734E3C">
        <w:t xml:space="preserve"> </w:t>
      </w:r>
      <w:r w:rsidR="009217B6" w:rsidRPr="00734E3C">
        <w:rPr>
          <w:sz w:val="22"/>
          <w:szCs w:val="22"/>
        </w:rPr>
        <w:t xml:space="preserve">levando-se em consideração as dimensões e a pressão hidrostática de operação do reservatório, </w:t>
      </w:r>
      <w:r w:rsidR="00CC7593" w:rsidRPr="00734E3C">
        <w:rPr>
          <w:sz w:val="22"/>
          <w:szCs w:val="22"/>
        </w:rPr>
        <w:t xml:space="preserve">estimou-se </w:t>
      </w:r>
      <w:r w:rsidR="009217B6" w:rsidRPr="00734E3C">
        <w:rPr>
          <w:sz w:val="22"/>
          <w:szCs w:val="22"/>
        </w:rPr>
        <w:t>que a força exercida pelo fluido sobre a tampa do reservatório era de 49,5 toneladas-força e que</w:t>
      </w:r>
      <w:r w:rsidR="00F10ED3">
        <w:rPr>
          <w:sz w:val="22"/>
          <w:szCs w:val="22"/>
        </w:rPr>
        <w:t xml:space="preserve"> a</w:t>
      </w:r>
      <w:r w:rsidR="009217B6" w:rsidRPr="00734E3C">
        <w:rPr>
          <w:sz w:val="22"/>
          <w:szCs w:val="22"/>
        </w:rPr>
        <w:t xml:space="preserve"> tensão tangencial atuante sobre a estrutura do reservatório era de 32MPa. </w:t>
      </w:r>
      <w:r w:rsidR="00053737" w:rsidRPr="00734E3C">
        <w:rPr>
          <w:sz w:val="22"/>
          <w:szCs w:val="22"/>
        </w:rPr>
        <w:t>Sendo</w:t>
      </w:r>
      <w:r w:rsidR="009217B6" w:rsidRPr="00734E3C">
        <w:rPr>
          <w:sz w:val="22"/>
          <w:szCs w:val="22"/>
        </w:rPr>
        <w:t xml:space="preserve"> </w:t>
      </w:r>
      <w:r w:rsidR="009217B6" w:rsidRPr="00734E3C">
        <w:rPr>
          <w:bCs/>
          <w:sz w:val="22"/>
          <w:szCs w:val="22"/>
        </w:rPr>
        <w:t>a tensão de escoamento de um aço similar ao do reservatório da ordem de 350MPa quando nas condições de operação (entre 40</w:t>
      </w:r>
      <w:r w:rsidR="009217B6" w:rsidRPr="00734E3C">
        <w:rPr>
          <w:bCs/>
          <w:sz w:val="22"/>
          <w:szCs w:val="22"/>
          <w:vertAlign w:val="superscript"/>
        </w:rPr>
        <w:t>o</w:t>
      </w:r>
      <w:r w:rsidR="009217B6" w:rsidRPr="00734E3C">
        <w:rPr>
          <w:bCs/>
          <w:sz w:val="22"/>
          <w:szCs w:val="22"/>
        </w:rPr>
        <w:t>C e 60</w:t>
      </w:r>
      <w:r w:rsidR="009217B6" w:rsidRPr="00734E3C">
        <w:rPr>
          <w:bCs/>
          <w:sz w:val="22"/>
          <w:szCs w:val="22"/>
          <w:vertAlign w:val="superscript"/>
        </w:rPr>
        <w:t>o</w:t>
      </w:r>
      <w:r w:rsidR="009217B6" w:rsidRPr="00734E3C">
        <w:rPr>
          <w:bCs/>
          <w:sz w:val="22"/>
          <w:szCs w:val="22"/>
        </w:rPr>
        <w:t>C)</w:t>
      </w:r>
      <w:r w:rsidR="009E4AE7">
        <w:rPr>
          <w:bCs/>
          <w:sz w:val="22"/>
          <w:szCs w:val="22"/>
        </w:rPr>
        <w:t>,</w:t>
      </w:r>
      <w:r w:rsidR="009217B6" w:rsidRPr="00734E3C">
        <w:rPr>
          <w:bCs/>
          <w:sz w:val="22"/>
          <w:szCs w:val="22"/>
        </w:rPr>
        <w:t xml:space="preserve"> e </w:t>
      </w:r>
      <w:r w:rsidR="00053737" w:rsidRPr="00734E3C">
        <w:rPr>
          <w:bCs/>
          <w:sz w:val="22"/>
          <w:szCs w:val="22"/>
        </w:rPr>
        <w:t>sabendo que a</w:t>
      </w:r>
      <w:r w:rsidR="009217B6" w:rsidRPr="00734E3C">
        <w:rPr>
          <w:bCs/>
          <w:sz w:val="22"/>
          <w:szCs w:val="22"/>
        </w:rPr>
        <w:t xml:space="preserve"> perda de resistência ao escoamento não é significativa para temperaturas até 250</w:t>
      </w:r>
      <w:r w:rsidR="009217B6" w:rsidRPr="00734E3C">
        <w:rPr>
          <w:bCs/>
          <w:sz w:val="22"/>
          <w:szCs w:val="22"/>
          <w:vertAlign w:val="superscript"/>
        </w:rPr>
        <w:t>o</w:t>
      </w:r>
      <w:r w:rsidR="009217B6" w:rsidRPr="00734E3C">
        <w:rPr>
          <w:bCs/>
          <w:sz w:val="22"/>
          <w:szCs w:val="22"/>
        </w:rPr>
        <w:t>C, o resultado corrobor</w:t>
      </w:r>
      <w:r w:rsidR="00053737" w:rsidRPr="00734E3C">
        <w:rPr>
          <w:bCs/>
          <w:sz w:val="22"/>
          <w:szCs w:val="22"/>
        </w:rPr>
        <w:t>ou</w:t>
      </w:r>
      <w:r w:rsidR="009217B6" w:rsidRPr="00734E3C">
        <w:rPr>
          <w:bCs/>
          <w:sz w:val="22"/>
          <w:szCs w:val="22"/>
        </w:rPr>
        <w:t xml:space="preserve"> que </w:t>
      </w:r>
      <w:r w:rsidRPr="00734E3C">
        <w:rPr>
          <w:bCs/>
          <w:sz w:val="22"/>
          <w:szCs w:val="22"/>
        </w:rPr>
        <w:t>a construção do reservatório foi adequada ao uso pretendido.</w:t>
      </w:r>
      <w:r w:rsidR="000C67DF" w:rsidRPr="00734E3C">
        <w:rPr>
          <w:bCs/>
          <w:sz w:val="22"/>
          <w:szCs w:val="22"/>
        </w:rPr>
        <w:t xml:space="preserve"> A</w:t>
      </w:r>
      <w:r w:rsidR="00053737" w:rsidRPr="00734E3C">
        <w:rPr>
          <w:bCs/>
          <w:sz w:val="22"/>
          <w:szCs w:val="22"/>
        </w:rPr>
        <w:t xml:space="preserve"> última etapa </w:t>
      </w:r>
      <w:r w:rsidR="000C67DF" w:rsidRPr="00734E3C">
        <w:rPr>
          <w:bCs/>
          <w:sz w:val="22"/>
          <w:szCs w:val="22"/>
        </w:rPr>
        <w:t>uma</w:t>
      </w:r>
      <w:r w:rsidR="00B21E36" w:rsidRPr="00734E3C">
        <w:rPr>
          <w:sz w:val="22"/>
          <w:szCs w:val="22"/>
        </w:rPr>
        <w:t xml:space="preserve"> </w:t>
      </w:r>
      <w:r w:rsidR="00014DC9" w:rsidRPr="00734E3C">
        <w:rPr>
          <w:sz w:val="22"/>
          <w:szCs w:val="22"/>
        </w:rPr>
        <w:t>pesquisa documental</w:t>
      </w:r>
      <w:r w:rsidR="000C67DF" w:rsidRPr="00734E3C">
        <w:rPr>
          <w:sz w:val="22"/>
          <w:szCs w:val="22"/>
        </w:rPr>
        <w:t xml:space="preserve">, baseada no levantamento de </w:t>
      </w:r>
      <w:r w:rsidR="00B21E36" w:rsidRPr="00734E3C">
        <w:rPr>
          <w:sz w:val="22"/>
          <w:szCs w:val="22"/>
        </w:rPr>
        <w:t>valore</w:t>
      </w:r>
      <w:r w:rsidR="000C67DF" w:rsidRPr="00734E3C">
        <w:rPr>
          <w:sz w:val="22"/>
          <w:szCs w:val="22"/>
        </w:rPr>
        <w:t>s</w:t>
      </w:r>
      <w:r w:rsidR="00014DC9" w:rsidRPr="00734E3C">
        <w:rPr>
          <w:sz w:val="22"/>
          <w:szCs w:val="22"/>
        </w:rPr>
        <w:t xml:space="preserve"> tabela</w:t>
      </w:r>
      <w:r w:rsidR="00B21E36" w:rsidRPr="00734E3C">
        <w:rPr>
          <w:sz w:val="22"/>
          <w:szCs w:val="22"/>
        </w:rPr>
        <w:t>dos</w:t>
      </w:r>
      <w:r w:rsidR="00014DC9" w:rsidRPr="00734E3C">
        <w:rPr>
          <w:sz w:val="22"/>
          <w:szCs w:val="22"/>
        </w:rPr>
        <w:t xml:space="preserve"> d</w:t>
      </w:r>
      <w:r w:rsidR="00B21E36" w:rsidRPr="00734E3C">
        <w:rPr>
          <w:sz w:val="22"/>
          <w:szCs w:val="22"/>
        </w:rPr>
        <w:t>as</w:t>
      </w:r>
      <w:r w:rsidR="00014DC9" w:rsidRPr="00734E3C">
        <w:rPr>
          <w:sz w:val="22"/>
          <w:szCs w:val="22"/>
        </w:rPr>
        <w:t xml:space="preserve"> temperaturas</w:t>
      </w:r>
      <w:r w:rsidR="00B21E36" w:rsidRPr="00734E3C">
        <w:rPr>
          <w:sz w:val="22"/>
          <w:szCs w:val="22"/>
        </w:rPr>
        <w:t xml:space="preserve"> </w:t>
      </w:r>
      <w:r w:rsidR="00014DC9" w:rsidRPr="00734E3C">
        <w:rPr>
          <w:sz w:val="22"/>
          <w:szCs w:val="22"/>
        </w:rPr>
        <w:t>vaporização da água nas pressões envolvidas</w:t>
      </w:r>
      <w:r w:rsidR="000C67DF" w:rsidRPr="00734E3C">
        <w:rPr>
          <w:sz w:val="22"/>
          <w:szCs w:val="22"/>
        </w:rPr>
        <w:t xml:space="preserve">, permitiu determinar, através de uma análise termodinâmica, que </w:t>
      </w:r>
      <w:r w:rsidR="00B21E36" w:rsidRPr="00734E3C">
        <w:rPr>
          <w:sz w:val="22"/>
          <w:szCs w:val="22"/>
        </w:rPr>
        <w:t xml:space="preserve">a </w:t>
      </w:r>
      <w:r w:rsidR="00014DC9" w:rsidRPr="00734E3C">
        <w:rPr>
          <w:sz w:val="22"/>
          <w:szCs w:val="22"/>
        </w:rPr>
        <w:t>explosão</w:t>
      </w:r>
      <w:r w:rsidR="00B21E36" w:rsidRPr="00734E3C">
        <w:rPr>
          <w:sz w:val="22"/>
          <w:szCs w:val="22"/>
        </w:rPr>
        <w:t xml:space="preserve"> ocorreu devido a uma súbita vaporização causada por brusca queda de pressão</w:t>
      </w:r>
      <w:r w:rsidR="000C67DF" w:rsidRPr="00734E3C">
        <w:rPr>
          <w:sz w:val="22"/>
          <w:szCs w:val="22"/>
        </w:rPr>
        <w:t>.</w:t>
      </w:r>
    </w:p>
    <w:p w:rsidR="00734E3C" w:rsidRDefault="0065142A" w:rsidP="00D55EBC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A despeito dos percalços enfrentados pela preservação inadequada, c</w:t>
      </w:r>
      <w:r w:rsidR="00734E3C">
        <w:rPr>
          <w:sz w:val="22"/>
          <w:szCs w:val="22"/>
        </w:rPr>
        <w:t>oncluiu-se como causas determinantes d</w:t>
      </w:r>
      <w:r>
        <w:rPr>
          <w:sz w:val="22"/>
          <w:szCs w:val="22"/>
        </w:rPr>
        <w:t>o sinistro</w:t>
      </w:r>
      <w:r w:rsidR="00734E3C">
        <w:rPr>
          <w:sz w:val="22"/>
          <w:szCs w:val="22"/>
        </w:rPr>
        <w:t xml:space="preserve"> a sucessão de dois fatores:</w:t>
      </w:r>
      <w:r w:rsidR="00734E3C" w:rsidRPr="00734E3C">
        <w:rPr>
          <w:sz w:val="22"/>
          <w:szCs w:val="22"/>
        </w:rPr>
        <w:t xml:space="preserve"> operação inadequada de pelo menos um dos termostatos, que permitiu a elevação da temperatura da água, ainda no estado líquido, acima dos 100</w:t>
      </w:r>
      <w:r w:rsidR="00734E3C" w:rsidRPr="00734E3C">
        <w:rPr>
          <w:sz w:val="22"/>
          <w:szCs w:val="22"/>
          <w:vertAlign w:val="superscript"/>
        </w:rPr>
        <w:t>o</w:t>
      </w:r>
      <w:r w:rsidR="00734E3C" w:rsidRPr="00734E3C">
        <w:rPr>
          <w:sz w:val="22"/>
          <w:szCs w:val="22"/>
        </w:rPr>
        <w:t>C</w:t>
      </w:r>
      <w:r w:rsidR="00734E3C">
        <w:rPr>
          <w:sz w:val="22"/>
          <w:szCs w:val="22"/>
        </w:rPr>
        <w:t xml:space="preserve">, e o </w:t>
      </w:r>
      <w:r w:rsidRPr="00B32F1D">
        <w:rPr>
          <w:sz w:val="22"/>
          <w:szCs w:val="22"/>
        </w:rPr>
        <w:t>comprometimento estrutural</w:t>
      </w:r>
      <w:r w:rsidRPr="00734E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reservatório sinistrado, cuja </w:t>
      </w:r>
      <w:r w:rsidR="00734E3C" w:rsidRPr="00734E3C">
        <w:rPr>
          <w:sz w:val="22"/>
          <w:szCs w:val="22"/>
        </w:rPr>
        <w:t>ruptura</w:t>
      </w:r>
      <w:r>
        <w:rPr>
          <w:sz w:val="22"/>
          <w:szCs w:val="22"/>
        </w:rPr>
        <w:t xml:space="preserve"> </w:t>
      </w:r>
      <w:r w:rsidRPr="00734E3C">
        <w:rPr>
          <w:sz w:val="22"/>
          <w:szCs w:val="22"/>
        </w:rPr>
        <w:t>produziu a queda brusca de pressão</w:t>
      </w:r>
      <w:r>
        <w:rPr>
          <w:sz w:val="22"/>
          <w:szCs w:val="22"/>
        </w:rPr>
        <w:t xml:space="preserve"> e a conseguinte vaporização súbita de grande quantidade de água</w:t>
      </w:r>
      <w:r w:rsidR="009E4AE7">
        <w:rPr>
          <w:sz w:val="22"/>
          <w:szCs w:val="22"/>
        </w:rPr>
        <w:t>, o</w:t>
      </w:r>
      <w:r>
        <w:rPr>
          <w:sz w:val="22"/>
          <w:szCs w:val="22"/>
        </w:rPr>
        <w:t xml:space="preserve"> que culminou na explosão.</w:t>
      </w:r>
    </w:p>
    <w:p w:rsidR="0065142A" w:rsidRPr="00FC71F5" w:rsidRDefault="0065142A" w:rsidP="0065142A">
      <w:pPr>
        <w:spacing w:line="240" w:lineRule="auto"/>
        <w:rPr>
          <w:sz w:val="22"/>
          <w:szCs w:val="22"/>
        </w:rPr>
      </w:pPr>
    </w:p>
    <w:p w:rsidR="0065142A" w:rsidRPr="00FC71F5" w:rsidRDefault="0065142A" w:rsidP="0065142A">
      <w:pPr>
        <w:pStyle w:val="Nivel1"/>
        <w:spacing w:line="240" w:lineRule="auto"/>
        <w:rPr>
          <w:sz w:val="20"/>
          <w:szCs w:val="22"/>
        </w:rPr>
      </w:pPr>
      <w:bookmarkStart w:id="0" w:name="_Toc311228598"/>
      <w:r w:rsidRPr="00FC71F5">
        <w:rPr>
          <w:sz w:val="20"/>
          <w:szCs w:val="22"/>
        </w:rPr>
        <w:t>REFERÊNCIAS BIBLIOGRÁFICAS</w:t>
      </w:r>
      <w:bookmarkEnd w:id="0"/>
    </w:p>
    <w:p w:rsidR="0065142A" w:rsidRPr="0065142A" w:rsidRDefault="0065142A" w:rsidP="0065142A">
      <w:pPr>
        <w:spacing w:line="240" w:lineRule="auto"/>
        <w:rPr>
          <w:sz w:val="20"/>
          <w:szCs w:val="22"/>
        </w:rPr>
      </w:pPr>
      <w:r w:rsidRPr="0065142A">
        <w:rPr>
          <w:sz w:val="20"/>
          <w:szCs w:val="22"/>
        </w:rPr>
        <w:t xml:space="preserve">1. </w:t>
      </w:r>
      <w:r w:rsidRPr="0065142A">
        <w:rPr>
          <w:bCs/>
          <w:sz w:val="20"/>
          <w:szCs w:val="22"/>
        </w:rPr>
        <w:t>BAZZO, E.</w:t>
      </w:r>
      <w:r w:rsidRPr="0065142A">
        <w:rPr>
          <w:b/>
          <w:bCs/>
          <w:sz w:val="20"/>
          <w:szCs w:val="22"/>
        </w:rPr>
        <w:t xml:space="preserve"> </w:t>
      </w:r>
      <w:r w:rsidRPr="0065142A">
        <w:rPr>
          <w:i/>
          <w:sz w:val="20"/>
          <w:szCs w:val="22"/>
        </w:rPr>
        <w:t>Geração de Vapor</w:t>
      </w:r>
      <w:r w:rsidRPr="0065142A">
        <w:rPr>
          <w:sz w:val="20"/>
          <w:szCs w:val="22"/>
        </w:rPr>
        <w:t>. 2º ed. Florianópolis: UFSC, 1995.</w:t>
      </w:r>
    </w:p>
    <w:p w:rsidR="0065142A" w:rsidRPr="0065142A" w:rsidRDefault="0065142A" w:rsidP="0065142A">
      <w:pPr>
        <w:spacing w:line="240" w:lineRule="auto"/>
        <w:rPr>
          <w:sz w:val="20"/>
          <w:szCs w:val="22"/>
        </w:rPr>
      </w:pPr>
      <w:r w:rsidRPr="0065142A">
        <w:rPr>
          <w:sz w:val="20"/>
          <w:szCs w:val="22"/>
        </w:rPr>
        <w:t xml:space="preserve">2. BRASIL. Ministério do Trabalho. </w:t>
      </w:r>
      <w:r w:rsidRPr="0065142A">
        <w:rPr>
          <w:bCs/>
          <w:i/>
          <w:sz w:val="20"/>
          <w:szCs w:val="22"/>
        </w:rPr>
        <w:t>Caldeiras e Vasos de Pressão</w:t>
      </w:r>
      <w:r w:rsidRPr="0065142A">
        <w:rPr>
          <w:sz w:val="20"/>
          <w:szCs w:val="22"/>
        </w:rPr>
        <w:t>. Portaria GM n.º 3.214, de 08 de junho de 1978 - NR 13.</w:t>
      </w:r>
    </w:p>
    <w:p w:rsidR="0065142A" w:rsidRPr="0065142A" w:rsidRDefault="0065142A" w:rsidP="0065142A">
      <w:pPr>
        <w:spacing w:line="240" w:lineRule="auto"/>
        <w:rPr>
          <w:sz w:val="20"/>
          <w:szCs w:val="22"/>
        </w:rPr>
      </w:pPr>
      <w:r w:rsidRPr="0065142A">
        <w:rPr>
          <w:sz w:val="20"/>
          <w:szCs w:val="22"/>
        </w:rPr>
        <w:t xml:space="preserve">3. CAMPOS, Márcia Aparecida de. </w:t>
      </w:r>
      <w:r w:rsidRPr="0065142A">
        <w:rPr>
          <w:i/>
          <w:sz w:val="20"/>
          <w:szCs w:val="22"/>
        </w:rPr>
        <w:t>Estudo das instalações e operação de caldeira e vasos de pressão de uma instituição hospitalar sob análise da NR 13</w:t>
      </w:r>
      <w:r w:rsidRPr="0065142A">
        <w:rPr>
          <w:sz w:val="20"/>
          <w:szCs w:val="22"/>
        </w:rPr>
        <w:t>. Criciúma-SC, 2011.</w:t>
      </w:r>
    </w:p>
    <w:p w:rsidR="0065142A" w:rsidRPr="0065142A" w:rsidRDefault="0065142A" w:rsidP="0065142A">
      <w:pPr>
        <w:spacing w:line="240" w:lineRule="auto"/>
        <w:rPr>
          <w:sz w:val="20"/>
          <w:szCs w:val="22"/>
        </w:rPr>
      </w:pPr>
      <w:r w:rsidRPr="0065142A">
        <w:rPr>
          <w:sz w:val="20"/>
          <w:szCs w:val="22"/>
        </w:rPr>
        <w:t xml:space="preserve">4. </w:t>
      </w:r>
      <w:r w:rsidRPr="0065142A">
        <w:rPr>
          <w:bCs/>
          <w:sz w:val="20"/>
          <w:szCs w:val="22"/>
        </w:rPr>
        <w:t>CRUZ, Carlos Augusto Ornellas da; SILVA, Gustavo Murilo Alcântara</w:t>
      </w:r>
      <w:r w:rsidRPr="0065142A">
        <w:rPr>
          <w:sz w:val="20"/>
          <w:szCs w:val="22"/>
        </w:rPr>
        <w:t xml:space="preserve">. </w:t>
      </w:r>
      <w:r w:rsidRPr="0065142A">
        <w:rPr>
          <w:i/>
          <w:sz w:val="20"/>
          <w:szCs w:val="22"/>
        </w:rPr>
        <w:t>Caldeiras e vasos de pressão - NR-13: análise do pré-requisito de 1</w:t>
      </w:r>
      <w:r w:rsidRPr="0065142A">
        <w:rPr>
          <w:i/>
          <w:sz w:val="20"/>
          <w:szCs w:val="22"/>
          <w:vertAlign w:val="superscript"/>
        </w:rPr>
        <w:t>o</w:t>
      </w:r>
      <w:r w:rsidRPr="0065142A">
        <w:rPr>
          <w:i/>
          <w:sz w:val="20"/>
          <w:szCs w:val="22"/>
        </w:rPr>
        <w:t xml:space="preserve"> grau necessário para capacitação dos profissionais que participam dos treinamentos de segurança</w:t>
      </w:r>
      <w:r w:rsidRPr="0065142A">
        <w:rPr>
          <w:sz w:val="20"/>
          <w:szCs w:val="22"/>
        </w:rPr>
        <w:t>. Salvador-BA, 2008.</w:t>
      </w:r>
    </w:p>
    <w:p w:rsidR="001D2633" w:rsidRPr="00BD2918" w:rsidRDefault="0065142A" w:rsidP="00BD2918">
      <w:pPr>
        <w:spacing w:line="240" w:lineRule="auto"/>
        <w:rPr>
          <w:sz w:val="20"/>
          <w:szCs w:val="22"/>
        </w:rPr>
      </w:pPr>
      <w:r w:rsidRPr="0065142A">
        <w:rPr>
          <w:sz w:val="20"/>
          <w:szCs w:val="22"/>
        </w:rPr>
        <w:t xml:space="preserve">5. VAN WYLEN, Gordon; SONNTAG, Richard; BORGNAKKE, Claus. </w:t>
      </w:r>
      <w:r w:rsidRPr="0065142A">
        <w:rPr>
          <w:i/>
          <w:sz w:val="20"/>
          <w:szCs w:val="22"/>
        </w:rPr>
        <w:t>Fundamentos da Termodinâmica Clássica</w:t>
      </w:r>
      <w:r w:rsidRPr="0065142A">
        <w:rPr>
          <w:sz w:val="20"/>
          <w:szCs w:val="22"/>
        </w:rPr>
        <w:t>. Apêndice A, Tabe</w:t>
      </w:r>
      <w:bookmarkStart w:id="1" w:name="_GoBack"/>
      <w:bookmarkEnd w:id="1"/>
      <w:r w:rsidRPr="0065142A">
        <w:rPr>
          <w:sz w:val="20"/>
          <w:szCs w:val="22"/>
        </w:rPr>
        <w:t>la A.1.2 - Água saturada: tabela em função da pressão. São Paulo-SP: p. 519, Ed. Edgard Blücher LTDA, 1995.</w:t>
      </w:r>
    </w:p>
    <w:sectPr w:rsidR="001D2633" w:rsidRPr="00BD2918" w:rsidSect="003037F9">
      <w:headerReference w:type="default" r:id="rId10"/>
      <w:footerReference w:type="default" r:id="rId11"/>
      <w:pgSz w:w="11906" w:h="16838" w:code="9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D9" w:rsidRDefault="00E222D9" w:rsidP="003752F7">
      <w:pPr>
        <w:spacing w:line="240" w:lineRule="auto"/>
      </w:pPr>
      <w:r>
        <w:separator/>
      </w:r>
    </w:p>
  </w:endnote>
  <w:endnote w:type="continuationSeparator" w:id="0">
    <w:p w:rsidR="00E222D9" w:rsidRDefault="00E222D9" w:rsidP="00375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942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53737" w:rsidRPr="003752F7" w:rsidRDefault="00D20DC6">
        <w:pPr>
          <w:pStyle w:val="Rodap"/>
          <w:jc w:val="right"/>
          <w:rPr>
            <w:sz w:val="20"/>
            <w:szCs w:val="20"/>
          </w:rPr>
        </w:pPr>
        <w:r w:rsidRPr="003752F7">
          <w:rPr>
            <w:sz w:val="20"/>
            <w:szCs w:val="20"/>
          </w:rPr>
          <w:fldChar w:fldCharType="begin"/>
        </w:r>
        <w:r w:rsidR="00053737" w:rsidRPr="003752F7">
          <w:rPr>
            <w:sz w:val="20"/>
            <w:szCs w:val="20"/>
          </w:rPr>
          <w:instrText xml:space="preserve"> PAGE   \* MERGEFORMAT </w:instrText>
        </w:r>
        <w:r w:rsidRPr="003752F7">
          <w:rPr>
            <w:sz w:val="20"/>
            <w:szCs w:val="20"/>
          </w:rPr>
          <w:fldChar w:fldCharType="separate"/>
        </w:r>
        <w:r w:rsidR="00E1604B">
          <w:rPr>
            <w:noProof/>
            <w:sz w:val="20"/>
            <w:szCs w:val="20"/>
          </w:rPr>
          <w:t>1</w:t>
        </w:r>
        <w:r w:rsidRPr="003752F7">
          <w:rPr>
            <w:sz w:val="20"/>
            <w:szCs w:val="20"/>
          </w:rPr>
          <w:fldChar w:fldCharType="end"/>
        </w:r>
      </w:p>
    </w:sdtContent>
  </w:sdt>
  <w:p w:rsidR="00053737" w:rsidRDefault="000537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D9" w:rsidRDefault="00E222D9" w:rsidP="003752F7">
      <w:pPr>
        <w:spacing w:line="240" w:lineRule="auto"/>
      </w:pPr>
      <w:r>
        <w:separator/>
      </w:r>
    </w:p>
  </w:footnote>
  <w:footnote w:type="continuationSeparator" w:id="0">
    <w:p w:rsidR="00E222D9" w:rsidRDefault="00E222D9" w:rsidP="00375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37" w:rsidRPr="0056168D" w:rsidRDefault="0056168D" w:rsidP="003037F9">
    <w:pPr>
      <w:pStyle w:val="Cabealho"/>
      <w:jc w:val="center"/>
      <w:rPr>
        <w:bCs/>
        <w:sz w:val="22"/>
        <w:szCs w:val="22"/>
      </w:rPr>
    </w:pPr>
    <w:r w:rsidRPr="0056168D">
      <w:rPr>
        <w:bCs/>
        <w:sz w:val="22"/>
        <w:szCs w:val="22"/>
      </w:rPr>
      <w:t>XI Seminário Nacional de Fonética Forense, VIII Seminário Nacional de Perícias em Crimes de Informática e III Seminário Nacional de Análise Forense de Imagens</w:t>
    </w:r>
  </w:p>
  <w:p w:rsidR="00053737" w:rsidRDefault="0056168D" w:rsidP="003037F9">
    <w:pPr>
      <w:pStyle w:val="Cabealho"/>
      <w:jc w:val="center"/>
      <w:rPr>
        <w:bCs/>
        <w:i/>
        <w:sz w:val="20"/>
        <w:szCs w:val="20"/>
      </w:rPr>
    </w:pPr>
    <w:r w:rsidRPr="00043C0D">
      <w:rPr>
        <w:bCs/>
        <w:i/>
        <w:sz w:val="20"/>
        <w:szCs w:val="20"/>
      </w:rPr>
      <w:t>Florianópolis-SC, 16 a 18 de novembro de 2016</w:t>
    </w:r>
    <w:r w:rsidR="00053737" w:rsidRPr="006762AA">
      <w:rPr>
        <w:bCs/>
        <w:i/>
        <w:sz w:val="20"/>
        <w:szCs w:val="20"/>
      </w:rPr>
      <w:t>.</w:t>
    </w:r>
  </w:p>
  <w:p w:rsidR="00FF2189" w:rsidRPr="006762AA" w:rsidRDefault="00FF2189" w:rsidP="003037F9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B96"/>
    <w:multiLevelType w:val="hybridMultilevel"/>
    <w:tmpl w:val="6FF6A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4A54"/>
    <w:multiLevelType w:val="hybridMultilevel"/>
    <w:tmpl w:val="CD8E6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15650"/>
    <w:multiLevelType w:val="hybridMultilevel"/>
    <w:tmpl w:val="24DA1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86"/>
    <w:rsid w:val="000050E6"/>
    <w:rsid w:val="000110B8"/>
    <w:rsid w:val="000141D6"/>
    <w:rsid w:val="00014DC9"/>
    <w:rsid w:val="00026BC8"/>
    <w:rsid w:val="00042E0A"/>
    <w:rsid w:val="00043C0D"/>
    <w:rsid w:val="00051A3B"/>
    <w:rsid w:val="00053737"/>
    <w:rsid w:val="00053FCD"/>
    <w:rsid w:val="00080175"/>
    <w:rsid w:val="00090BA6"/>
    <w:rsid w:val="000B38F5"/>
    <w:rsid w:val="000C67DF"/>
    <w:rsid w:val="000C6C07"/>
    <w:rsid w:val="000D64F7"/>
    <w:rsid w:val="000E490F"/>
    <w:rsid w:val="000E62DA"/>
    <w:rsid w:val="001052AA"/>
    <w:rsid w:val="00115C7E"/>
    <w:rsid w:val="0012394C"/>
    <w:rsid w:val="00123D94"/>
    <w:rsid w:val="001451DD"/>
    <w:rsid w:val="0015364A"/>
    <w:rsid w:val="00167EE0"/>
    <w:rsid w:val="0018033F"/>
    <w:rsid w:val="001847FE"/>
    <w:rsid w:val="00196018"/>
    <w:rsid w:val="001978D2"/>
    <w:rsid w:val="001A2428"/>
    <w:rsid w:val="001A35F9"/>
    <w:rsid w:val="001A3F23"/>
    <w:rsid w:val="001A5588"/>
    <w:rsid w:val="001A715A"/>
    <w:rsid w:val="001B3C69"/>
    <w:rsid w:val="001D2633"/>
    <w:rsid w:val="001D7643"/>
    <w:rsid w:val="001E1232"/>
    <w:rsid w:val="001E221F"/>
    <w:rsid w:val="001F5735"/>
    <w:rsid w:val="00244839"/>
    <w:rsid w:val="00247455"/>
    <w:rsid w:val="00251C8D"/>
    <w:rsid w:val="00256A86"/>
    <w:rsid w:val="00262CE0"/>
    <w:rsid w:val="00272C6D"/>
    <w:rsid w:val="00273933"/>
    <w:rsid w:val="00281DFF"/>
    <w:rsid w:val="00293268"/>
    <w:rsid w:val="00293989"/>
    <w:rsid w:val="002A1F55"/>
    <w:rsid w:val="002C1772"/>
    <w:rsid w:val="002C1DE6"/>
    <w:rsid w:val="003037F9"/>
    <w:rsid w:val="003212D0"/>
    <w:rsid w:val="0032165A"/>
    <w:rsid w:val="00334F29"/>
    <w:rsid w:val="0034706C"/>
    <w:rsid w:val="00353468"/>
    <w:rsid w:val="00357D88"/>
    <w:rsid w:val="00372A5D"/>
    <w:rsid w:val="003752F7"/>
    <w:rsid w:val="0037720B"/>
    <w:rsid w:val="00382120"/>
    <w:rsid w:val="003928AB"/>
    <w:rsid w:val="003D455E"/>
    <w:rsid w:val="003E761E"/>
    <w:rsid w:val="003F0931"/>
    <w:rsid w:val="003F6A7C"/>
    <w:rsid w:val="00423161"/>
    <w:rsid w:val="00425FB9"/>
    <w:rsid w:val="004264DD"/>
    <w:rsid w:val="00442AB9"/>
    <w:rsid w:val="00460049"/>
    <w:rsid w:val="004600AE"/>
    <w:rsid w:val="00460CF2"/>
    <w:rsid w:val="00473BD3"/>
    <w:rsid w:val="00474F95"/>
    <w:rsid w:val="00486A9E"/>
    <w:rsid w:val="00491EA9"/>
    <w:rsid w:val="004A1F23"/>
    <w:rsid w:val="004B1A67"/>
    <w:rsid w:val="004D63F0"/>
    <w:rsid w:val="004D6CE8"/>
    <w:rsid w:val="004D7262"/>
    <w:rsid w:val="004E1122"/>
    <w:rsid w:val="004F21E1"/>
    <w:rsid w:val="0051281F"/>
    <w:rsid w:val="00514489"/>
    <w:rsid w:val="00516CB0"/>
    <w:rsid w:val="005342A4"/>
    <w:rsid w:val="00535C25"/>
    <w:rsid w:val="00541B84"/>
    <w:rsid w:val="00541C6C"/>
    <w:rsid w:val="00543A8C"/>
    <w:rsid w:val="0055601A"/>
    <w:rsid w:val="0056168D"/>
    <w:rsid w:val="00567BA9"/>
    <w:rsid w:val="00571EAF"/>
    <w:rsid w:val="0057510C"/>
    <w:rsid w:val="0059109E"/>
    <w:rsid w:val="00595933"/>
    <w:rsid w:val="00596AD6"/>
    <w:rsid w:val="005A5F31"/>
    <w:rsid w:val="005A71F4"/>
    <w:rsid w:val="005B6216"/>
    <w:rsid w:val="005D3B1F"/>
    <w:rsid w:val="005E0339"/>
    <w:rsid w:val="005E75EF"/>
    <w:rsid w:val="006028E9"/>
    <w:rsid w:val="00606784"/>
    <w:rsid w:val="006347BF"/>
    <w:rsid w:val="006378FF"/>
    <w:rsid w:val="00647C59"/>
    <w:rsid w:val="0065142A"/>
    <w:rsid w:val="00672251"/>
    <w:rsid w:val="006762AA"/>
    <w:rsid w:val="00677924"/>
    <w:rsid w:val="00690E86"/>
    <w:rsid w:val="006947F5"/>
    <w:rsid w:val="00696F59"/>
    <w:rsid w:val="006A774A"/>
    <w:rsid w:val="006B0091"/>
    <w:rsid w:val="006B00A7"/>
    <w:rsid w:val="006B0CC4"/>
    <w:rsid w:val="006B17A2"/>
    <w:rsid w:val="006C2ED4"/>
    <w:rsid w:val="006C74E3"/>
    <w:rsid w:val="006D18B3"/>
    <w:rsid w:val="006D26FC"/>
    <w:rsid w:val="006D4BC8"/>
    <w:rsid w:val="006E3323"/>
    <w:rsid w:val="006E33F4"/>
    <w:rsid w:val="006E4FEA"/>
    <w:rsid w:val="006F43BE"/>
    <w:rsid w:val="00704CD3"/>
    <w:rsid w:val="007148BD"/>
    <w:rsid w:val="00733C52"/>
    <w:rsid w:val="00734E3C"/>
    <w:rsid w:val="00746985"/>
    <w:rsid w:val="00755A52"/>
    <w:rsid w:val="0078302E"/>
    <w:rsid w:val="00784AD1"/>
    <w:rsid w:val="0079623C"/>
    <w:rsid w:val="007A109C"/>
    <w:rsid w:val="007C522E"/>
    <w:rsid w:val="007D0DBB"/>
    <w:rsid w:val="007E2E1A"/>
    <w:rsid w:val="0080108D"/>
    <w:rsid w:val="008039FA"/>
    <w:rsid w:val="00804B34"/>
    <w:rsid w:val="00811620"/>
    <w:rsid w:val="00813F18"/>
    <w:rsid w:val="00817160"/>
    <w:rsid w:val="00821CAD"/>
    <w:rsid w:val="00824730"/>
    <w:rsid w:val="00832F16"/>
    <w:rsid w:val="008572CF"/>
    <w:rsid w:val="00857E91"/>
    <w:rsid w:val="00860EDC"/>
    <w:rsid w:val="008949B2"/>
    <w:rsid w:val="008B5B05"/>
    <w:rsid w:val="008D7AB4"/>
    <w:rsid w:val="008E2991"/>
    <w:rsid w:val="00910D22"/>
    <w:rsid w:val="00920A53"/>
    <w:rsid w:val="009217B6"/>
    <w:rsid w:val="00941837"/>
    <w:rsid w:val="00950EFD"/>
    <w:rsid w:val="00987E5E"/>
    <w:rsid w:val="009A202B"/>
    <w:rsid w:val="009A5F55"/>
    <w:rsid w:val="009C3761"/>
    <w:rsid w:val="009C4AC1"/>
    <w:rsid w:val="009E0435"/>
    <w:rsid w:val="009E4343"/>
    <w:rsid w:val="009E4AE7"/>
    <w:rsid w:val="009F3B49"/>
    <w:rsid w:val="009F4702"/>
    <w:rsid w:val="009F60BF"/>
    <w:rsid w:val="00A30721"/>
    <w:rsid w:val="00A37102"/>
    <w:rsid w:val="00A51761"/>
    <w:rsid w:val="00A5398B"/>
    <w:rsid w:val="00A6702D"/>
    <w:rsid w:val="00A81023"/>
    <w:rsid w:val="00A9079D"/>
    <w:rsid w:val="00A9585D"/>
    <w:rsid w:val="00AE4966"/>
    <w:rsid w:val="00AE583C"/>
    <w:rsid w:val="00AF0BDD"/>
    <w:rsid w:val="00B00282"/>
    <w:rsid w:val="00B008DD"/>
    <w:rsid w:val="00B21E36"/>
    <w:rsid w:val="00B2671D"/>
    <w:rsid w:val="00B30B26"/>
    <w:rsid w:val="00B32F1D"/>
    <w:rsid w:val="00B33D8A"/>
    <w:rsid w:val="00B462A0"/>
    <w:rsid w:val="00B50074"/>
    <w:rsid w:val="00B702A7"/>
    <w:rsid w:val="00B81B4D"/>
    <w:rsid w:val="00BA23C0"/>
    <w:rsid w:val="00BA44CE"/>
    <w:rsid w:val="00BD2918"/>
    <w:rsid w:val="00BF6353"/>
    <w:rsid w:val="00C11825"/>
    <w:rsid w:val="00C26C44"/>
    <w:rsid w:val="00C630D3"/>
    <w:rsid w:val="00C86D3A"/>
    <w:rsid w:val="00C92FC6"/>
    <w:rsid w:val="00C92FFA"/>
    <w:rsid w:val="00CC0AEB"/>
    <w:rsid w:val="00CC6B7D"/>
    <w:rsid w:val="00CC7593"/>
    <w:rsid w:val="00CE4C43"/>
    <w:rsid w:val="00CE6D58"/>
    <w:rsid w:val="00CF0B20"/>
    <w:rsid w:val="00CF3290"/>
    <w:rsid w:val="00CF5D2A"/>
    <w:rsid w:val="00D026FA"/>
    <w:rsid w:val="00D03AB2"/>
    <w:rsid w:val="00D07C04"/>
    <w:rsid w:val="00D20DC6"/>
    <w:rsid w:val="00D31E9E"/>
    <w:rsid w:val="00D348C0"/>
    <w:rsid w:val="00D55EBC"/>
    <w:rsid w:val="00D6094C"/>
    <w:rsid w:val="00D66DB9"/>
    <w:rsid w:val="00D7559F"/>
    <w:rsid w:val="00D83186"/>
    <w:rsid w:val="00D85888"/>
    <w:rsid w:val="00DB64DF"/>
    <w:rsid w:val="00DC0E24"/>
    <w:rsid w:val="00DD690F"/>
    <w:rsid w:val="00DE2ADD"/>
    <w:rsid w:val="00DF7C5F"/>
    <w:rsid w:val="00E1604B"/>
    <w:rsid w:val="00E222D9"/>
    <w:rsid w:val="00E30AA9"/>
    <w:rsid w:val="00E573A1"/>
    <w:rsid w:val="00E65FFC"/>
    <w:rsid w:val="00E97951"/>
    <w:rsid w:val="00E979DF"/>
    <w:rsid w:val="00EA3AA3"/>
    <w:rsid w:val="00EA47BE"/>
    <w:rsid w:val="00EA4AD4"/>
    <w:rsid w:val="00EC6C1D"/>
    <w:rsid w:val="00ED5241"/>
    <w:rsid w:val="00EE266E"/>
    <w:rsid w:val="00EE70EE"/>
    <w:rsid w:val="00F10ED3"/>
    <w:rsid w:val="00F11B6C"/>
    <w:rsid w:val="00F15E18"/>
    <w:rsid w:val="00F22F39"/>
    <w:rsid w:val="00F363E3"/>
    <w:rsid w:val="00F42EBD"/>
    <w:rsid w:val="00F50A50"/>
    <w:rsid w:val="00F525A4"/>
    <w:rsid w:val="00F6162F"/>
    <w:rsid w:val="00F80A2A"/>
    <w:rsid w:val="00F90DCE"/>
    <w:rsid w:val="00FB34C0"/>
    <w:rsid w:val="00FB6D6C"/>
    <w:rsid w:val="00FC2E7B"/>
    <w:rsid w:val="00FC3308"/>
    <w:rsid w:val="00FC71F5"/>
    <w:rsid w:val="00FD150A"/>
    <w:rsid w:val="00FE0FA3"/>
    <w:rsid w:val="00FE594F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BEEE71-E6D9-4D0D-85C5-90E24B5C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81B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F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E86"/>
    <w:pPr>
      <w:spacing w:before="100" w:beforeAutospacing="1" w:after="100" w:afterAutospacing="1" w:line="240" w:lineRule="auto"/>
    </w:pPr>
  </w:style>
  <w:style w:type="character" w:customStyle="1" w:styleId="Ttulo1Char">
    <w:name w:val="Título 1 Char"/>
    <w:basedOn w:val="Fontepargpadro"/>
    <w:link w:val="Ttulo1"/>
    <w:rsid w:val="00C92FC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hps">
    <w:name w:val="hps"/>
    <w:basedOn w:val="Fontepargpadro"/>
    <w:rsid w:val="00196018"/>
  </w:style>
  <w:style w:type="character" w:styleId="Hyperlink">
    <w:name w:val="Hyperlink"/>
    <w:basedOn w:val="Fontepargpadro"/>
    <w:uiPriority w:val="99"/>
    <w:unhideWhenUsed/>
    <w:rsid w:val="008D7A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10B8"/>
    <w:pPr>
      <w:ind w:left="720"/>
      <w:contextualSpacing/>
    </w:pPr>
  </w:style>
  <w:style w:type="character" w:customStyle="1" w:styleId="st">
    <w:name w:val="st"/>
    <w:basedOn w:val="Fontepargpadro"/>
    <w:rsid w:val="00821CAD"/>
  </w:style>
  <w:style w:type="paragraph" w:customStyle="1" w:styleId="Nivel1">
    <w:name w:val="Nivel1"/>
    <w:basedOn w:val="Ttulo1"/>
    <w:link w:val="Nivel1Char"/>
    <w:qFormat/>
    <w:rsid w:val="00821CAD"/>
    <w:pPr>
      <w:tabs>
        <w:tab w:val="left" w:pos="5940"/>
      </w:tabs>
      <w:spacing w:before="0" w:after="0"/>
    </w:pPr>
    <w:rPr>
      <w:rFonts w:ascii="Times New Roman" w:hAnsi="Times New Roman" w:cs="Times New Roman"/>
      <w:sz w:val="24"/>
      <w:szCs w:val="24"/>
    </w:rPr>
  </w:style>
  <w:style w:type="character" w:customStyle="1" w:styleId="Nivel1Char">
    <w:name w:val="Nivel1 Char"/>
    <w:basedOn w:val="Ttulo1Char"/>
    <w:link w:val="Nivel1"/>
    <w:rsid w:val="00821CAD"/>
    <w:rPr>
      <w:rFonts w:ascii="Times New Roman" w:eastAsia="Times New Roman" w:hAnsi="Times New Roman" w:cs="Times New Roman"/>
      <w:b/>
      <w:bCs/>
      <w:kern w:val="32"/>
      <w:sz w:val="24"/>
      <w:szCs w:val="24"/>
      <w:lang w:eastAsia="pt-BR"/>
    </w:rPr>
  </w:style>
  <w:style w:type="paragraph" w:customStyle="1" w:styleId="referenciabibliografica">
    <w:name w:val="referencia bibliografica"/>
    <w:basedOn w:val="Normal"/>
    <w:rsid w:val="001847FE"/>
    <w:pPr>
      <w:widowControl w:val="0"/>
      <w:suppressAutoHyphens/>
      <w:spacing w:line="100" w:lineRule="atLeast"/>
      <w:ind w:left="567" w:hanging="567"/>
    </w:pPr>
    <w:rPr>
      <w:kern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F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F3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752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5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52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2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77638-9A9B-4A88-B43B-E8150DFA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1410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</dc:creator>
  <cp:lastModifiedBy>Roberta</cp:lastModifiedBy>
  <cp:revision>3</cp:revision>
  <cp:lastPrinted>2013-03-17T11:48:00Z</cp:lastPrinted>
  <dcterms:created xsi:type="dcterms:W3CDTF">2016-07-11T17:18:00Z</dcterms:created>
  <dcterms:modified xsi:type="dcterms:W3CDTF">2016-07-11T17:19:00Z</dcterms:modified>
</cp:coreProperties>
</file>