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EM ARIAL 14, CENTRALIZADO, NEGRITO E MAIÚSCULAS: subtítulo em Arial 14, negrito em minúscula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Nome do Autor Completo com Iniciais em Maiúscula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righ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Nome do Coautor Completo com Iniciais em Maiúscula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Nome do Coautor Completo com Iniciais em Maiúscula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righ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Agência Financiadora</w:t>
      </w:r>
      <w:r w:rsidDel="00000000" w:rsidR="00000000" w:rsidRPr="00000000">
        <w:rPr>
          <w:rFonts w:ascii="Arial" w:cs="Arial" w:eastAsia="Arial" w:hAnsi="Arial"/>
          <w:rtl w:val="0"/>
        </w:rPr>
        <w:t xml:space="preserve"> (se houver)</w:t>
      </w:r>
    </w:p>
    <w:p w:rsidR="00000000" w:rsidDel="00000000" w:rsidP="00000000" w:rsidRDefault="00000000" w:rsidRPr="00000000" w14:paraId="0000000A">
      <w:pPr>
        <w:spacing w:after="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Grupo de Trabalho (GT) :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Informe o número e o 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resumo deve ser escrito em fonte arial, tamanho 11, espaçamento simples, justificado, sem recuo de parágrafo, contendo de 100 a 150 palavras. O resumo é uma apresentação concisa dos pontos relevantes do trabalho, como: objetivos, abordagem metodológica, fundamentação teórica, resultados e/ou conclusões. Deve-se evitar o uso de citações bibliográficas.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listar até 5 palavras separadas por ponto e vírgula.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texto deve ser apresentando segundo as especificações a seguir e de acordo com os tópicos apresentados neste template.</w:t>
      </w:r>
    </w:p>
    <w:p w:rsidR="00000000" w:rsidDel="00000000" w:rsidP="00000000" w:rsidRDefault="00000000" w:rsidRPr="00000000" w14:paraId="00000017">
      <w:pPr>
        <w:spacing w:after="0"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Normas de formatação: arquivo em Word, tamanho do papel A4 (29,7 cm x 21 cm); Margem esquerda e superior: 3 cm; Margem direita e inferior: 2cm; Fonte: Arial, tamanho 11; Espaçamento entrelinhas: 1,5; Recuo (parágrafo) de 1,25 cm na primeira linha; Alinhamento do texto: justificado. Notas explicativas no rodapé devem estar em fonte Arial, tamanho 9 enumeradas em algarismos numéricos.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páginas deverão ser numeradas a partir da segunda página, no canto inferior direito. Tabelas, gráficos e quadros deverão ser enumerados e inseridos no espaço a eles destinados com suas respectivas legendas e fontes, seguindo as normas da ABNT. As figuras (em extensão jpg – a partir de 200 dpi) devem estar incluídas no arquivo Word. 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palavras estrangeiras e destaques devem ser citadas em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itálico.</w:t>
      </w:r>
      <w:r w:rsidDel="00000000" w:rsidR="00000000" w:rsidRPr="00000000">
        <w:rPr>
          <w:rFonts w:ascii="Arial" w:cs="Arial" w:eastAsia="Arial" w:hAnsi="Arial"/>
          <w:rtl w:val="0"/>
        </w:rPr>
        <w:t xml:space="preserve"> Nomes próprios estrangeiros não deverão estar em itálico.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referências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deverão ser elencadas ao final do documento, em ordem alfabética, sem numeração e espaçamento simples. Caso haja mais de uma obra do mesmo autor, citar, respeitando a ordem cronológica de publicação. Caso haja mais de uma obra do mesmo autor publicada no mesmo ano, diferenciá-las por meio de “a, b, c ...”. Somente devem constar na lista os autores efetivamente utilizados para a elaboração do trabalho.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citações diretas ou indiretas e a lista de referências devem seguir as normas da Associação Brasileira de Normas Técnicas (ABNT). Ex: Quando o autor for citado como parte da frase, deve-se citar da seguinte forma: i) De acordo com Moraes (2021, p. 51), “a liberdade religiosa é uma construção balizada no princípio da laicidade”; quando o autor não fizer parte da frase, deve-se citar assim: “A liberdade religiosa é uma construção balizada no princípio da laicidade” (Moraes, 2021, p. 51).</w:t>
      </w:r>
    </w:p>
    <w:p w:rsidR="00000000" w:rsidDel="00000000" w:rsidP="00000000" w:rsidRDefault="00000000" w:rsidRPr="00000000" w14:paraId="0000001C">
      <w:pPr>
        <w:spacing w:after="0" w:line="36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arquivo final deverá conter entre 10 mil e 20 mil caracteres com espaços, incluindo título, notas de rodapé e referências.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introdução deve apresentar a estrutura, objetivos e a metodologia de trabalho.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Fundamentação teórica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título de seção deverá ser escrito em negrito e com iniciais em maiúsculas, após o título dar um espaço (uma linha em branco) separará o título da seção do texto correspondente a ela. 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autor poderá optar por intitular esse item apenas como fundamentação teórica ou dar outro título atrelado ao tema em desenvolvimento.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haverá espaços (linhas em branco) entre os parágrafos. A primeira linha de cada um dos parágrafos terá um recuo de 1,5 cm.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 Metodologia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metodologia será explicitado o tipo de estudo, local, população (caso for pesquisa de campo), período, técnica e análise dos dados, bem como as normas éticas seguidas que foram utilizadas no caso de a pesquisa ser realizada com seres humanos.</w:t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o autor preferir, poderá inserir o conteúdo sobre a metodologia em outra parte do trabalho (como na introdução) e excluir esse tópico. </w:t>
      </w:r>
    </w:p>
    <w:p w:rsidR="00000000" w:rsidDel="00000000" w:rsidP="00000000" w:rsidRDefault="00000000" w:rsidRPr="00000000" w14:paraId="00000029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Resultados e Discussão</w: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Nessa parte, os autores apresentam os resultados, seguidos da discussão, com base nos achados encontrados e fundamentados nos autores de referência para o estudo. Podem ser apresentados trabalhos de pesquisa e iniciação científica, relatos de experiências docentes e/ou resultados de atividades pedagógicas em projetos de iniciação à docência.</w:t>
      </w:r>
    </w:p>
    <w:p w:rsidR="00000000" w:rsidDel="00000000" w:rsidP="00000000" w:rsidRDefault="00000000" w:rsidRPr="00000000" w14:paraId="0000002D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Caso o estudo esteja em desenvolvimento, poderão ser apresentados resultados parciais. 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Listar as principais conclusões ou ideias-fortes apresentas pelo trabalho. </w:t>
      </w:r>
    </w:p>
    <w:p w:rsidR="00000000" w:rsidDel="00000000" w:rsidP="00000000" w:rsidRDefault="00000000" w:rsidRPr="00000000" w14:paraId="00000032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considerações finais deverão apresentar os resultados finais e/ou parciais e não deverá conter citações diretas de terceiros.</w:t>
      </w:r>
    </w:p>
    <w:p w:rsidR="00000000" w:rsidDel="00000000" w:rsidP="00000000" w:rsidRDefault="00000000" w:rsidRPr="00000000" w14:paraId="00000033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Favor seguir as normas de diagramação aqui expostas, usando este exemplo como base para o seu texto. </w:t>
      </w:r>
    </w:p>
    <w:p w:rsidR="00000000" w:rsidDel="00000000" w:rsidP="00000000" w:rsidRDefault="00000000" w:rsidRPr="00000000" w14:paraId="00000034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submissão do resumo expandido significa que os autores concordam com a publicação deste nos anais do evento. </w:t>
      </w:r>
    </w:p>
    <w:p w:rsidR="00000000" w:rsidDel="00000000" w:rsidP="00000000" w:rsidRDefault="00000000" w:rsidRPr="00000000" w14:paraId="00000035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Nas referências, seguir as normas da ABNT, conforme o exemplo constante a seguir. </w:t>
      </w:r>
    </w:p>
    <w:p w:rsidR="00000000" w:rsidDel="00000000" w:rsidP="00000000" w:rsidRDefault="00000000" w:rsidRPr="00000000" w14:paraId="00000036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38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Seguir as normas da ABNT, exemplificadas abaixo, atentando-se para as seguintes observações: a) os nomes dos autores devem ser escritos por completo, evitando-se abreviações; b) título principal deve estar em itálico.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4"/>
        <w:gridCol w:w="5946"/>
        <w:tblGridChange w:id="0">
          <w:tblGrid>
            <w:gridCol w:w="3114"/>
            <w:gridCol w:w="59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12" w:val="single"/>
              <w:bottom w:color="808080" w:space="0" w:sz="12" w:val="single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widowControl w:val="0"/>
              <w:spacing w:after="120" w:before="12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</w:t>
            </w:r>
          </w:p>
        </w:tc>
        <w:tc>
          <w:tcPr>
            <w:tcBorders>
              <w:top w:color="808080" w:space="0" w:sz="12" w:val="single"/>
              <w:bottom w:color="80808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120" w:before="12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Exemplo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D">
            <w:pPr>
              <w:widowControl w:val="0"/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Dissertação, Tese, Monografia, TCC</w:t>
            </w:r>
          </w:p>
        </w:tc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PACHECO, Débora Reis.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 uso de materiais curriculares de Matemática por professores dos anos iniciais do Ensino Fundamental para o tema espaço e forma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2015. 174 f. Dissertação (Mestrado) - Curso de Mestrado em Educação Matemática, Faculdade de Ciências Exatas e Tecnologia, Pontifícia Universidade Católica de São Paulo, São Paulo, 2015.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F">
            <w:pPr>
              <w:widowControl w:val="0"/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Livro</w:t>
            </w:r>
          </w:p>
        </w:tc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PIRES, Celia Maria Carolino.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Currículo de Matemática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da organização linear à ideia de rede. São Paulo: FTD, 2000.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</w:tcPr>
          <w:p w:rsidR="00000000" w:rsidDel="00000000" w:rsidP="00000000" w:rsidRDefault="00000000" w:rsidRPr="00000000" w14:paraId="00000041">
            <w:pPr>
              <w:widowControl w:val="0"/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Capítulo de livro</w:t>
            </w:r>
          </w:p>
        </w:tc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CARVALHO, João Bosco Pitombeira de. As propostas curriculares de Matemática. In: BARRETO, Elba Siqueira Sá (org.).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Os currículos do Ensino Fundamental para as escolas brasileiras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2. ed. Campinas: Autores Associados, 2010. p. 91-125.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</w:tcPr>
          <w:p w:rsidR="00000000" w:rsidDel="00000000" w:rsidP="00000000" w:rsidRDefault="00000000" w:rsidRPr="00000000" w14:paraId="00000043">
            <w:pPr>
              <w:widowControl w:val="0"/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Organização de livro</w:t>
            </w:r>
          </w:p>
        </w:tc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REMILLARD, Janine T.; HERBEL-EISENMANN, Beth A.; LLOYD, Gwendolyn Monica. (org.).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Mathematics teachers at work: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connecting curriculum materials and classroom instruction. New York: Taylor &amp; Francis, 2009.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</w:tcPr>
          <w:p w:rsidR="00000000" w:rsidDel="00000000" w:rsidP="00000000" w:rsidRDefault="00000000" w:rsidRPr="00000000" w14:paraId="00000045">
            <w:pPr>
              <w:widowControl w:val="0"/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Obra traduzida</w:t>
            </w:r>
          </w:p>
        </w:tc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SACRISTÁN, Jose Gimeno.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 currículo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uma reflexão sobre a prática. 3. ed. Tradução: Ernani F. da Fonseca Rosa. Porto Alegre: Artmed, 2000.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</w:tcPr>
          <w:p w:rsidR="00000000" w:rsidDel="00000000" w:rsidP="00000000" w:rsidRDefault="00000000" w:rsidRPr="00000000" w14:paraId="00000047">
            <w:pPr>
              <w:widowControl w:val="0"/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Trabalhos publicados em anais de eventos</w:t>
            </w:r>
          </w:p>
        </w:tc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JANUARIO, Gilberto;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LIMA, Katia; PIRES, Celia Maria Carolino. Uma análise da relação que os professores estabelecem com os materiais curriculares de Matemática. In: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SIMPÓSIO INTERNACIONAL DE PESQUISA EM EDUCAÇÃO MATEMÁTICA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4, 2015, Ilhéus.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Anais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[...]. Ilhéus: UESC, 2015. p. 3208-3213.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</w:tcPr>
          <w:p w:rsidR="00000000" w:rsidDel="00000000" w:rsidP="00000000" w:rsidRDefault="00000000" w:rsidRPr="00000000" w14:paraId="00000049">
            <w:pPr>
              <w:widowControl w:val="0"/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Artigo de periódico</w:t>
            </w:r>
          </w:p>
        </w:tc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PERONI, Vera Maria Vidal; CAETANO, Maria Raquel; ARELARO, Lisete Regina Gomes. BNCC: disputa pela qualidade ou submissão da educação?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Revista Brasileira de Política e Administração da Educação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v. 35, n. 1, p. 35-56, 22 maio 2019.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</w:tcPr>
          <w:p w:rsidR="00000000" w:rsidDel="00000000" w:rsidP="00000000" w:rsidRDefault="00000000" w:rsidRPr="00000000" w14:paraId="0000004B">
            <w:pPr>
              <w:widowControl w:val="0"/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Trabalhos disponíveis na internet</w:t>
            </w:r>
          </w:p>
        </w:tc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POSTLETHWAITE, Thomas Neville.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Educational research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some basic concepts and terminology. Paris: UNESCO International Institute for Educational Planning, 2005. Disponível em: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sz w:val="22"/>
                  <w:szCs w:val="22"/>
                  <w:u w:val="single"/>
                  <w:rtl w:val="0"/>
                </w:rPr>
                <w:t xml:space="preserve">http://unesdoc.unesco.org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563c1"/>
                <w:sz w:val="22"/>
                <w:szCs w:val="22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Acesso em: 27 mar. 2020.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</w:tcPr>
          <w:p w:rsidR="00000000" w:rsidDel="00000000" w:rsidP="00000000" w:rsidRDefault="00000000" w:rsidRPr="00000000" w14:paraId="0000004D">
            <w:pPr>
              <w:widowControl w:val="0"/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Documento institucional</w:t>
            </w:r>
          </w:p>
        </w:tc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BRASIL. Secretaria de Educação Fundamental.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Proposta Curricular para a educação de jovens e adultos: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segundo segmento do ensino fundamental: 5ª a 8ª série: Matemática, Ciências, Arte e Educação Física. v. 3. Brasília: MEC, 2002.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</w:tcPr>
          <w:p w:rsidR="00000000" w:rsidDel="00000000" w:rsidP="00000000" w:rsidRDefault="00000000" w:rsidRPr="00000000" w14:paraId="0000004F">
            <w:pPr>
              <w:widowControl w:val="0"/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Legislação</w:t>
            </w:r>
          </w:p>
        </w:tc>
        <w:tc>
          <w:tcPr>
            <w:tcBorders>
              <w:top w:color="808080" w:space="0" w:sz="12" w:val="single"/>
              <w:bottom w:color="80808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120"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BRASIL.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Lei nº. 9.394, de 20 de dezembro de 1996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Estabelece as diretrizes e bases da educação nacional. Diário Oficial da União, Brasília, 23 dez. 1996.</w:t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1134" w:top="1701" w:left="1701" w:right="1134" w:header="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Informar última titulação. Vínculo Institucional.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Ex.: Mestrando em Educação pela UFES. Professor da Educação Básica do Estado do Espírito Santo. Contato: </w:t>
      </w:r>
      <w:hyperlink r:id="rId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josedasilva@gmail.com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Informar última titulação. Vínculo Institucional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Ex.: Graduando em Ciências da Religião pela Unochapecó. Atua na Secretaria de Educação de Chapecó/SC. Contato: </w:t>
      </w:r>
      <w:hyperlink r:id="rId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josedasilva@gmail.com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Informar última titulação. Vínculo Institucional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Ex.: Graduando em Ciências da Religião pela Unochapecó. Atua na Secretaria de Educação de Chapecó/SC. Contato: </w:t>
      </w:r>
      <w:hyperlink r:id="rId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josedasilva@gmail.com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25308" cy="178610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unesdoc.unesco.org/images/0018/001824/182459e.pdf" TargetMode="Externa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josedasilva@gmail.com" TargetMode="External"/><Relationship Id="rId2" Type="http://schemas.openxmlformats.org/officeDocument/2006/relationships/hyperlink" Target="mailto:josedasilva@gmail.com" TargetMode="External"/><Relationship Id="rId3" Type="http://schemas.openxmlformats.org/officeDocument/2006/relationships/hyperlink" Target="mailto:josedasilv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