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9190" w14:textId="7188A43C" w:rsidR="000A7D6B" w:rsidRPr="005514CA" w:rsidRDefault="00000000" w:rsidP="00E908F3">
      <w:pPr>
        <w:spacing w:before="90" w:line="278" w:lineRule="auto"/>
        <w:jc w:val="center"/>
        <w:rPr>
          <w:sz w:val="24"/>
          <w:szCs w:val="24"/>
        </w:rPr>
      </w:pPr>
      <w:r w:rsidRPr="005514CA">
        <w:rPr>
          <w:b/>
          <w:sz w:val="24"/>
          <w:szCs w:val="24"/>
        </w:rPr>
        <w:t>TÍTULO DO TRABALHO: LETRAS MAIÚSCULAS, UTILIZANDO FONTE TIME NEW ROMAN, CORPO 12, EM NEGRITO, CENTRALIZADO</w:t>
      </w:r>
    </w:p>
    <w:p w14:paraId="11C62E56" w14:textId="77777777" w:rsidR="000A7D6B" w:rsidRDefault="000A7D6B" w:rsidP="00E908F3">
      <w:pPr>
        <w:spacing w:before="90" w:line="278" w:lineRule="auto"/>
        <w:jc w:val="center"/>
      </w:pPr>
    </w:p>
    <w:p w14:paraId="7AEC57BB" w14:textId="77777777" w:rsidR="000A7D6B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acadêmico (completo e sem abreviaturas)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; Nome do co-orientador (completo e sem abreviaturas)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;  Nome do orientador (completo e sem abreviaturas)</w:t>
      </w:r>
      <w:r>
        <w:rPr>
          <w:color w:val="000000"/>
          <w:sz w:val="24"/>
          <w:szCs w:val="24"/>
          <w:vertAlign w:val="superscript"/>
        </w:rPr>
        <w:t>1</w:t>
      </w:r>
    </w:p>
    <w:p w14:paraId="57EE8D81" w14:textId="77777777" w:rsidR="000A7D6B" w:rsidRDefault="00000000" w:rsidP="00E908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CENTRO UNIVERSITÁRIO DE PATOS–UNIFIP, Patos, Paraíba, Brasil.</w:t>
      </w:r>
    </w:p>
    <w:p w14:paraId="75B76F58" w14:textId="77777777" w:rsidR="000A7D6B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before="41" w:line="278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Universidade Federal de Campina Grande, Campina Grande, Paraíba, Brasil. </w:t>
      </w:r>
      <w:hyperlink r:id="rId8">
        <w:r>
          <w:rPr>
            <w:color w:val="000000"/>
            <w:sz w:val="24"/>
            <w:szCs w:val="24"/>
          </w:rPr>
          <w:t>autorcorrespondente@fip.com.br</w:t>
        </w:r>
      </w:hyperlink>
    </w:p>
    <w:p w14:paraId="193768E0" w14:textId="77777777" w:rsidR="000A7D6B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7"/>
          <w:szCs w:val="27"/>
        </w:rPr>
      </w:pPr>
    </w:p>
    <w:p w14:paraId="7DBF0E0C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5514CA">
        <w:rPr>
          <w:b/>
          <w:color w:val="000000"/>
          <w:sz w:val="24"/>
          <w:szCs w:val="24"/>
        </w:rPr>
        <w:t>Introdução</w:t>
      </w:r>
    </w:p>
    <w:p w14:paraId="258AD6CD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5A5F3470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96"/>
        <w:jc w:val="both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</w:rPr>
        <w:t>A seção Introdução deve ser breve e conter a justificativa do problema estudado de forma clara, utilizando-se revisão de literatura. O último parágrafo deve conter os objetivos do trabalho realizado.</w:t>
      </w:r>
    </w:p>
    <w:p w14:paraId="116B8ED9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53CC5C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5514CA">
        <w:rPr>
          <w:b/>
          <w:color w:val="000000"/>
          <w:sz w:val="24"/>
          <w:szCs w:val="24"/>
        </w:rPr>
        <w:t>Material e Métodos</w:t>
      </w:r>
    </w:p>
    <w:p w14:paraId="37D3C1BC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51BC1ABE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900"/>
        <w:jc w:val="both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</w:rPr>
        <w:t>A seção Material e Métodos deve ser concisa, mas suficientemente clara, de modo que o leitor entenda e possa reproduzir os procedimentos utilizados. Deve conter as referências da metodologia de estudo e/ou análises laboratoriais empregadas.</w:t>
      </w:r>
    </w:p>
    <w:p w14:paraId="385AD5DF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0FCBA69A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5514CA">
        <w:rPr>
          <w:b/>
          <w:color w:val="000000"/>
          <w:sz w:val="24"/>
          <w:szCs w:val="24"/>
        </w:rPr>
        <w:t>Resultados e Discussão</w:t>
      </w:r>
    </w:p>
    <w:p w14:paraId="12C32C94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6491D9F1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</w:rPr>
        <w:t xml:space="preserve">A seção Resultados e Discussão deve conter os dados obtidos fazendo referência a medidas e cálculos estatísticos aplicados. A discussão dos resultados deve estar baseada e comparada com a literatura utilizada no trabalho de pesquisa, indicando sua relevância, vantagens e possíveis limitações. Figuras, gráficos e tabelas devem ser posicionadas dentro do texto e elaboradas de forma a apresentar qualidade necessária à boa reprodução. Recomenda-se a inserção de figuras no formato JPG. </w:t>
      </w:r>
      <w:r w:rsidRPr="005514CA">
        <w:rPr>
          <w:b/>
          <w:color w:val="000000"/>
          <w:sz w:val="24"/>
          <w:szCs w:val="24"/>
        </w:rPr>
        <w:t xml:space="preserve">Figuras coloridas serão permitidas. </w:t>
      </w:r>
      <w:r w:rsidRPr="005514CA">
        <w:rPr>
          <w:color w:val="000000"/>
          <w:sz w:val="24"/>
          <w:szCs w:val="24"/>
        </w:rPr>
        <w:t>As legendas devem ser posicionadas abaixo das figuras. Título de tabelas deve estar acima das mesmas. Sempre verifique que as figuras e tabelas estejam citadas no texto. Use “Figura”, seguido do número da figura, (ambos em negrito) no início da legenda (</w:t>
      </w:r>
      <w:r w:rsidRPr="005514CA">
        <w:rPr>
          <w:b/>
          <w:color w:val="000000"/>
          <w:sz w:val="24"/>
          <w:szCs w:val="24"/>
        </w:rPr>
        <w:t>Figura 1</w:t>
      </w:r>
      <w:r w:rsidRPr="005514CA">
        <w:rPr>
          <w:color w:val="000000"/>
          <w:sz w:val="24"/>
          <w:szCs w:val="24"/>
        </w:rPr>
        <w:t>, por exemplo; não abrevie). No texto, use abreviaturas (Fig. 1, por exemplo). Se a figura é composta de várias outras menores, inclua “A” e “B” para distingui-las, no canto inferior esquerdo de cada, colocando na legenda Fig. 1A, Fig. 1B e assim por diante. Não abrevie “Tabela” nas legendas. Tabelas são numeradas com números arábicos (</w:t>
      </w:r>
      <w:r w:rsidRPr="005514CA">
        <w:rPr>
          <w:b/>
          <w:color w:val="000000"/>
          <w:sz w:val="24"/>
          <w:szCs w:val="24"/>
        </w:rPr>
        <w:t>Tabela 1</w:t>
      </w:r>
      <w:r w:rsidRPr="005514CA">
        <w:rPr>
          <w:color w:val="000000"/>
          <w:sz w:val="24"/>
          <w:szCs w:val="24"/>
        </w:rPr>
        <w:t xml:space="preserve">, por exemplo). Use fonte 10 na tabela e gráficos. Para citações de autores no texto, siga os seguintes exemplos: Lillie (1999), Souza e Barcelos (2005) e Mariath et al. (2008) ou (SOUZA; BARCELOS, 2005). Nas Referências, devem ser listados apenas os trabalhos mencionados no texto, em ordem alfabética do último sobrenome, pelo primeiro autor. Dois ou mais autores, separar por ponto e vírgula; não use “et al.”, a menos que haja seis autores ou mais. Os títulos dos periódicos não devem ser abreviados. Citações de páginas encontradas na Internet </w:t>
      </w:r>
      <w:r w:rsidRPr="005514CA">
        <w:rPr>
          <w:b/>
          <w:color w:val="000000"/>
          <w:sz w:val="24"/>
          <w:szCs w:val="24"/>
        </w:rPr>
        <w:t xml:space="preserve">são permitidas </w:t>
      </w:r>
      <w:r w:rsidRPr="005514CA">
        <w:rPr>
          <w:color w:val="000000"/>
          <w:sz w:val="24"/>
          <w:szCs w:val="24"/>
        </w:rPr>
        <w:t xml:space="preserve">e devem seguir o exemplo abaixo (no item “referências”). </w:t>
      </w:r>
      <w:r w:rsidRPr="005514CA">
        <w:rPr>
          <w:b/>
          <w:color w:val="000000"/>
          <w:sz w:val="24"/>
          <w:szCs w:val="24"/>
        </w:rPr>
        <w:t>Usar fonte 10 para o item referências.</w:t>
      </w:r>
    </w:p>
    <w:p w14:paraId="4A62EAE3" w14:textId="77777777" w:rsidR="000A7D6B" w:rsidRPr="005514CA" w:rsidRDefault="000A7D6B" w:rsidP="00E908F3">
      <w:pPr>
        <w:rPr>
          <w:sz w:val="24"/>
          <w:szCs w:val="24"/>
        </w:rPr>
      </w:pPr>
    </w:p>
    <w:p w14:paraId="4FD9D55D" w14:textId="77777777" w:rsidR="000A7D6B" w:rsidRPr="005514CA" w:rsidRDefault="000A7D6B" w:rsidP="00E908F3">
      <w:pPr>
        <w:rPr>
          <w:sz w:val="24"/>
          <w:szCs w:val="24"/>
        </w:rPr>
      </w:pPr>
    </w:p>
    <w:p w14:paraId="72DB34E3" w14:textId="77777777" w:rsidR="000A7D6B" w:rsidRPr="005514CA" w:rsidRDefault="00000000" w:rsidP="00E908F3">
      <w:pPr>
        <w:spacing w:after="43"/>
        <w:rPr>
          <w:sz w:val="24"/>
          <w:szCs w:val="24"/>
        </w:rPr>
      </w:pPr>
      <w:r w:rsidRPr="005514CA">
        <w:rPr>
          <w:b/>
          <w:sz w:val="24"/>
          <w:szCs w:val="24"/>
        </w:rPr>
        <w:t xml:space="preserve">Tabela 1 - </w:t>
      </w:r>
      <w:r w:rsidRPr="005514CA">
        <w:rPr>
          <w:sz w:val="24"/>
          <w:szCs w:val="24"/>
        </w:rPr>
        <w:t xml:space="preserve">Atividade hemaglutinante de preparações de </w:t>
      </w:r>
      <w:r w:rsidRPr="005514CA">
        <w:rPr>
          <w:i/>
          <w:sz w:val="24"/>
          <w:szCs w:val="24"/>
        </w:rPr>
        <w:t>E. Malaccensis</w:t>
      </w:r>
      <w:r w:rsidRPr="005514CA">
        <w:rPr>
          <w:sz w:val="24"/>
          <w:szCs w:val="24"/>
        </w:rPr>
        <w:t>.</w:t>
      </w:r>
    </w:p>
    <w:tbl>
      <w:tblPr>
        <w:tblStyle w:val="a"/>
        <w:tblW w:w="90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68"/>
        <w:gridCol w:w="1500"/>
        <w:gridCol w:w="1674"/>
        <w:gridCol w:w="1386"/>
        <w:gridCol w:w="1660"/>
        <w:gridCol w:w="1514"/>
      </w:tblGrid>
      <w:tr w:rsidR="000A7D6B" w:rsidRPr="005514CA" w14:paraId="4F292606" w14:textId="77777777" w:rsidTr="00631307">
        <w:trPr>
          <w:trHeight w:val="634"/>
        </w:trPr>
        <w:tc>
          <w:tcPr>
            <w:tcW w:w="1268" w:type="dxa"/>
            <w:tcBorders>
              <w:top w:val="single" w:sz="18" w:space="0" w:color="000000"/>
              <w:bottom w:val="single" w:sz="6" w:space="0" w:color="000000"/>
            </w:tcBorders>
          </w:tcPr>
          <w:p w14:paraId="5E88DC14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i/>
                <w:color w:val="000000"/>
                <w:sz w:val="24"/>
                <w:szCs w:val="24"/>
              </w:rPr>
              <w:t>Amostras</w:t>
            </w:r>
          </w:p>
        </w:tc>
        <w:tc>
          <w:tcPr>
            <w:tcW w:w="1500" w:type="dxa"/>
            <w:tcBorders>
              <w:top w:val="single" w:sz="18" w:space="0" w:color="000000"/>
              <w:bottom w:val="single" w:sz="6" w:space="0" w:color="000000"/>
            </w:tcBorders>
          </w:tcPr>
          <w:p w14:paraId="436FCF98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i/>
                <w:color w:val="000000"/>
                <w:sz w:val="24"/>
                <w:szCs w:val="24"/>
              </w:rPr>
              <w:t>Proteínas</w:t>
            </w:r>
          </w:p>
          <w:p w14:paraId="337BDC60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i/>
                <w:color w:val="000000"/>
                <w:sz w:val="24"/>
                <w:szCs w:val="24"/>
              </w:rPr>
              <w:t>(mg/ml)</w:t>
            </w:r>
          </w:p>
        </w:tc>
        <w:tc>
          <w:tcPr>
            <w:tcW w:w="1674" w:type="dxa"/>
            <w:tcBorders>
              <w:top w:val="single" w:sz="18" w:space="0" w:color="000000"/>
              <w:bottom w:val="single" w:sz="6" w:space="0" w:color="000000"/>
            </w:tcBorders>
          </w:tcPr>
          <w:p w14:paraId="31C226C4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i/>
                <w:color w:val="000000"/>
                <w:sz w:val="24"/>
                <w:szCs w:val="24"/>
              </w:rPr>
              <w:t>Proteínas</w:t>
            </w:r>
          </w:p>
          <w:p w14:paraId="00560985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(totais)</w:t>
            </w:r>
          </w:p>
        </w:tc>
        <w:tc>
          <w:tcPr>
            <w:tcW w:w="1386" w:type="dxa"/>
            <w:tcBorders>
              <w:top w:val="single" w:sz="18" w:space="0" w:color="000000"/>
              <w:bottom w:val="single" w:sz="6" w:space="0" w:color="000000"/>
            </w:tcBorders>
          </w:tcPr>
          <w:p w14:paraId="7FB7DE66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i/>
                <w:color w:val="000000"/>
                <w:sz w:val="24"/>
                <w:szCs w:val="24"/>
              </w:rPr>
              <w:t>AH</w:t>
            </w:r>
          </w:p>
        </w:tc>
        <w:tc>
          <w:tcPr>
            <w:tcW w:w="1660" w:type="dxa"/>
            <w:tcBorders>
              <w:top w:val="single" w:sz="18" w:space="0" w:color="000000"/>
              <w:bottom w:val="single" w:sz="6" w:space="0" w:color="000000"/>
            </w:tcBorders>
          </w:tcPr>
          <w:p w14:paraId="4BDBD9E7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i/>
                <w:color w:val="000000"/>
                <w:sz w:val="24"/>
                <w:szCs w:val="24"/>
              </w:rPr>
              <w:t>AHT</w:t>
            </w:r>
          </w:p>
        </w:tc>
        <w:tc>
          <w:tcPr>
            <w:tcW w:w="1514" w:type="dxa"/>
            <w:tcBorders>
              <w:top w:val="single" w:sz="18" w:space="0" w:color="000000"/>
              <w:bottom w:val="single" w:sz="6" w:space="0" w:color="000000"/>
            </w:tcBorders>
          </w:tcPr>
          <w:p w14:paraId="4C435BE4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i/>
                <w:color w:val="000000"/>
                <w:sz w:val="24"/>
                <w:szCs w:val="24"/>
              </w:rPr>
              <w:t>AHE</w:t>
            </w:r>
          </w:p>
        </w:tc>
      </w:tr>
      <w:tr w:rsidR="000A7D6B" w:rsidRPr="005514CA" w14:paraId="21259C34" w14:textId="77777777" w:rsidTr="00631307">
        <w:trPr>
          <w:trHeight w:val="303"/>
        </w:trPr>
        <w:tc>
          <w:tcPr>
            <w:tcW w:w="1268" w:type="dxa"/>
            <w:tcBorders>
              <w:top w:val="single" w:sz="6" w:space="0" w:color="000000"/>
            </w:tcBorders>
          </w:tcPr>
          <w:p w14:paraId="78A4991B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color w:val="000000"/>
                <w:sz w:val="24"/>
                <w:szCs w:val="24"/>
              </w:rPr>
              <w:t>EB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5D929459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48,35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14:paraId="5B51F7C4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15472,00</w:t>
            </w:r>
          </w:p>
        </w:tc>
        <w:tc>
          <w:tcPr>
            <w:tcW w:w="1386" w:type="dxa"/>
            <w:tcBorders>
              <w:top w:val="single" w:sz="6" w:space="0" w:color="000000"/>
            </w:tcBorders>
          </w:tcPr>
          <w:p w14:paraId="729B0772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660" w:type="dxa"/>
            <w:tcBorders>
              <w:top w:val="single" w:sz="6" w:space="0" w:color="000000"/>
            </w:tcBorders>
          </w:tcPr>
          <w:p w14:paraId="40799A2C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655360</w:t>
            </w:r>
          </w:p>
        </w:tc>
        <w:tc>
          <w:tcPr>
            <w:tcW w:w="1514" w:type="dxa"/>
            <w:tcBorders>
              <w:top w:val="single" w:sz="6" w:space="0" w:color="000000"/>
            </w:tcBorders>
          </w:tcPr>
          <w:p w14:paraId="141C6A45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42,3</w:t>
            </w:r>
          </w:p>
        </w:tc>
      </w:tr>
      <w:tr w:rsidR="000A7D6B" w:rsidRPr="005514CA" w14:paraId="78AFC6BC" w14:textId="77777777" w:rsidTr="00631307">
        <w:trPr>
          <w:trHeight w:val="317"/>
        </w:trPr>
        <w:tc>
          <w:tcPr>
            <w:tcW w:w="1268" w:type="dxa"/>
          </w:tcPr>
          <w:p w14:paraId="3AE64724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color w:val="000000"/>
                <w:sz w:val="24"/>
                <w:szCs w:val="24"/>
              </w:rPr>
              <w:t>F0-80</w:t>
            </w:r>
          </w:p>
        </w:tc>
        <w:tc>
          <w:tcPr>
            <w:tcW w:w="1500" w:type="dxa"/>
          </w:tcPr>
          <w:p w14:paraId="2F43F829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674" w:type="dxa"/>
          </w:tcPr>
          <w:p w14:paraId="5D940CB1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190,68</w:t>
            </w:r>
          </w:p>
        </w:tc>
        <w:tc>
          <w:tcPr>
            <w:tcW w:w="1386" w:type="dxa"/>
          </w:tcPr>
          <w:p w14:paraId="13B7CD4D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660" w:type="dxa"/>
          </w:tcPr>
          <w:p w14:paraId="0D4BC523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21504</w:t>
            </w:r>
          </w:p>
        </w:tc>
        <w:tc>
          <w:tcPr>
            <w:tcW w:w="1514" w:type="dxa"/>
          </w:tcPr>
          <w:p w14:paraId="2ED6921A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112,7</w:t>
            </w:r>
          </w:p>
        </w:tc>
      </w:tr>
      <w:tr w:rsidR="000A7D6B" w:rsidRPr="005514CA" w14:paraId="5CE44015" w14:textId="77777777" w:rsidTr="00631307">
        <w:trPr>
          <w:trHeight w:val="332"/>
        </w:trPr>
        <w:tc>
          <w:tcPr>
            <w:tcW w:w="1268" w:type="dxa"/>
            <w:tcBorders>
              <w:bottom w:val="single" w:sz="18" w:space="0" w:color="000000"/>
            </w:tcBorders>
          </w:tcPr>
          <w:p w14:paraId="0A680B98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b/>
                <w:color w:val="000000"/>
                <w:sz w:val="24"/>
                <w:szCs w:val="24"/>
              </w:rPr>
              <w:t>SF80</w:t>
            </w:r>
          </w:p>
        </w:tc>
        <w:tc>
          <w:tcPr>
            <w:tcW w:w="1500" w:type="dxa"/>
            <w:tcBorders>
              <w:bottom w:val="single" w:sz="18" w:space="0" w:color="000000"/>
            </w:tcBorders>
          </w:tcPr>
          <w:p w14:paraId="54916BE8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674" w:type="dxa"/>
            <w:tcBorders>
              <w:bottom w:val="single" w:sz="18" w:space="0" w:color="000000"/>
            </w:tcBorders>
          </w:tcPr>
          <w:p w14:paraId="69E58B21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115,05</w:t>
            </w:r>
          </w:p>
        </w:tc>
        <w:tc>
          <w:tcPr>
            <w:tcW w:w="1386" w:type="dxa"/>
            <w:tcBorders>
              <w:bottom w:val="single" w:sz="18" w:space="0" w:color="000000"/>
            </w:tcBorders>
          </w:tcPr>
          <w:p w14:paraId="261767C0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0" w:type="dxa"/>
            <w:tcBorders>
              <w:bottom w:val="single" w:sz="18" w:space="0" w:color="000000"/>
            </w:tcBorders>
          </w:tcPr>
          <w:p w14:paraId="6AF406C4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4720</w:t>
            </w:r>
          </w:p>
        </w:tc>
        <w:tc>
          <w:tcPr>
            <w:tcW w:w="1514" w:type="dxa"/>
            <w:tcBorders>
              <w:bottom w:val="single" w:sz="18" w:space="0" w:color="000000"/>
            </w:tcBorders>
          </w:tcPr>
          <w:p w14:paraId="2EB47B20" w14:textId="77777777" w:rsidR="000A7D6B" w:rsidRPr="005514CA" w:rsidRDefault="00000000" w:rsidP="00E9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right"/>
              <w:rPr>
                <w:color w:val="000000"/>
                <w:sz w:val="24"/>
                <w:szCs w:val="24"/>
              </w:rPr>
            </w:pPr>
            <w:r w:rsidRPr="005514CA">
              <w:rPr>
                <w:color w:val="000000"/>
                <w:sz w:val="24"/>
                <w:szCs w:val="24"/>
              </w:rPr>
              <w:t>41,0</w:t>
            </w:r>
          </w:p>
        </w:tc>
      </w:tr>
    </w:tbl>
    <w:p w14:paraId="3B7B4E14" w14:textId="77777777" w:rsidR="000A7D6B" w:rsidRPr="005514CA" w:rsidRDefault="00000000" w:rsidP="00E908F3">
      <w:pPr>
        <w:rPr>
          <w:sz w:val="24"/>
          <w:szCs w:val="24"/>
        </w:rPr>
      </w:pPr>
      <w:r w:rsidRPr="005514CA">
        <w:rPr>
          <w:sz w:val="24"/>
          <w:szCs w:val="24"/>
        </w:rPr>
        <w:t>AH = Atividade hemaglutinante; AHT = Atividade hemaglutinante total; AH específica (AHE) = AH / proteínas (mg/mL); EB = Extrato bruto; F 0-80 = precipitado da fração 0-80; SF80 = Sobrenadante final de F 0-80.</w:t>
      </w:r>
    </w:p>
    <w:p w14:paraId="046F370D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14:paraId="399FA2C6" w14:textId="77777777" w:rsidR="000A7D6B" w:rsidRPr="005514CA" w:rsidRDefault="00000000" w:rsidP="00E908F3">
      <w:pPr>
        <w:spacing w:before="1"/>
        <w:rPr>
          <w:sz w:val="24"/>
          <w:szCs w:val="24"/>
        </w:rPr>
      </w:pPr>
      <w:r w:rsidRPr="005514CA">
        <w:rPr>
          <w:b/>
          <w:sz w:val="24"/>
          <w:szCs w:val="24"/>
        </w:rPr>
        <w:t xml:space="preserve">Figura 1 - </w:t>
      </w:r>
      <w:r w:rsidRPr="005514CA">
        <w:rPr>
          <w:sz w:val="24"/>
          <w:szCs w:val="24"/>
        </w:rPr>
        <w:t>Distribuição dos sítios tumorais</w:t>
      </w:r>
      <w:r w:rsidRPr="005514CA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4344AA16" wp14:editId="3C3DD7F2">
            <wp:simplePos x="0" y="0"/>
            <wp:positionH relativeFrom="column">
              <wp:posOffset>1084580</wp:posOffset>
            </wp:positionH>
            <wp:positionV relativeFrom="paragraph">
              <wp:posOffset>202565</wp:posOffset>
            </wp:positionV>
            <wp:extent cx="2564765" cy="1684020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684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34507C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00749F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5514CA">
        <w:rPr>
          <w:b/>
          <w:color w:val="000000"/>
          <w:sz w:val="24"/>
          <w:szCs w:val="24"/>
        </w:rPr>
        <w:t>Conclusões</w:t>
      </w:r>
    </w:p>
    <w:p w14:paraId="3286CDDB" w14:textId="77777777" w:rsidR="000A7D6B" w:rsidRPr="005514CA" w:rsidRDefault="000A7D6B" w:rsidP="00E908F3">
      <w:pPr>
        <w:rPr>
          <w:sz w:val="24"/>
          <w:szCs w:val="24"/>
        </w:rPr>
      </w:pPr>
    </w:p>
    <w:p w14:paraId="78941915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firstLine="840"/>
        <w:jc w:val="both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</w:rPr>
        <w:t>A conclusão do trabalho poderá ser apresentada em item específico ou no final dos resultados e Discussão. Deverá responder ao objetivo do trabalho explicitado na seção Introdução.</w:t>
      </w:r>
    </w:p>
    <w:p w14:paraId="64932241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7B95F98B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  <w:r w:rsidRPr="005514CA">
        <w:rPr>
          <w:b/>
          <w:color w:val="000000"/>
          <w:sz w:val="24"/>
          <w:szCs w:val="24"/>
        </w:rPr>
        <w:t>Agradecimentos (se houver)</w:t>
      </w:r>
    </w:p>
    <w:p w14:paraId="439332D8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0112714C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firstLine="892"/>
        <w:jc w:val="both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</w:rPr>
        <w:t>A seção Agradecimentos deve expressar os agradecimentos ao órgão que concedeu a bolsa, às instituições e às pessoas que contribuíram para o desenvolvimento da pesquisa (</w:t>
      </w:r>
      <w:r w:rsidRPr="005514CA">
        <w:rPr>
          <w:b/>
          <w:i/>
          <w:color w:val="000000"/>
          <w:sz w:val="24"/>
          <w:szCs w:val="24"/>
        </w:rPr>
        <w:t xml:space="preserve">exceto </w:t>
      </w:r>
      <w:r w:rsidRPr="005514CA">
        <w:rPr>
          <w:i/>
          <w:color w:val="000000"/>
          <w:sz w:val="24"/>
          <w:szCs w:val="24"/>
        </w:rPr>
        <w:t>o professor orientador</w:t>
      </w:r>
      <w:r w:rsidRPr="005514CA">
        <w:rPr>
          <w:color w:val="000000"/>
          <w:sz w:val="24"/>
          <w:szCs w:val="24"/>
        </w:rPr>
        <w:t>) seja em forma de apoio financeiro, de infra-estrutura ou científico.</w:t>
      </w:r>
    </w:p>
    <w:p w14:paraId="3B912882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14:paraId="4ACBCA09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5514CA">
        <w:rPr>
          <w:b/>
          <w:color w:val="000000"/>
          <w:sz w:val="24"/>
          <w:szCs w:val="24"/>
        </w:rPr>
        <w:t>Referências</w:t>
      </w:r>
    </w:p>
    <w:p w14:paraId="0712932A" w14:textId="77777777" w:rsidR="000A7D6B" w:rsidRPr="005514CA" w:rsidRDefault="000A7D6B" w:rsidP="00E908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A46834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</w:rPr>
        <w:t xml:space="preserve">BIANCHI, M.L.P.; ANTUNES, L.M.G. Radicais livres e os principais antioxidantes da dieta. </w:t>
      </w:r>
      <w:r w:rsidRPr="005514CA">
        <w:rPr>
          <w:b/>
          <w:color w:val="000000"/>
          <w:sz w:val="24"/>
          <w:szCs w:val="24"/>
        </w:rPr>
        <w:t>Revista de Biotecnologia</w:t>
      </w:r>
      <w:r w:rsidRPr="005514CA">
        <w:rPr>
          <w:color w:val="000000"/>
          <w:sz w:val="24"/>
          <w:szCs w:val="24"/>
        </w:rPr>
        <w:t>, v.12, p.123-130, 1999.</w:t>
      </w:r>
    </w:p>
    <w:p w14:paraId="343E8AB4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</w:rPr>
        <w:t xml:space="preserve">MELO, E.A.; MACIEL, M.I.S.; LIMA, V.L.A.G.; ARAÚJO, C.R. Teor de fenólicos totais e capacidade antioxidante de polpas congeladas de frutas. </w:t>
      </w:r>
      <w:r w:rsidRPr="005514CA">
        <w:rPr>
          <w:b/>
          <w:color w:val="000000"/>
          <w:sz w:val="24"/>
          <w:szCs w:val="24"/>
        </w:rPr>
        <w:t>Alimentação e Nutrição</w:t>
      </w:r>
      <w:r w:rsidRPr="005514CA">
        <w:rPr>
          <w:color w:val="000000"/>
          <w:sz w:val="24"/>
          <w:szCs w:val="24"/>
        </w:rPr>
        <w:t>, v.19, n.1, p.67-72, 2008.</w:t>
      </w:r>
    </w:p>
    <w:p w14:paraId="05AB4ED6" w14:textId="77777777" w:rsidR="000A7D6B" w:rsidRPr="005514CA" w:rsidRDefault="00000000" w:rsidP="00E908F3">
      <w:pPr>
        <w:spacing w:line="276" w:lineRule="auto"/>
        <w:jc w:val="both"/>
        <w:rPr>
          <w:sz w:val="24"/>
          <w:szCs w:val="24"/>
        </w:rPr>
      </w:pPr>
      <w:r w:rsidRPr="005514CA">
        <w:rPr>
          <w:sz w:val="24"/>
          <w:szCs w:val="24"/>
        </w:rPr>
        <w:t>BRUSTEIN, V.P. D</w:t>
      </w:r>
      <w:r w:rsidRPr="005514CA">
        <w:rPr>
          <w:b/>
          <w:sz w:val="24"/>
          <w:szCs w:val="24"/>
        </w:rPr>
        <w:t xml:space="preserve">etecção quimiluminescente do glicocódigo de tumores mamários utilizando lectinas conjugadas a éster de acridina. </w:t>
      </w:r>
      <w:r w:rsidRPr="005514CA">
        <w:rPr>
          <w:sz w:val="24"/>
          <w:szCs w:val="24"/>
        </w:rPr>
        <w:t>Recife, PE, 2011, 180f. Tese Doutorado (Química) Universidade Federal de Pernambuco.</w:t>
      </w:r>
    </w:p>
    <w:p w14:paraId="17FC2E41" w14:textId="77777777" w:rsidR="000A7D6B" w:rsidRPr="005514CA" w:rsidRDefault="00000000" w:rsidP="00E908F3">
      <w:pPr>
        <w:spacing w:line="276" w:lineRule="auto"/>
        <w:jc w:val="both"/>
        <w:rPr>
          <w:sz w:val="24"/>
          <w:szCs w:val="24"/>
          <w:lang w:val="en-US"/>
        </w:rPr>
      </w:pPr>
      <w:r w:rsidRPr="005514CA">
        <w:rPr>
          <w:sz w:val="24"/>
          <w:szCs w:val="24"/>
          <w:lang w:val="en-US"/>
        </w:rPr>
        <w:lastRenderedPageBreak/>
        <w:t xml:space="preserve">PUNT, W.; BLACKMORE, S.; NILSSON, S.; LE THOMAS, A. 1999 [Online]. </w:t>
      </w:r>
      <w:r w:rsidRPr="005514CA">
        <w:rPr>
          <w:b/>
          <w:sz w:val="24"/>
          <w:szCs w:val="24"/>
          <w:lang w:val="en-US"/>
        </w:rPr>
        <w:t xml:space="preserve">Glossary of pollen and spore terminology. </w:t>
      </w:r>
      <w:hyperlink r:id="rId10">
        <w:r w:rsidRPr="005514CA">
          <w:rPr>
            <w:sz w:val="24"/>
            <w:szCs w:val="24"/>
            <w:lang w:val="en-US"/>
          </w:rPr>
          <w:t>http://www.bio.uu.nl/~palaeo/glossary/glos-int.htm</w:t>
        </w:r>
      </w:hyperlink>
    </w:p>
    <w:p w14:paraId="4087242B" w14:textId="77777777" w:rsidR="000A7D6B" w:rsidRPr="005514CA" w:rsidRDefault="00000000" w:rsidP="00E908F3">
      <w:pPr>
        <w:spacing w:before="1" w:line="276" w:lineRule="auto"/>
        <w:jc w:val="both"/>
        <w:rPr>
          <w:sz w:val="24"/>
          <w:szCs w:val="24"/>
          <w:lang w:val="en-US"/>
        </w:rPr>
      </w:pPr>
      <w:r w:rsidRPr="005514CA">
        <w:rPr>
          <w:sz w:val="24"/>
          <w:szCs w:val="24"/>
          <w:lang w:val="en-US"/>
        </w:rPr>
        <w:t xml:space="preserve">RODRIGUEZ-AMAYA, D.B. </w:t>
      </w:r>
      <w:r w:rsidRPr="005514CA">
        <w:rPr>
          <w:b/>
          <w:sz w:val="24"/>
          <w:szCs w:val="24"/>
          <w:lang w:val="en-US"/>
        </w:rPr>
        <w:t xml:space="preserve">A guide to carotenoid analysis in foods. </w:t>
      </w:r>
      <w:r w:rsidRPr="005514CA">
        <w:rPr>
          <w:sz w:val="24"/>
          <w:szCs w:val="24"/>
          <w:lang w:val="en-US"/>
        </w:rPr>
        <w:t>Washington: ILSI Press, 1999, 92 p.</w:t>
      </w:r>
    </w:p>
    <w:p w14:paraId="09DB54BD" w14:textId="77777777" w:rsidR="000A7D6B" w:rsidRPr="005514CA" w:rsidRDefault="00000000" w:rsidP="00E908F3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jc w:val="both"/>
        <w:rPr>
          <w:color w:val="000000"/>
          <w:sz w:val="24"/>
          <w:szCs w:val="24"/>
        </w:rPr>
      </w:pPr>
      <w:r w:rsidRPr="005514CA">
        <w:rPr>
          <w:color w:val="000000"/>
          <w:sz w:val="24"/>
          <w:szCs w:val="24"/>
          <w:lang w:val="en-US"/>
        </w:rPr>
        <w:t xml:space="preserve">WETTASINGHE, M.; SHAHIDI, F. Evening primrose meal: a source of natural antioxidants and scavenger of hydrogen peroxide and oxygen-derived free radicals. </w:t>
      </w:r>
      <w:r w:rsidRPr="005514CA">
        <w:rPr>
          <w:b/>
          <w:color w:val="000000"/>
          <w:sz w:val="24"/>
          <w:szCs w:val="24"/>
        </w:rPr>
        <w:t>Journal of Agricultural and Food Chemistry</w:t>
      </w:r>
      <w:r w:rsidRPr="005514CA">
        <w:rPr>
          <w:color w:val="000000"/>
          <w:sz w:val="24"/>
          <w:szCs w:val="24"/>
        </w:rPr>
        <w:t>, v.47, p.801-1812, 1999.</w:t>
      </w:r>
    </w:p>
    <w:sectPr w:rsidR="000A7D6B" w:rsidRPr="005514CA" w:rsidSect="009A0EA2">
      <w:headerReference w:type="default" r:id="rId11"/>
      <w:pgSz w:w="11910" w:h="16840"/>
      <w:pgMar w:top="1134" w:right="1134" w:bottom="1134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4559" w14:textId="77777777" w:rsidR="00AA66E1" w:rsidRDefault="00AA66E1">
      <w:r>
        <w:separator/>
      </w:r>
    </w:p>
  </w:endnote>
  <w:endnote w:type="continuationSeparator" w:id="0">
    <w:p w14:paraId="156FEECF" w14:textId="77777777" w:rsidR="00AA66E1" w:rsidRDefault="00AA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653D" w14:textId="77777777" w:rsidR="00AA66E1" w:rsidRDefault="00AA66E1">
      <w:r>
        <w:separator/>
      </w:r>
    </w:p>
  </w:footnote>
  <w:footnote w:type="continuationSeparator" w:id="0">
    <w:p w14:paraId="6E37A2BF" w14:textId="77777777" w:rsidR="00AA66E1" w:rsidRDefault="00AA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AAE4" w14:textId="7E4EE0CD" w:rsidR="000A7D6B" w:rsidRDefault="00631307" w:rsidP="00631307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B3CC323" wp14:editId="0C187ED0">
          <wp:simplePos x="0" y="0"/>
          <wp:positionH relativeFrom="column">
            <wp:posOffset>4501515</wp:posOffset>
          </wp:positionH>
          <wp:positionV relativeFrom="paragraph">
            <wp:posOffset>92710</wp:posOffset>
          </wp:positionV>
          <wp:extent cx="1200438" cy="467995"/>
          <wp:effectExtent l="0" t="0" r="0" b="8255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438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7904DD" wp14:editId="16951D10">
          <wp:extent cx="4207583" cy="1118235"/>
          <wp:effectExtent l="0" t="0" r="0" b="0"/>
          <wp:docPr id="20" name="Imagem 20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1" t="957" r="4118" b="81753"/>
                  <a:stretch/>
                </pic:blipFill>
                <pic:spPr bwMode="auto">
                  <a:xfrm>
                    <a:off x="0" y="0"/>
                    <a:ext cx="4242910" cy="1127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731"/>
    <w:multiLevelType w:val="multilevel"/>
    <w:tmpl w:val="4474A05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6"/>
      <w:numFmt w:val="decimal"/>
      <w:lvlText w:val="%1.%2"/>
      <w:lvlJc w:val="left"/>
      <w:pPr>
        <w:ind w:left="819" w:hanging="359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upperLetter"/>
      <w:lvlText w:val="%1.%2.%3"/>
      <w:lvlJc w:val="left"/>
      <w:pPr>
        <w:ind w:left="1638" w:hanging="719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1.%2.%3.%4.%5"/>
      <w:lvlJc w:val="left"/>
      <w:pPr>
        <w:ind w:left="2916" w:hanging="1079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decimal"/>
      <w:lvlText w:val="%1.%2.%3.%4.%5.%6.%7.%8.%9"/>
      <w:lvlJc w:val="left"/>
      <w:pPr>
        <w:ind w:left="5472" w:hanging="1799"/>
      </w:pPr>
      <w:rPr>
        <w:rFonts w:ascii="Times New Roman" w:eastAsia="Times New Roman" w:hAnsi="Times New Roman" w:cs="Times New Roman"/>
        <w:vertAlign w:val="baseline"/>
      </w:rPr>
    </w:lvl>
  </w:abstractNum>
  <w:abstractNum w:abstractNumId="1" w15:restartNumberingAfterBreak="0">
    <w:nsid w:val="64DB6B32"/>
    <w:multiLevelType w:val="multilevel"/>
    <w:tmpl w:val="32041CF6"/>
    <w:lvl w:ilvl="0">
      <w:numFmt w:val="bullet"/>
      <w:lvlText w:val=""/>
      <w:lvlJc w:val="left"/>
      <w:pPr>
        <w:ind w:left="820" w:hanging="348"/>
      </w:pPr>
      <w:rPr>
        <w:vertAlign w:val="baseline"/>
      </w:rPr>
    </w:lvl>
    <w:lvl w:ilvl="1">
      <w:numFmt w:val="bullet"/>
      <w:lvlText w:val="•"/>
      <w:lvlJc w:val="left"/>
      <w:pPr>
        <w:ind w:left="1806" w:hanging="348"/>
      </w:pPr>
      <w:rPr>
        <w:vertAlign w:val="baseline"/>
      </w:rPr>
    </w:lvl>
    <w:lvl w:ilvl="2">
      <w:numFmt w:val="bullet"/>
      <w:lvlText w:val="•"/>
      <w:lvlJc w:val="left"/>
      <w:pPr>
        <w:ind w:left="2793" w:hanging="348"/>
      </w:pPr>
      <w:rPr>
        <w:vertAlign w:val="baseline"/>
      </w:rPr>
    </w:lvl>
    <w:lvl w:ilvl="3">
      <w:numFmt w:val="bullet"/>
      <w:lvlText w:val="•"/>
      <w:lvlJc w:val="left"/>
      <w:pPr>
        <w:ind w:left="3780" w:hanging="348"/>
      </w:pPr>
      <w:rPr>
        <w:vertAlign w:val="baseline"/>
      </w:rPr>
    </w:lvl>
    <w:lvl w:ilvl="4">
      <w:numFmt w:val="bullet"/>
      <w:lvlText w:val="•"/>
      <w:lvlJc w:val="left"/>
      <w:pPr>
        <w:ind w:left="4767" w:hanging="348"/>
      </w:pPr>
      <w:rPr>
        <w:vertAlign w:val="baseline"/>
      </w:rPr>
    </w:lvl>
    <w:lvl w:ilvl="5">
      <w:numFmt w:val="bullet"/>
      <w:lvlText w:val="•"/>
      <w:lvlJc w:val="left"/>
      <w:pPr>
        <w:ind w:left="5754" w:hanging="348"/>
      </w:pPr>
      <w:rPr>
        <w:vertAlign w:val="baseline"/>
      </w:rPr>
    </w:lvl>
    <w:lvl w:ilvl="6">
      <w:numFmt w:val="bullet"/>
      <w:lvlText w:val="•"/>
      <w:lvlJc w:val="left"/>
      <w:pPr>
        <w:ind w:left="6740" w:hanging="348"/>
      </w:pPr>
      <w:rPr>
        <w:vertAlign w:val="baseline"/>
      </w:rPr>
    </w:lvl>
    <w:lvl w:ilvl="7">
      <w:numFmt w:val="bullet"/>
      <w:lvlText w:val="•"/>
      <w:lvlJc w:val="left"/>
      <w:pPr>
        <w:ind w:left="7727" w:hanging="347"/>
      </w:pPr>
      <w:rPr>
        <w:vertAlign w:val="baseline"/>
      </w:rPr>
    </w:lvl>
    <w:lvl w:ilvl="8">
      <w:numFmt w:val="bullet"/>
      <w:lvlText w:val="•"/>
      <w:lvlJc w:val="left"/>
      <w:pPr>
        <w:ind w:left="8714" w:hanging="348"/>
      </w:pPr>
      <w:rPr>
        <w:vertAlign w:val="baseline"/>
      </w:rPr>
    </w:lvl>
  </w:abstractNum>
  <w:num w:numId="1" w16cid:durableId="2013483289">
    <w:abstractNumId w:val="0"/>
  </w:num>
  <w:num w:numId="2" w16cid:durableId="137156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6B"/>
    <w:rsid w:val="000A7D6B"/>
    <w:rsid w:val="005514CA"/>
    <w:rsid w:val="00631307"/>
    <w:rsid w:val="007070FF"/>
    <w:rsid w:val="0088105D"/>
    <w:rsid w:val="008F287D"/>
    <w:rsid w:val="009A0EA2"/>
    <w:rsid w:val="00AA66E1"/>
    <w:rsid w:val="00E908F3"/>
    <w:rsid w:val="00F2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45FD3"/>
  <w15:docId w15:val="{2CE82843-F23A-4B5D-89E7-83888E28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313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307"/>
  </w:style>
  <w:style w:type="paragraph" w:styleId="Rodap">
    <w:name w:val="footer"/>
    <w:basedOn w:val="Normal"/>
    <w:link w:val="RodapChar"/>
    <w:uiPriority w:val="99"/>
    <w:unhideWhenUsed/>
    <w:rsid w:val="006313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307"/>
  </w:style>
  <w:style w:type="character" w:styleId="Hyperlink">
    <w:name w:val="Hyperlink"/>
    <w:basedOn w:val="Fontepargpadro"/>
    <w:uiPriority w:val="99"/>
    <w:unhideWhenUsed/>
    <w:rsid w:val="005514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correspondente@fip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o.uu.nl/~palaeo/glossary/glos-int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CE75-0E89-4F4D-AAD8-247BB0E8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Yasmim Regis</cp:lastModifiedBy>
  <cp:revision>3</cp:revision>
  <cp:lastPrinted>2023-02-14T13:09:00Z</cp:lastPrinted>
  <dcterms:created xsi:type="dcterms:W3CDTF">2023-02-14T13:09:00Z</dcterms:created>
  <dcterms:modified xsi:type="dcterms:W3CDTF">2023-02-14T13:23:00Z</dcterms:modified>
</cp:coreProperties>
</file>