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EAD4" w14:textId="0CC668F4" w:rsidR="001D0448" w:rsidRDefault="00741B1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2B506DF" wp14:editId="045E652C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75267" cy="1685925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1" b="50198"/>
                    <a:stretch/>
                  </pic:blipFill>
                  <pic:spPr bwMode="auto">
                    <a:xfrm>
                      <a:off x="0" y="0"/>
                      <a:ext cx="7589539" cy="168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F7F23" w14:textId="77777777" w:rsidR="001D0448" w:rsidRDefault="001D0448">
      <w:pPr>
        <w:jc w:val="center"/>
        <w:rPr>
          <w:rFonts w:ascii="Times New Roman" w:eastAsia="Times New Roman" w:hAnsi="Times New Roman" w:cs="Times New Roman"/>
          <w:b/>
          <w:color w:val="767171"/>
          <w:sz w:val="24"/>
          <w:szCs w:val="24"/>
        </w:rPr>
      </w:pPr>
    </w:p>
    <w:p w14:paraId="342D3D6E" w14:textId="77777777" w:rsidR="001D0448" w:rsidRDefault="001D04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F1F53" w14:textId="77777777" w:rsidR="00741B17" w:rsidRDefault="00741B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A6506" w14:textId="4ABE5351" w:rsidR="001D0448" w:rsidRDefault="007516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(indicar o nome do eixo temático)</w:t>
      </w:r>
    </w:p>
    <w:p w14:paraId="2C227CA2" w14:textId="77777777" w:rsidR="001D0448" w:rsidRDefault="001D04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142A71" w14:textId="77777777" w:rsidR="001D0448" w:rsidRDefault="007516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EM PORTUGUÊS: SUBTÍTULO EM PORTUGUÊS</w:t>
      </w:r>
    </w:p>
    <w:p w14:paraId="1AAD17DB" w14:textId="77777777" w:rsidR="001D0448" w:rsidRDefault="007516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TITLE IN ENGLISH: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SUBTITLE IN ENGLISH</w:t>
      </w:r>
    </w:p>
    <w:p w14:paraId="7D78E820" w14:textId="77777777" w:rsidR="001D0448" w:rsidRDefault="001D04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DFCFA" w14:textId="77777777" w:rsidR="001D0448" w:rsidRDefault="007516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  </w:t>
      </w:r>
    </w:p>
    <w:p w14:paraId="708EC547" w14:textId="77777777" w:rsidR="001D0448" w:rsidRDefault="0075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</w:p>
    <w:p w14:paraId="3033396B" w14:textId="77777777" w:rsidR="001D0448" w:rsidRDefault="0075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</w:t>
      </w:r>
    </w:p>
    <w:p w14:paraId="382E84D4" w14:textId="77777777" w:rsidR="001D0448" w:rsidRDefault="001D0448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BAA9360" w14:textId="4912E42E" w:rsidR="001D0448" w:rsidRDefault="00751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  <w:r w:rsidR="00AF6F6C">
        <w:rPr>
          <w:rFonts w:ascii="Times New Roman" w:eastAsia="Times New Roman" w:hAnsi="Times New Roman" w:cs="Times New Roman"/>
        </w:rPr>
        <w:t>: O</w:t>
      </w:r>
      <w:r>
        <w:rPr>
          <w:rFonts w:ascii="Times New Roman" w:eastAsia="Times New Roman" w:hAnsi="Times New Roman" w:cs="Times New Roman"/>
        </w:rPr>
        <w:t xml:space="preserve"> resumo deve ser redigido em parágrafo único, espaçamento simples, fonte </w:t>
      </w:r>
      <w:r>
        <w:rPr>
          <w:rFonts w:ascii="Times New Roman" w:eastAsia="Times New Roman" w:hAnsi="Times New Roman" w:cs="Times New Roman"/>
          <w:i/>
        </w:rPr>
        <w:t>Times New</w:t>
      </w:r>
      <w:r>
        <w:rPr>
          <w:rFonts w:ascii="Times New Roman" w:eastAsia="Times New Roman" w:hAnsi="Times New Roman" w:cs="Times New Roman"/>
          <w:i/>
        </w:rPr>
        <w:t xml:space="preserve"> Roman</w:t>
      </w:r>
      <w:r>
        <w:rPr>
          <w:rFonts w:ascii="Times New Roman" w:eastAsia="Times New Roman" w:hAnsi="Times New Roman" w:cs="Times New Roman"/>
        </w:rPr>
        <w:t>, tamanho 11 e com alinhamento ajustado. Não deve apresentar siglas, citações ou referências. O texto precisa ser breve</w:t>
      </w:r>
      <w:r w:rsidR="00AF6F6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contendo de 50 a 100 palavras, apresentando </w:t>
      </w:r>
      <w:r>
        <w:rPr>
          <w:rFonts w:ascii="Times New Roman" w:eastAsia="Times New Roman" w:hAnsi="Times New Roman" w:cs="Times New Roman"/>
        </w:rPr>
        <w:t>objetivos, metodologia e resultados.</w:t>
      </w:r>
    </w:p>
    <w:p w14:paraId="09E4CC54" w14:textId="77777777" w:rsidR="001D0448" w:rsidRDefault="00751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>palavra-chave 1; palavra-chave</w:t>
      </w:r>
      <w:r>
        <w:rPr>
          <w:rFonts w:ascii="Times New Roman" w:eastAsia="Times New Roman" w:hAnsi="Times New Roman" w:cs="Times New Roman"/>
        </w:rPr>
        <w:t xml:space="preserve"> 2; palavra-chave 3.</w:t>
      </w:r>
    </w:p>
    <w:p w14:paraId="297F6F22" w14:textId="0B00AB8A" w:rsidR="001D0448" w:rsidRDefault="00751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palavras-chave são termos que sintetizam as ideias principais do texto científico, deve</w:t>
      </w:r>
      <w:r w:rsidR="00AF6F6C">
        <w:rPr>
          <w:rFonts w:ascii="Times New Roman" w:eastAsia="Times New Roman" w:hAnsi="Times New Roman" w:cs="Times New Roman"/>
        </w:rPr>
        <w:t xml:space="preserve">ndo </w:t>
      </w:r>
      <w:r>
        <w:rPr>
          <w:rFonts w:ascii="Times New Roman" w:eastAsia="Times New Roman" w:hAnsi="Times New Roman" w:cs="Times New Roman"/>
        </w:rPr>
        <w:t>ser apresentadas de 3 a 5 palavras-chave, separadas por ponto e vírgula, finalizadas com ponto final e seguindo as mesmas orientações de format</w:t>
      </w:r>
      <w:r>
        <w:rPr>
          <w:rFonts w:ascii="Times New Roman" w:eastAsia="Times New Roman" w:hAnsi="Times New Roman" w:cs="Times New Roman"/>
        </w:rPr>
        <w:t>ação do resumo.</w:t>
      </w:r>
    </w:p>
    <w:p w14:paraId="18D7432C" w14:textId="33CBA56B" w:rsidR="001D0448" w:rsidRDefault="00751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Abstract</w:t>
      </w:r>
      <w:r w:rsidR="00AF6F6C">
        <w:rPr>
          <w:rFonts w:ascii="Times New Roman" w:eastAsia="Times New Roman" w:hAnsi="Times New Roman" w:cs="Times New Roman"/>
        </w:rPr>
        <w:t>: T</w:t>
      </w:r>
      <w:r>
        <w:rPr>
          <w:rFonts w:ascii="Times New Roman" w:eastAsia="Times New Roman" w:hAnsi="Times New Roman" w:cs="Times New Roman"/>
        </w:rPr>
        <w:t xml:space="preserve">he abstract must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written</w:t>
      </w:r>
      <w:proofErr w:type="spellEnd"/>
      <w:r>
        <w:rPr>
          <w:rFonts w:ascii="Times New Roman" w:eastAsia="Times New Roman" w:hAnsi="Times New Roman" w:cs="Times New Roman"/>
        </w:rPr>
        <w:t xml:space="preserve"> in a single </w:t>
      </w:r>
      <w:proofErr w:type="spellStart"/>
      <w:r>
        <w:rPr>
          <w:rFonts w:ascii="Times New Roman" w:eastAsia="Times New Roman" w:hAnsi="Times New Roman" w:cs="Times New Roman"/>
        </w:rPr>
        <w:t>paragraph</w:t>
      </w:r>
      <w:proofErr w:type="spellEnd"/>
      <w:r>
        <w:rPr>
          <w:rFonts w:ascii="Times New Roman" w:eastAsia="Times New Roman" w:hAnsi="Times New Roman" w:cs="Times New Roman"/>
        </w:rPr>
        <w:t xml:space="preserve">, single </w:t>
      </w:r>
      <w:proofErr w:type="spellStart"/>
      <w:r>
        <w:rPr>
          <w:rFonts w:ascii="Times New Roman" w:eastAsia="Times New Roman" w:hAnsi="Times New Roman" w:cs="Times New Roman"/>
        </w:rPr>
        <w:t>spaced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font</w:t>
      </w:r>
      <w:proofErr w:type="spellEnd"/>
      <w:r>
        <w:rPr>
          <w:rFonts w:ascii="Times New Roman" w:eastAsia="Times New Roman" w:hAnsi="Times New Roman" w:cs="Times New Roman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</w:rPr>
        <w:t>size</w:t>
      </w:r>
      <w:proofErr w:type="spellEnd"/>
      <w:r>
        <w:rPr>
          <w:rFonts w:ascii="Times New Roman" w:eastAsia="Times New Roman" w:hAnsi="Times New Roman" w:cs="Times New Roman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adjusted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alignment</w:t>
      </w:r>
      <w:proofErr w:type="spellEnd"/>
      <w:r>
        <w:rPr>
          <w:rFonts w:ascii="Times New Roman" w:eastAsia="Times New Roman" w:hAnsi="Times New Roman" w:cs="Times New Roman"/>
        </w:rPr>
        <w:t xml:space="preserve">. It must </w:t>
      </w:r>
      <w:proofErr w:type="spellStart"/>
      <w:r>
        <w:rPr>
          <w:rFonts w:ascii="Times New Roman" w:eastAsia="Times New Roman" w:hAnsi="Times New Roman" w:cs="Times New Roman"/>
        </w:rPr>
        <w:t>not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acronyms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citations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references</w:t>
      </w:r>
      <w:proofErr w:type="spellEnd"/>
      <w:r>
        <w:rPr>
          <w:rFonts w:ascii="Times New Roman" w:eastAsia="Times New Roman" w:hAnsi="Times New Roman" w:cs="Times New Roman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brief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containing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80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100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words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presenting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objectives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methodology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results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5389DF8" w14:textId="77777777" w:rsidR="001D0448" w:rsidRDefault="00751600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keyword</w:t>
      </w:r>
      <w:proofErr w:type="spellEnd"/>
      <w:r>
        <w:rPr>
          <w:rFonts w:ascii="Times New Roman" w:eastAsia="Times New Roman" w:hAnsi="Times New Roman" w:cs="Times New Roman"/>
        </w:rPr>
        <w:t xml:space="preserve"> 1; </w:t>
      </w:r>
      <w:proofErr w:type="spellStart"/>
      <w:r>
        <w:rPr>
          <w:rFonts w:ascii="Times New Roman" w:eastAsia="Times New Roman" w:hAnsi="Times New Roman" w:cs="Times New Roman"/>
        </w:rPr>
        <w:t>keyword</w:t>
      </w:r>
      <w:proofErr w:type="spellEnd"/>
      <w:r>
        <w:rPr>
          <w:rFonts w:ascii="Times New Roman" w:eastAsia="Times New Roman" w:hAnsi="Times New Roman" w:cs="Times New Roman"/>
        </w:rPr>
        <w:t xml:space="preserve"> 2; </w:t>
      </w:r>
      <w:proofErr w:type="spellStart"/>
      <w:r>
        <w:rPr>
          <w:rFonts w:ascii="Times New Roman" w:eastAsia="Times New Roman" w:hAnsi="Times New Roman" w:cs="Times New Roman"/>
        </w:rPr>
        <w:t>keyword</w:t>
      </w:r>
      <w:proofErr w:type="spellEnd"/>
      <w:r>
        <w:rPr>
          <w:rFonts w:ascii="Times New Roman" w:eastAsia="Times New Roman" w:hAnsi="Times New Roman" w:cs="Times New Roman"/>
        </w:rPr>
        <w:t xml:space="preserve"> 3.</w:t>
      </w:r>
    </w:p>
    <w:p w14:paraId="3810E24D" w14:textId="77777777" w:rsidR="001D0448" w:rsidRDefault="00751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terms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synthesize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scientific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presented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separated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semicolons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endin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period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formatting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guidelines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abstract.</w:t>
      </w:r>
    </w:p>
    <w:p w14:paraId="7AC66814" w14:textId="77777777" w:rsidR="001D0448" w:rsidRDefault="001D0448">
      <w:pPr>
        <w:jc w:val="both"/>
        <w:rPr>
          <w:rFonts w:ascii="Times New Roman" w:eastAsia="Times New Roman" w:hAnsi="Times New Roman" w:cs="Times New Roman"/>
        </w:rPr>
      </w:pPr>
    </w:p>
    <w:p w14:paraId="2893CBBE" w14:textId="77777777" w:rsidR="001D0448" w:rsidRDefault="007516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48FBF0E5" w14:textId="77777777" w:rsidR="001D0448" w:rsidRDefault="0075160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inicial, onde [..] deve constar a delimitação do assunto tratado, os objetivos da pesquisa e outros elementos necessários para situar o tema do artigo (ASSOCI</w:t>
      </w:r>
      <w:r>
        <w:rPr>
          <w:rFonts w:ascii="Times New Roman" w:eastAsia="Times New Roman" w:hAnsi="Times New Roman" w:cs="Times New Roman"/>
          <w:sz w:val="24"/>
          <w:szCs w:val="24"/>
        </w:rPr>
        <w:t>AÇÃO BRASILEIRA DE NORMAS TÉCNICAS, 2018, P. 5).</w:t>
      </w:r>
    </w:p>
    <w:p w14:paraId="045555DD" w14:textId="07927252" w:rsidR="001D0448" w:rsidRDefault="007516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conteúdo textual do trabalho deve ser redigido em coluna simples, usando-se de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 a 6 laudas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layout de página no formato A4, margens sup. esq.; inf.; dir. 2,0 cm,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spaçamento do texto deve ser de 1,5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entre linhas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 espaçamento entre parágrafos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recuo de 1,5 cm no início de cada parágrafo.</w:t>
      </w:r>
    </w:p>
    <w:p w14:paraId="58CBBC80" w14:textId="41447240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título e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subtítulo devem ser grifados em negrito e em caixa alta (letras maiúsculas), indicados nos idiomas português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inglês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.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nforme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rege </w:t>
      </w:r>
      <w:r>
        <w:rPr>
          <w:rFonts w:ascii="Times New Roman" w:eastAsia="Times New Roman" w:hAnsi="Times New Roman" w:cs="Times New Roman"/>
          <w:sz w:val="24"/>
          <w:szCs w:val="24"/>
        </w:rPr>
        <w:t>a ABNT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termos em outros idiomas devem ser grifados em itálico, não deve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conter mais de setenta caracteres, incluindo os espaços.  Destaca-se que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se houver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subtítulo,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eastAsia="Times New Roman" w:hAnsi="Times New Roman" w:cs="Times New Roman"/>
          <w:sz w:val="24"/>
          <w:szCs w:val="24"/>
        </w:rPr>
        <w:t>deve ser separado do título por dois pontos.</w:t>
      </w:r>
    </w:p>
    <w:p w14:paraId="1B0B63B4" w14:textId="0237507D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Os título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das seções deverão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estar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caixa alta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z w:val="24"/>
          <w:szCs w:val="24"/>
        </w:rPr>
        <w:t>s subtítulos das seções deverão apresentar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apenas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primeira letra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da primeira palavra em maiúsculo, além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negritados,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tamanho 12, alinhados à margem esquerda, com e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spaçamento simples entre linhas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espaçamento entre p</w:t>
      </w:r>
      <w:r>
        <w:rPr>
          <w:rFonts w:ascii="Times New Roman" w:eastAsia="Times New Roman" w:hAnsi="Times New Roman" w:cs="Times New Roman"/>
          <w:sz w:val="24"/>
          <w:szCs w:val="24"/>
        </w:rPr>
        <w:t>arágrafos superior 12 e inferior 6.</w:t>
      </w:r>
    </w:p>
    <w:p w14:paraId="1EFCA4C5" w14:textId="5E8F2040" w:rsidR="001D0448" w:rsidRDefault="007516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referências devem ser apresentadas em ordem alfabética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final do texto do trabalho, elaboradas conforme a NBR 6023/2018 - ABNT,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tamanho 12, alinhadas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esquerda e sem recuo, com espaçamento simples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linhas e pa</w:t>
      </w:r>
      <w:r>
        <w:rPr>
          <w:rFonts w:ascii="Times New Roman" w:eastAsia="Times New Roman" w:hAnsi="Times New Roman" w:cs="Times New Roman"/>
          <w:sz w:val="24"/>
          <w:szCs w:val="24"/>
        </w:rPr>
        <w:t>rágrafos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duplo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uma e outra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25E668" w14:textId="77777777" w:rsidR="008F6EAE" w:rsidRDefault="007516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diretas de até 3 (três) linhas deverão ser incluídas no corpo do texto, entre aspas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seguidas da autoria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parênteses</w:t>
      </w:r>
      <w:r w:rsidR="00AF6F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precedidas do sobrenome do autor e entre parêntesis o ano e página da fonte citada (com e</w:t>
      </w:r>
      <w:r>
        <w:rPr>
          <w:rFonts w:ascii="Times New Roman" w:eastAsia="Times New Roman" w:hAnsi="Times New Roman" w:cs="Times New Roman"/>
          <w:sz w:val="24"/>
          <w:szCs w:val="24"/>
        </w:rPr>
        <w:t>spaço entre o ponto e o número da página). Exemplo: Paim (2008, p. 309) enfatiza que a RSB enquanto processo “reduziu-se a uma reforma parcial, inscrita nas suas dimensões setorial e institucional com a implantação do Sistema Único de Saúde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SUS)”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49CBC4" w14:textId="3335F34D" w:rsidR="001D0448" w:rsidRDefault="007516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ções com mais de 3 linhas deverão ser recuadas 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esquerda em 4,0 cm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do final 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parágrafo anterior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, sendo </w:t>
      </w:r>
      <w:r>
        <w:rPr>
          <w:rFonts w:ascii="Times New Roman" w:eastAsia="Times New Roman" w:hAnsi="Times New Roman" w:cs="Times New Roman"/>
          <w:sz w:val="24"/>
          <w:szCs w:val="24"/>
        </w:rPr>
        <w:t>dispensando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 o uso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aspas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z w:val="24"/>
          <w:szCs w:val="24"/>
        </w:rPr>
        <w:t>spaçamento simples e com tamanho da fonte 11, seguida da autoria entre parênteses: (SOBRENOME do autor, ano, página com espaço entr</w:t>
      </w:r>
      <w:r>
        <w:rPr>
          <w:rFonts w:ascii="Times New Roman" w:eastAsia="Times New Roman" w:hAnsi="Times New Roman" w:cs="Times New Roman"/>
          <w:sz w:val="24"/>
          <w:szCs w:val="24"/>
        </w:rPr>
        <w:t>e o ponto e o número), com ponto final depois dos parênteses. Exemplo:</w:t>
      </w:r>
    </w:p>
    <w:p w14:paraId="731B12DD" w14:textId="37C39708" w:rsidR="001D0448" w:rsidRDefault="00751600">
      <w:pPr>
        <w:spacing w:line="240" w:lineRule="auto"/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[...] o processo da Reforma Sanitária Brasileira</w:t>
      </w:r>
      <w:r w:rsidR="008F6EA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enquanto projeto civilizatório, pretende produzir mudanças dos valores prevalecentes na sociedade brasileira, tendo a saúde como eixo de</w:t>
      </w:r>
      <w:r>
        <w:rPr>
          <w:rFonts w:ascii="Times New Roman" w:eastAsia="Times New Roman" w:hAnsi="Times New Roman" w:cs="Times New Roman"/>
        </w:rPr>
        <w:t xml:space="preserve"> transformação, e a solidariedade como valor estruturante. O projeto do SUS é uma política de construção da democracia que visa à ampliação da esfera pública, a inclusão social e a redução das desigualdades (FÓRUM, 2005, p. 1).</w:t>
      </w:r>
    </w:p>
    <w:p w14:paraId="70AFA15E" w14:textId="77777777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citação indireta é elabora</w:t>
      </w:r>
      <w:r>
        <w:rPr>
          <w:rFonts w:ascii="Times New Roman" w:eastAsia="Times New Roman" w:hAnsi="Times New Roman" w:cs="Times New Roman"/>
        </w:rPr>
        <w:t xml:space="preserve">da a partir da ideia ou da opinião de um autor, em uma obra que foi consultada. Nesse caso, identifica-se somente o sobrenome do autor e o ano de publicação da obra. Exemplo: </w:t>
      </w:r>
    </w:p>
    <w:p w14:paraId="1CCE815F" w14:textId="6585E160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acolhimento,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Lewgoy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Silveira (2007) é o encontro entre sujeitos que </w:t>
      </w:r>
      <w:r>
        <w:rPr>
          <w:rFonts w:ascii="Times New Roman" w:eastAsia="Times New Roman" w:hAnsi="Times New Roman" w:cs="Times New Roman"/>
          <w:sz w:val="24"/>
          <w:szCs w:val="24"/>
        </w:rPr>
        <w:t>se dá num espaço intercessor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qual se produz uma relação de escuta e responsabilização, a partir do qual se constituem vínculos e compromissos que norteiam os projetos de intervenção. O acolhimento não se limita ao ato de receber, ouvir, mas a uma sequên</w:t>
      </w:r>
      <w:r>
        <w:rPr>
          <w:rFonts w:ascii="Times New Roman" w:eastAsia="Times New Roman" w:hAnsi="Times New Roman" w:cs="Times New Roman"/>
          <w:sz w:val="24"/>
          <w:szCs w:val="24"/>
        </w:rPr>
        <w:t>cia de atos que buscam a intervenção resolutiva.</w:t>
      </w:r>
    </w:p>
    <w:p w14:paraId="3945D47B" w14:textId="4E858F1D" w:rsidR="001D0448" w:rsidRDefault="007516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siglas deverão ser apre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sentadas de maneira padronizada. N</w:t>
      </w:r>
      <w:r>
        <w:rPr>
          <w:rFonts w:ascii="Times New Roman" w:eastAsia="Times New Roman" w:hAnsi="Times New Roman" w:cs="Times New Roman"/>
          <w:sz w:val="24"/>
          <w:szCs w:val="24"/>
        </w:rPr>
        <w:t>a primeira citação no texto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deverá ser indicado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extenso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seu significado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seguido da sigla entre parêntesis. Não se utiliza siglas no título e 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>resumo.</w:t>
      </w:r>
    </w:p>
    <w:p w14:paraId="46F54AA6" w14:textId="77777777" w:rsidR="001D0448" w:rsidRDefault="007516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conteúdo das notas de rodapé deve ser apresentado com fonte tamanho 11.</w:t>
      </w:r>
    </w:p>
    <w:p w14:paraId="4B3DA596" w14:textId="77777777" w:rsidR="001D0448" w:rsidRDefault="001D04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638D2" w14:textId="77777777" w:rsidR="001D0448" w:rsidRDefault="007516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DESENVOLVIMENTO</w:t>
      </w:r>
    </w:p>
    <w:p w14:paraId="64BE9525" w14:textId="77777777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Caracteriza a parte principal do texto, onde se apresenta a exposição ordenada e pormenorizada do assunto tratado, apontado a fundamentação teórica, a meto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dologia, os resultados e a análise e discussão dos dados. </w:t>
      </w:r>
    </w:p>
    <w:p w14:paraId="7C278BD3" w14:textId="77777777" w:rsidR="008F6EAE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metodologia deve indicar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objetivamente e com clareza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natureza da pesquisa (básica ou aplicada)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abordagem (qualitativa, quantitativa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qualiquantitativa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 quanto a</w:t>
      </w:r>
      <w:r>
        <w:rPr>
          <w:rFonts w:ascii="Times New Roman" w:eastAsia="Times New Roman" w:hAnsi="Times New Roman" w:cs="Times New Roman"/>
          <w:sz w:val="24"/>
          <w:szCs w:val="24"/>
        </w:rPr>
        <w:t>os objetivos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explorat</w:t>
      </w:r>
      <w:r>
        <w:rPr>
          <w:rFonts w:ascii="Times New Roman" w:eastAsia="Times New Roman" w:hAnsi="Times New Roman" w:cs="Times New Roman"/>
          <w:sz w:val="24"/>
          <w:szCs w:val="24"/>
        </w:rPr>
        <w:t>ória, descritiva, explicativa, entre outros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);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étodo empregado, procedimentos e </w:t>
      </w:r>
      <w:r>
        <w:rPr>
          <w:rFonts w:ascii="Times New Roman" w:eastAsia="Times New Roman" w:hAnsi="Times New Roman" w:cs="Times New Roman"/>
          <w:sz w:val="24"/>
          <w:szCs w:val="24"/>
        </w:rPr>
        <w:t>técnicas utilizad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na coleta e análise dos dados. </w:t>
      </w:r>
    </w:p>
    <w:p w14:paraId="7E6CA9DE" w14:textId="3103DC4F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devem indicar as análises, reflexões e inferências realizadas.</w:t>
      </w:r>
    </w:p>
    <w:p w14:paraId="29BDAC66" w14:textId="72ADBA6D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ilustrações, quadros, tabelas e grá</w:t>
      </w:r>
      <w:r>
        <w:rPr>
          <w:rFonts w:ascii="Times New Roman" w:eastAsia="Times New Roman" w:hAnsi="Times New Roman" w:cs="Times New Roman"/>
          <w:sz w:val="24"/>
          <w:szCs w:val="24"/>
        </w:rPr>
        <w:t>ficos devem ser precedidas de sua identificação centralizada, indicando a sequência numérica em que aparece no corpo texto e o título de identificação, usando fonte tamanho 11 negritada. As tabelas devem ser elaboradas conforme a Norma de Apresentação Tabu</w:t>
      </w:r>
      <w:r>
        <w:rPr>
          <w:rFonts w:ascii="Times New Roman" w:eastAsia="Times New Roman" w:hAnsi="Times New Roman" w:cs="Times New Roman"/>
          <w:sz w:val="24"/>
          <w:szCs w:val="24"/>
        </w:rPr>
        <w:t>lar do Instituto Brasileiro de Geografia e Estatística (IBGE). A fonte é elemento obrigatório, mesmo quando elaborada pelo autor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. L</w:t>
      </w:r>
      <w:r>
        <w:rPr>
          <w:rFonts w:ascii="Times New Roman" w:eastAsia="Times New Roman" w:hAnsi="Times New Roman" w:cs="Times New Roman"/>
          <w:sz w:val="24"/>
          <w:szCs w:val="24"/>
        </w:rPr>
        <w:t>egenda, notas e outras informações necessárias à sua compreensão devem aparecer na parte inferior, centralizada, usando fonte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negrito, tamanho 10. Exemplos:</w:t>
      </w:r>
    </w:p>
    <w:p w14:paraId="6C8B9D8B" w14:textId="77777777" w:rsidR="001D0448" w:rsidRDefault="0075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Figura 1 - Título da figura.</w:t>
      </w:r>
    </w:p>
    <w:p w14:paraId="4327CB31" w14:textId="77777777" w:rsidR="001D0448" w:rsidRDefault="00751600">
      <w:pPr>
        <w:spacing w:line="360" w:lineRule="auto"/>
        <w:ind w:right="-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38CEDE" wp14:editId="40B12F9D">
            <wp:extent cx="3531870" cy="2238375"/>
            <wp:effectExtent l="0" t="0" r="0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2306" cy="2238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AEDA4" w14:textId="77777777" w:rsidR="001D0448" w:rsidRDefault="00751600">
      <w:pPr>
        <w:spacing w:line="360" w:lineRule="auto"/>
        <w:ind w:right="-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Extraído de Sobrenome (Ano, p.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).</w:t>
      </w:r>
    </w:p>
    <w:p w14:paraId="2A150B5B" w14:textId="77777777" w:rsidR="001D0448" w:rsidRDefault="0075160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T</w:t>
      </w:r>
      <w:r>
        <w:rPr>
          <w:rFonts w:ascii="Times New Roman" w:eastAsia="Times New Roman" w:hAnsi="Times New Roman" w:cs="Times New Roman"/>
          <w:b/>
        </w:rPr>
        <w:t xml:space="preserve">abela 2 – Classes farmacológicas envolvidas nos suicídios e nas tentativas de suicídio, segundo a classificação </w:t>
      </w:r>
      <w:r>
        <w:rPr>
          <w:rFonts w:ascii="Times New Roman" w:eastAsia="Times New Roman" w:hAnsi="Times New Roman" w:cs="Times New Roman"/>
          <w:b/>
        </w:rPr>
        <w:t>Anatômico Terapêutica e Química, no município de Barra do Garças-MT.</w:t>
      </w:r>
    </w:p>
    <w:tbl>
      <w:tblPr>
        <w:tblStyle w:val="a"/>
        <w:tblW w:w="896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50"/>
        <w:gridCol w:w="250"/>
        <w:gridCol w:w="30"/>
        <w:gridCol w:w="4231"/>
      </w:tblGrid>
      <w:tr w:rsidR="001D0448" w14:paraId="49493E6C" w14:textId="77777777">
        <w:trPr>
          <w:tblHeader/>
          <w:jc w:val="center"/>
        </w:trPr>
        <w:tc>
          <w:tcPr>
            <w:tcW w:w="4450" w:type="dxa"/>
            <w:vMerge w:val="restart"/>
            <w:tcBorders>
              <w:top w:val="single" w:sz="4" w:space="0" w:color="000000"/>
            </w:tcBorders>
            <w:shd w:val="clear" w:color="auto" w:fill="F2FB99"/>
          </w:tcPr>
          <w:p w14:paraId="046170F6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farmacológica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B99"/>
          </w:tcPr>
          <w:p w14:paraId="29374B1C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geral</w:t>
            </w:r>
          </w:p>
        </w:tc>
      </w:tr>
      <w:tr w:rsidR="001D0448" w14:paraId="42AB6B28" w14:textId="77777777">
        <w:trPr>
          <w:tblHeader/>
          <w:jc w:val="center"/>
        </w:trPr>
        <w:tc>
          <w:tcPr>
            <w:tcW w:w="4450" w:type="dxa"/>
            <w:vMerge/>
            <w:tcBorders>
              <w:top w:val="single" w:sz="4" w:space="0" w:color="000000"/>
            </w:tcBorders>
            <w:shd w:val="clear" w:color="auto" w:fill="F2FB99"/>
          </w:tcPr>
          <w:p w14:paraId="19EC997E" w14:textId="77777777" w:rsidR="001D0448" w:rsidRDefault="001D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B99"/>
          </w:tcPr>
          <w:p w14:paraId="24C92B9A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B99"/>
          </w:tcPr>
          <w:p w14:paraId="549A6898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1D0448" w14:paraId="5081AB46" w14:textId="77777777">
        <w:trPr>
          <w:jc w:val="center"/>
        </w:trPr>
        <w:tc>
          <w:tcPr>
            <w:tcW w:w="4450" w:type="dxa"/>
            <w:tcBorders>
              <w:top w:val="single" w:sz="4" w:space="0" w:color="000000"/>
            </w:tcBorders>
            <w:shd w:val="clear" w:color="auto" w:fill="F2FB99"/>
          </w:tcPr>
          <w:p w14:paraId="453AB280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Sistema nervoso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</w:tcBorders>
            <w:shd w:val="clear" w:color="auto" w:fill="F2FB99"/>
          </w:tcPr>
          <w:p w14:paraId="77DEB196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231" w:type="dxa"/>
            <w:tcBorders>
              <w:top w:val="single" w:sz="4" w:space="0" w:color="000000"/>
            </w:tcBorders>
            <w:shd w:val="clear" w:color="auto" w:fill="F2FB99"/>
          </w:tcPr>
          <w:p w14:paraId="354FC692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</w:tr>
      <w:tr w:rsidR="001D0448" w14:paraId="7DDCA132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19948D46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Aparelho digestivo e metabolismo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72FC7F08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31" w:type="dxa"/>
            <w:shd w:val="clear" w:color="auto" w:fill="F2FB99"/>
          </w:tcPr>
          <w:p w14:paraId="5BA2567B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</w:tr>
      <w:tr w:rsidR="001D0448" w14:paraId="53765F3D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1420E651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Aparelho geniturinário e hormônios sexuais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4D305B4F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31" w:type="dxa"/>
            <w:shd w:val="clear" w:color="auto" w:fill="F2FB99"/>
          </w:tcPr>
          <w:p w14:paraId="532BD425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1D0448" w14:paraId="7D2E5EE7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7F309227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Aparelho respiratório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0563F10F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31" w:type="dxa"/>
            <w:shd w:val="clear" w:color="auto" w:fill="F2FB99"/>
          </w:tcPr>
          <w:p w14:paraId="66238EE9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1D0448" w14:paraId="1C6EFE77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76FBB116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Sangue e órgãos hematopoiéticos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30C58BDC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31" w:type="dxa"/>
            <w:shd w:val="clear" w:color="auto" w:fill="F2FB99"/>
          </w:tcPr>
          <w:p w14:paraId="25933BEF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1D0448" w14:paraId="1E8A458B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6924EF5F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Medicamentos dermatológicos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49000F0A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31" w:type="dxa"/>
            <w:shd w:val="clear" w:color="auto" w:fill="F2FB99"/>
          </w:tcPr>
          <w:p w14:paraId="224DD252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1D0448" w14:paraId="03F17FCE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399AB05A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Produtos antiparasitários, inseticidas e repelentes.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7E6C31C7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31" w:type="dxa"/>
            <w:shd w:val="clear" w:color="auto" w:fill="F2FB99"/>
          </w:tcPr>
          <w:p w14:paraId="17BE8B44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1D0448" w14:paraId="280F2836" w14:textId="77777777">
        <w:trPr>
          <w:jc w:val="center"/>
        </w:trPr>
        <w:tc>
          <w:tcPr>
            <w:tcW w:w="4450" w:type="dxa"/>
            <w:shd w:val="clear" w:color="auto" w:fill="F2FB99"/>
          </w:tcPr>
          <w:p w14:paraId="62C0BBFA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Anti-infecciosos gerais para uso sistêmico</w:t>
            </w:r>
          </w:p>
        </w:tc>
        <w:tc>
          <w:tcPr>
            <w:tcW w:w="280" w:type="dxa"/>
            <w:gridSpan w:val="2"/>
            <w:shd w:val="clear" w:color="auto" w:fill="F2FB99"/>
          </w:tcPr>
          <w:p w14:paraId="16F8643A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31" w:type="dxa"/>
            <w:shd w:val="clear" w:color="auto" w:fill="F2FB99"/>
          </w:tcPr>
          <w:p w14:paraId="5229C8F4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1D0448" w14:paraId="7C25DB1F" w14:textId="77777777">
        <w:trPr>
          <w:jc w:val="center"/>
        </w:trPr>
        <w:tc>
          <w:tcPr>
            <w:tcW w:w="4450" w:type="dxa"/>
            <w:tcBorders>
              <w:bottom w:val="single" w:sz="4" w:space="0" w:color="000000"/>
            </w:tcBorders>
            <w:shd w:val="clear" w:color="auto" w:fill="F2FB99"/>
          </w:tcPr>
          <w:p w14:paraId="688664D9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Vários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</w:tcBorders>
            <w:shd w:val="clear" w:color="auto" w:fill="F2FB99"/>
          </w:tcPr>
          <w:p w14:paraId="06D7D2BF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31" w:type="dxa"/>
            <w:tcBorders>
              <w:bottom w:val="single" w:sz="4" w:space="0" w:color="000000"/>
            </w:tcBorders>
            <w:shd w:val="clear" w:color="auto" w:fill="F2FB99"/>
          </w:tcPr>
          <w:p w14:paraId="20BC8ACF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1D0448" w14:paraId="421C7D26" w14:textId="77777777">
        <w:trPr>
          <w:jc w:val="center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B99"/>
          </w:tcPr>
          <w:p w14:paraId="53542FBE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B99"/>
          </w:tcPr>
          <w:p w14:paraId="5FB8730C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B99"/>
          </w:tcPr>
          <w:p w14:paraId="42228A32" w14:textId="77777777" w:rsidR="001D0448" w:rsidRDefault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59FA049A" w14:textId="77777777" w:rsidR="001D0448" w:rsidRDefault="0075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N: número de casos; %: porcentagem</w:t>
      </w:r>
    </w:p>
    <w:p w14:paraId="678F7411" w14:textId="77777777" w:rsidR="001D0448" w:rsidRDefault="0075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VIEIRA; SANTANA; SUCHARA (2015, p.120)</w:t>
      </w:r>
    </w:p>
    <w:p w14:paraId="05648E24" w14:textId="77777777" w:rsidR="001D0448" w:rsidRDefault="001D0448">
      <w:pPr>
        <w:spacing w:line="360" w:lineRule="auto"/>
        <w:ind w:right="-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ADA602" w14:textId="77777777" w:rsidR="001D0448" w:rsidRDefault="007516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9C69E01" w14:textId="0452FFA9" w:rsidR="001D0448" w:rsidRDefault="007516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 final do text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 xml:space="preserve">o, deve apresentar uma síntese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destacando se os objetivos foram alcançados</w:t>
      </w:r>
      <w:r w:rsidR="008F6EAE"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 conter críticas, sugestões e considerações acerca da pesquisa realizada, baseadas e apoiadas na exposição do desenvolvimento do trabalho. </w:t>
      </w:r>
    </w:p>
    <w:p w14:paraId="23A848D5" w14:textId="77777777" w:rsidR="001D0448" w:rsidRDefault="00751600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9FEDD43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Artigo </w:t>
      </w:r>
    </w:p>
    <w:p w14:paraId="117B0A91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510B22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M. J. G. 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Discussão ética sobre prontuário do paciente.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Educação médica,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40, n. 3, jul./set. 2016. DOI: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https://doi.org/10.1590/1981-527120115v40n3e0137215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Disponível em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https://www.scielo.br/scielo.php?script=sci_arttext&amp;pid=S0100-55022016000300521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21 ago. 2020.</w:t>
      </w:r>
    </w:p>
    <w:p w14:paraId="1824E282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24FD2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ARAÚJO, F. C. M.; LOQUES, L. E. Análise do servi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ço arquivístico no âmbito do Tribunal de Justiça do Estado do Rio de Janeiro.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ÁGORA: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Arquivologia em debate,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32, n. 65, p. 1–23, 2022. Disponível em: https://agora.emnuvens.com.br/ra/article/view/1108. Acesso em: 6 set. 2022.</w:t>
      </w:r>
    </w:p>
    <w:p w14:paraId="0B8D06C8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C49D1D1" w14:textId="0AA8C583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RODRIGUES, C. D.S.; WITT, R. R. Mobilização e estruturação de competências para preceptoria na residência multiprofissional em saúde.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Trabalho, Educação e Saúde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Rio de Janeiro, v. 20, 2022. DOI: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  <w:u w:val="single"/>
        </w:rPr>
        <w:t>https://doi.org/10.1590/1981-7746-ojs295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Disponível em: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  <w:u w:val="single"/>
        </w:rPr>
        <w:t>h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  <w:u w:val="single"/>
        </w:rPr>
        <w:t>ttps://www.tes.epsjv.fiocruz.br/index.php/tes/article/view/295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6 set. 2022.</w:t>
      </w:r>
    </w:p>
    <w:p w14:paraId="77030A60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201B5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847E9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Capítulo de livro</w:t>
      </w:r>
    </w:p>
    <w:p w14:paraId="34EB703D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3DAFA6" w14:textId="77777777" w:rsidR="001D0448" w:rsidRDefault="0075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Edgar.  A Articulação dos saberes.  In.:  MORIN, Edgar, ALMEIDA, Maria da</w:t>
      </w:r>
    </w:p>
    <w:p w14:paraId="248844D4" w14:textId="77777777" w:rsidR="001D0448" w:rsidRDefault="0075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Conceição; CARVALHO, Edgard de Assis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). Educação e Complexidade: os sete saberes e outros ensaios.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Cortez, 2002. Disponível em: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https://edisciplinas.usp.br/pluginfile.php/4415460/mod_resource/content/1/Complementar%20Educa%C3%A7%C3%A3o%20e%20complexidade_Morin.pdf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em: 8 mar 2021.</w:t>
      </w:r>
    </w:p>
    <w:p w14:paraId="1AC54479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08610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Livro no todo</w:t>
      </w:r>
    </w:p>
    <w:p w14:paraId="6C83DED0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07CAF3" w14:textId="77777777" w:rsidR="001D0448" w:rsidRDefault="0075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CASTORINA, J. A.; LERNER, E. F. D.; OLIVEIRA, M.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Piaget–Vygotsky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novas contribuições para o debate. Tradução: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Claúdia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Schilling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São Paulo: Ática, 1997. 175p.</w:t>
      </w:r>
    </w:p>
    <w:p w14:paraId="380189A5" w14:textId="77777777" w:rsidR="001D0448" w:rsidRDefault="001D0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0A4FB7" w14:textId="77777777" w:rsidR="001D0448" w:rsidRDefault="0075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VOLPATO, G. L.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Dicionário crítico para redação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científica.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Botucatu: Best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2013. 214 p.</w:t>
      </w:r>
    </w:p>
    <w:p w14:paraId="5CA0F1FA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FDD23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Monografia, dissertações e teses</w:t>
      </w:r>
    </w:p>
    <w:p w14:paraId="4F834EF9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797654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SILVA NETO, J. A.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Amiloidose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relato de caso e revisão de literatura. 2014. 20 f. Trabalho de Conclusão de Curso (Especialização em Clínica Médica) ─Programa de Residência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Médica, Universidade Federal de Alagoas, Maceió, 2014.</w:t>
      </w:r>
    </w:p>
    <w:p w14:paraId="7DBD667A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116129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Soares, V. F. 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extensão universitária no processo de formação profissional</w:t>
      </w:r>
      <w:r>
        <w:rPr>
          <w:rFonts w:ascii="Times New Roman" w:eastAsia="Times New Roman" w:hAnsi="Times New Roman" w:cs="Times New Roman"/>
          <w:sz w:val="24"/>
          <w:szCs w:val="24"/>
        </w:rPr>
        <w:t>: experiência da TECA. 2019. 68 f. Dissertação (Mestrado em Psicologia) – Instituto de Psicologia, Universidade Federal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Alagoas, Maceió, 2019. Disponível em: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http://www.repositorio.ufal.br/jspui/handle/riufal/7026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 set. 2021.</w:t>
      </w:r>
    </w:p>
    <w:p w14:paraId="43C95210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E066F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Trabalho apresentado em evento científico</w:t>
      </w:r>
    </w:p>
    <w:p w14:paraId="3B2982E7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8FA2B2" w14:textId="77777777" w:rsidR="001D0448" w:rsidRDefault="00751600">
      <w:pPr>
        <w:tabs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CALHEIROS, M.I.F.; ARAUJO, N. C. O. O prontuário eletrônico do paciente: instrumento da comunicação da informação em saúde entre equipes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multi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interprofissional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In.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ENCONTRO NACIONAL DE PESQUISA E PÓS-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GRADUAÇÃO  EM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CIÊNCIA DA INFORMAÇÃO, 21., 2021, Rio de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Janeiro.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Resumos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 [Curitiba]: BRAPCI, 2022. Disponível em: https://brapci.inf.br/index.php/res/v/192525.</w:t>
      </w:r>
    </w:p>
    <w:p w14:paraId="1B616B25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58342D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ROMANCINI, Richard. A ética da pesquisa na rede.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CONGRESSO BRASILEIRO DE CIÊNCIAS DA COMUNICAÇÃO, 33., 2010, Caxias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</w:t>
      </w:r>
      <w:r>
        <w:rPr>
          <w:rFonts w:ascii="Times New Roman" w:eastAsia="Times New Roman" w:hAnsi="Times New Roman" w:cs="Times New Roman"/>
          <w:sz w:val="24"/>
          <w:szCs w:val="24"/>
        </w:rPr>
        <w:t>... São Paulo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2010. p. 15-28.  </w:t>
      </w:r>
    </w:p>
    <w:p w14:paraId="69D64BA2" w14:textId="77777777" w:rsidR="001D0448" w:rsidRDefault="001D0448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5D2062E9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Documentos jurídicos    </w:t>
      </w:r>
    </w:p>
    <w:p w14:paraId="3E7F7569" w14:textId="77777777" w:rsidR="001D0448" w:rsidRDefault="0075160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</w:p>
    <w:p w14:paraId="3AC82525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BRASIL. Constituição (1988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  Constituição da República Federativa do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promulgada em 5 de outubro de 1988: atualizada até a Emenda Constitucional nº 48, de 10 de agosto de 2005. 38.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ed., atual. São Paulo: Saraiva, 2006.</w:t>
      </w:r>
    </w:p>
    <w:p w14:paraId="2B45DAC7" w14:textId="77777777" w:rsidR="001D0448" w:rsidRDefault="001D0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6D212" w14:textId="77777777" w:rsidR="001D0448" w:rsidRDefault="00751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BRASIL. Decreto nº 9.175 de 18 de outubro de 2017. Regulamenta a Lei nº 9.434, de 4 de fevereiro de 1997, para tratar da disposição de órgãos, tecidos, células e partes do corpo humano para fins de transplante e trata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Diário Oficial da União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Brasília, DF, 19 out. 2017. Seção 1, p. 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&lt;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http://pesquisa.in.gov.br/imprensa/jsp/visualiza/ind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ex.jsp?jornal=2&amp;pagina=1&amp;data=19/10/2017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06 nov. 2017.</w:t>
      </w:r>
    </w:p>
    <w:p w14:paraId="51A3DBAA" w14:textId="781B508B" w:rsidR="001D0448" w:rsidRDefault="00751600" w:rsidP="008F6EA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NACIONAL DE SAÚDE (Brasil). Resolução n. 510, de 07 de abril de 2016. Dispõe sobre as normas aplicáveis a pesquisas em Ciências Humanas e Sociais cujos procedimentos metodológicos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envolvam a utilização de dados diretamente obtidos com os participantes ou de informações identificáveis ou que possam acarretar riscos maiores do que os existentes na vida cotidiana.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Diário Oficial da União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Brasília, DF, 24 maio 2016. Seção 1, p. 44-46.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 em: http://bvsms.saude.gov.br/bvs/saudelegis/cns/2016/res0510_07_04_2016.html. Acesso em: 13 abr. 2021.</w:t>
      </w:r>
    </w:p>
    <w:sectPr w:rsidR="001D0448">
      <w:headerReference w:type="default" r:id="rId13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8BE38" w14:textId="77777777" w:rsidR="00751600" w:rsidRDefault="00751600">
      <w:pPr>
        <w:spacing w:after="0" w:line="240" w:lineRule="auto"/>
      </w:pPr>
      <w:r>
        <w:separator/>
      </w:r>
    </w:p>
  </w:endnote>
  <w:endnote w:type="continuationSeparator" w:id="0">
    <w:p w14:paraId="3246A570" w14:textId="77777777" w:rsidR="00751600" w:rsidRDefault="0075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1B23" w14:textId="77777777" w:rsidR="00751600" w:rsidRDefault="00751600">
      <w:pPr>
        <w:spacing w:after="0" w:line="240" w:lineRule="auto"/>
      </w:pPr>
      <w:r>
        <w:separator/>
      </w:r>
    </w:p>
  </w:footnote>
  <w:footnote w:type="continuationSeparator" w:id="0">
    <w:p w14:paraId="3B4F945C" w14:textId="77777777" w:rsidR="00751600" w:rsidRDefault="0075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1098" w14:textId="77777777" w:rsidR="001D0448" w:rsidRDefault="001D04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161869"/>
    <w:rsid w:val="001D0448"/>
    <w:rsid w:val="004918E3"/>
    <w:rsid w:val="00741B17"/>
    <w:rsid w:val="00751600"/>
    <w:rsid w:val="008F6EAE"/>
    <w:rsid w:val="00A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11A4"/>
  <w15:docId w15:val="{4F7F56C6-51CF-4DC8-9022-F75297E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1-527120115v40n3e013721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pesquisa.in.gov.br/imprensa/jsp/visualiza/index.jsp?jornal=2&amp;pagina=1&amp;data=19/10/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positorio.ufal.br/jspui/handle/riufal/702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disciplinas.usp.br/pluginfile.php/4415460/mod_resource/content/1/Complementar%20Educa%C3%A7%C3%A3o%20e%20complexidade_Mori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ielo.br/scielo.php?script=sci_arttext&amp;pid=S0100-550220160003005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Maria Araujo Barbosa De Sena</dc:creator>
  <cp:lastModifiedBy>Erika Maria Araujo Barbosa De Sena</cp:lastModifiedBy>
  <cp:revision>2</cp:revision>
  <dcterms:created xsi:type="dcterms:W3CDTF">2022-09-27T14:55:00Z</dcterms:created>
  <dcterms:modified xsi:type="dcterms:W3CDTF">2022-09-27T14:55:00Z</dcterms:modified>
</cp:coreProperties>
</file>