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n9i8gxfqtgto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GESTÃO DE PACIENTES COM DOENÇAS RENAIS CRÔNICAS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lfz1p1t6p5y3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Management of patients with chronic kidney disease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João Marcelo Sá Pinto Lustosa de Oliveira – UniFacid IDOMED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Adolfo José Lages Nunes – Uninovafapi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Rodolfo Veiga Gomes – Unigranrio Afya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Michelle Freitas Silva – Faculdade Santo Agostinho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Aline Moura Cogo – UNIPAC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Gabriel Vale Vasconcelos – Universidade CEUMA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Barbara Mendonça Santana de Oliveira – São Lucas Afya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  <w:t xml:space="preserve">Isabella Theressa Sathler - Afya Faculdade de Ciências Médicas de Ipatinga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As doenças renais crônicas (DRC) são condições progressivas que podem levar à insuficiência renal se não forem tratadas adequadamente. A gestão eficaz de pacientes com DRC é essencial para retardar a progressão da doença, melhorar a qualidade de vida e reduzir o risco de complicações. </w:t>
      </w:r>
      <w:r w:rsidDel="00000000" w:rsidR="00000000" w:rsidRPr="00000000">
        <w:rPr>
          <w:b w:val="1"/>
          <w:rtl w:val="0"/>
        </w:rPr>
        <w:t xml:space="preserve">Materiais e Métodos:</w:t>
      </w:r>
      <w:r w:rsidDel="00000000" w:rsidR="00000000" w:rsidRPr="00000000">
        <w:rPr>
          <w:rtl w:val="0"/>
        </w:rPr>
        <w:t xml:space="preserve"> Foi realizada uma revisão de literatura entre 2018 e 2023 nas bases de dados PubMed, SciELO e LILACS. Os descritores utilizados foram “doenças renais crônicas”, “gestão de pacientes” e “tratamento”. Foram incluídos artigos originais, revisões sistemáticas e estudos observacionais que abordassem a identificação, evolução e manejo das DRC. Publicações sem metodologia clara foram excluídas. </w:t>
      </w:r>
      <w:r w:rsidDel="00000000" w:rsidR="00000000" w:rsidRPr="00000000">
        <w:rPr>
          <w:b w:val="1"/>
          <w:rtl w:val="0"/>
        </w:rPr>
        <w:t xml:space="preserve">Resultados e Discussão:</w:t>
      </w:r>
      <w:r w:rsidDel="00000000" w:rsidR="00000000" w:rsidRPr="00000000">
        <w:rPr>
          <w:rtl w:val="0"/>
        </w:rPr>
        <w:t xml:space="preserve"> A gestão de pacientes com DRC envolve uma abordagem multidisciplinar que inclui nefrologistas, nutricionistas, enfermeiros e outros profissionais de saúde. O diagnóstico precoce é fundamental e pode ser feito por meio de exames como creatinina sérica, taxa de filtração glomerular (TFG) e exame de urina. O tratamento das DRC pode incluir o uso de medicamentos para controlar a pressão arterial, níveis de glicose e lipídios, bem como a prevenção de anemia e distúrbios ósseos. Além disso, intervenções não farmacológicas, como mudanças na dieta, ingestão adequada de líquidos e cessação do tabagismo, são cruciais. A educação em saúde desempenha um papel vital ao capacitar os pacientes a compreenderem sua condição, reconhecerem os sinais de progressão da doença e adotarem medidas preventivas. O acompanhamento regular é essencial para monitorar a evolução da doença, ajustar o tratamento conforme necessário e prevenir complicações.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A gestão eficaz de pacientes com doenças renais crônicas requer uma abordagem integrada e contínua. O diagnóstico precoce, o tratamento adequado e a educação contínua são fundamentais para melhorar a qualidade de vida e reduzir as complicações. Estratégias preventivas e educacionais desempenham um papel vital na redução da progressão das DRC.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Doenças renais crônicas, gestão de pacientes, tratamento, educação em saúde.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Referências:</w:t>
      </w:r>
    </w:p>
    <w:p w:rsidR="00000000" w:rsidDel="00000000" w:rsidP="00000000" w:rsidRDefault="00000000" w:rsidRPr="00000000" w14:paraId="0000000E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RODRIGUES, Bruno Vinicius et al. Idosos portadores de doença renal crônica: o papel da gestão em saúde na cidade de Santa Maria. 2022.</w:t>
      </w:r>
    </w:p>
    <w:p w:rsidR="00000000" w:rsidDel="00000000" w:rsidP="00000000" w:rsidRDefault="00000000" w:rsidRPr="00000000" w14:paraId="0000000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DA ROCHA, Maria de Fátima Barros. Tratamento Conservador da Doença Renal Crónica: Protocolo de Consulta Externa. 2022.</w:t>
      </w:r>
    </w:p>
    <w:p w:rsidR="00000000" w:rsidDel="00000000" w:rsidP="00000000" w:rsidRDefault="00000000" w:rsidRPr="00000000" w14:paraId="00000010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DEVOLDER, Maria Eduarda Caruso et al. DESFECHOS CLÍNICOS DO USO PROLONGADO DE INIBIDORES DE SGLT2 EM PACIENTES COM DIABETES TIPO 2 E DOENÇA RENAL CRÔNICA.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Revista Ibero-Americana de Humanidades, Ciências e Educação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10, n. 8, p. 2042-2052, 2024.</w:t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