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E7B69" w14:textId="0D32688A" w:rsidR="00D1744F" w:rsidRPr="00D1744F" w:rsidRDefault="00D1744F" w:rsidP="003C08E9">
      <w:pPr>
        <w:tabs>
          <w:tab w:val="left" w:pos="385"/>
          <w:tab w:val="center" w:pos="4252"/>
        </w:tabs>
        <w:kinsoku w:val="0"/>
        <w:overflowPunct w:val="0"/>
        <w:spacing w:after="0"/>
        <w:textAlignment w:val="baseline"/>
        <w:rPr>
          <w:rFonts w:ascii="Times New Roman" w:eastAsiaTheme="minorEastAsia" w:hAnsi="Times New Roman"/>
          <w:b/>
          <w:color w:val="000000" w:themeColor="text1"/>
          <w:kern w:val="24"/>
          <w:sz w:val="20"/>
          <w:szCs w:val="20"/>
        </w:rPr>
      </w:pPr>
      <w:r w:rsidRPr="00D1744F">
        <w:rPr>
          <w:rFonts w:ascii="Times New Roman" w:hAnsi="Times New Roman"/>
          <w:b/>
          <w:bCs/>
          <w:sz w:val="20"/>
          <w:szCs w:val="20"/>
        </w:rPr>
        <w:t>Financiamento e Transição Energética: Uma Análise dos Desafios e Oportunidades</w:t>
      </w:r>
      <w:r w:rsidRPr="00D1744F">
        <w:rPr>
          <w:rFonts w:ascii="Times New Roman" w:eastAsiaTheme="minorEastAsia" w:hAnsi="Times New Roman"/>
          <w:b/>
          <w:color w:val="000000" w:themeColor="text1"/>
          <w:kern w:val="24"/>
          <w:sz w:val="20"/>
          <w:szCs w:val="20"/>
        </w:rPr>
        <w:t xml:space="preserve"> </w:t>
      </w:r>
    </w:p>
    <w:p w14:paraId="4DC159AA" w14:textId="77777777" w:rsidR="00D1744F" w:rsidRPr="00D1744F" w:rsidRDefault="00D1744F" w:rsidP="00D1744F">
      <w:pPr>
        <w:kinsoku w:val="0"/>
        <w:overflowPunct w:val="0"/>
        <w:spacing w:after="0"/>
        <w:jc w:val="center"/>
        <w:textAlignment w:val="baseline"/>
        <w:rPr>
          <w:rFonts w:ascii="Times New Roman" w:hAnsi="Times New Roman"/>
          <w:b/>
          <w:sz w:val="20"/>
          <w:szCs w:val="20"/>
        </w:rPr>
      </w:pPr>
    </w:p>
    <w:p w14:paraId="0D99A59A" w14:textId="77777777" w:rsidR="00D1744F" w:rsidRPr="00D1744F" w:rsidRDefault="00D1744F" w:rsidP="00D1744F">
      <w:pPr>
        <w:jc w:val="right"/>
        <w:rPr>
          <w:rFonts w:ascii="Times New Roman" w:hAnsi="Times New Roman"/>
          <w:b/>
          <w:sz w:val="20"/>
          <w:szCs w:val="20"/>
        </w:rPr>
      </w:pPr>
    </w:p>
    <w:p w14:paraId="5A72CC6D" w14:textId="3E818A2C" w:rsidR="00D1744F" w:rsidRPr="00D1744F" w:rsidRDefault="00D1744F" w:rsidP="003C08E9">
      <w:pPr>
        <w:jc w:val="right"/>
        <w:rPr>
          <w:rFonts w:ascii="Times New Roman" w:hAnsi="Times New Roman"/>
          <w:b/>
          <w:sz w:val="20"/>
          <w:szCs w:val="20"/>
        </w:rPr>
      </w:pPr>
      <w:r w:rsidRPr="00D1744F">
        <w:rPr>
          <w:rFonts w:ascii="Times New Roman" w:hAnsi="Times New Roman"/>
          <w:b/>
          <w:sz w:val="20"/>
          <w:szCs w:val="20"/>
        </w:rPr>
        <w:t>Tiago Rinaldi Meyer</w:t>
      </w:r>
      <w:r w:rsidR="003C08E9">
        <w:rPr>
          <w:rFonts w:ascii="Times New Roman" w:hAnsi="Times New Roman"/>
          <w:b/>
          <w:sz w:val="20"/>
          <w:szCs w:val="20"/>
        </w:rPr>
        <w:t>, Eletrobras, 21988233458, tiagor.meyer@gmail.com</w:t>
      </w:r>
    </w:p>
    <w:p w14:paraId="7A7DF708" w14:textId="48A1E034" w:rsidR="0000269C" w:rsidRPr="00D1744F" w:rsidRDefault="007F7FCE" w:rsidP="007F7FCE">
      <w:pPr>
        <w:rPr>
          <w:rFonts w:ascii="Times New Roman" w:hAnsi="Times New Roman"/>
          <w:b/>
          <w:sz w:val="20"/>
          <w:szCs w:val="20"/>
        </w:rPr>
      </w:pPr>
      <w:r>
        <w:rPr>
          <w:rFonts w:ascii="Times New Roman" w:hAnsi="Times New Roman"/>
          <w:b/>
          <w:sz w:val="20"/>
          <w:szCs w:val="20"/>
        </w:rPr>
        <w:t>Overview</w:t>
      </w:r>
    </w:p>
    <w:p w14:paraId="4D7AD455" w14:textId="77777777" w:rsidR="0000269C" w:rsidRPr="00D1744F" w:rsidRDefault="0000269C" w:rsidP="007F7FCE">
      <w:pPr>
        <w:spacing w:after="0"/>
        <w:jc w:val="both"/>
        <w:rPr>
          <w:rFonts w:ascii="Times New Roman" w:hAnsi="Times New Roman"/>
          <w:sz w:val="20"/>
          <w:szCs w:val="20"/>
        </w:rPr>
      </w:pPr>
      <w:r w:rsidRPr="00D1744F">
        <w:rPr>
          <w:rFonts w:ascii="Times New Roman" w:hAnsi="Times New Roman"/>
          <w:sz w:val="20"/>
          <w:szCs w:val="20"/>
        </w:rPr>
        <w:t>A transição energética é um processo fundamental para enfrentar os desafios ambientais e garantir um futuro sustentável. No entanto, sua implementação requer recursos financeiros significativos. O trabalho tem como objetivo analisar o papel do financiamento na transição energética, analisando os desafios e oportunidades associados às finanças verdes. Discutimos as diferentes abordagens de finanças verdes e como este mercado está se desenvolvendo no âmbito nacional e internacional. Além disso, abordamos as iniciativas governamentais, em termos de incentivo e regulamentação, que objetivam desenvolver e aprimorar o financiamento necessário para a viabilização da transição energética. A hipótese central do artigo é que os mecanismos de mercado por si só são insuficientes para atender o desafio do financiamento da transição energética, uma vez que que este processo irá demandar investimentos de montante elevados, de longa maturação e sujeitos à incerteza.</w:t>
      </w:r>
    </w:p>
    <w:p w14:paraId="7C30A667" w14:textId="77777777" w:rsidR="0000269C" w:rsidRPr="00D1744F" w:rsidRDefault="0000269C" w:rsidP="0000269C">
      <w:pPr>
        <w:spacing w:after="0"/>
        <w:ind w:firstLine="709"/>
        <w:jc w:val="both"/>
        <w:rPr>
          <w:rFonts w:ascii="Times New Roman" w:hAnsi="Times New Roman"/>
          <w:sz w:val="20"/>
          <w:szCs w:val="20"/>
        </w:rPr>
      </w:pPr>
      <w:r w:rsidRPr="00D1744F">
        <w:rPr>
          <w:rFonts w:ascii="Times New Roman" w:hAnsi="Times New Roman"/>
          <w:sz w:val="20"/>
          <w:szCs w:val="20"/>
        </w:rPr>
        <w:t xml:space="preserve"> </w:t>
      </w:r>
    </w:p>
    <w:p w14:paraId="7FC0DF99" w14:textId="5E3C12D9" w:rsidR="007F7FCE" w:rsidRPr="008A3C12" w:rsidRDefault="007F7FCE">
      <w:pPr>
        <w:rPr>
          <w:b/>
          <w:bCs/>
          <w:sz w:val="20"/>
          <w:szCs w:val="20"/>
        </w:rPr>
      </w:pPr>
      <w:proofErr w:type="spellStart"/>
      <w:r w:rsidRPr="008A3C12">
        <w:rPr>
          <w:b/>
          <w:bCs/>
          <w:sz w:val="20"/>
          <w:szCs w:val="20"/>
        </w:rPr>
        <w:t>Methods</w:t>
      </w:r>
      <w:proofErr w:type="spellEnd"/>
    </w:p>
    <w:p w14:paraId="7E963749" w14:textId="67D52911" w:rsidR="007F7FCE" w:rsidRDefault="00C924ED" w:rsidP="008A3C12">
      <w:pPr>
        <w:jc w:val="both"/>
        <w:rPr>
          <w:rFonts w:ascii="Times New Roman" w:hAnsi="Times New Roman"/>
          <w:sz w:val="20"/>
          <w:szCs w:val="20"/>
        </w:rPr>
      </w:pPr>
      <w:r>
        <w:rPr>
          <w:sz w:val="20"/>
          <w:szCs w:val="20"/>
        </w:rPr>
        <w:t xml:space="preserve">O artigo faz uma análise descritiva </w:t>
      </w:r>
      <w:r w:rsidR="00A95BA6">
        <w:rPr>
          <w:sz w:val="20"/>
          <w:szCs w:val="20"/>
        </w:rPr>
        <w:t>do papel do financiamento na transição energética</w:t>
      </w:r>
      <w:r w:rsidR="008A3C12">
        <w:rPr>
          <w:sz w:val="20"/>
          <w:szCs w:val="20"/>
        </w:rPr>
        <w:t>,</w:t>
      </w:r>
      <w:r w:rsidR="00A95BA6">
        <w:rPr>
          <w:sz w:val="20"/>
          <w:szCs w:val="20"/>
        </w:rPr>
        <w:t xml:space="preserve"> </w:t>
      </w:r>
      <w:r w:rsidR="00A95BA6" w:rsidRPr="00D1744F">
        <w:rPr>
          <w:rFonts w:ascii="Times New Roman" w:hAnsi="Times New Roman"/>
          <w:sz w:val="20"/>
          <w:szCs w:val="20"/>
        </w:rPr>
        <w:t xml:space="preserve">analisando os desafios e oportunidades associados às finanças verdes. </w:t>
      </w:r>
      <w:r w:rsidR="00CB52A4">
        <w:rPr>
          <w:rFonts w:ascii="Times New Roman" w:hAnsi="Times New Roman"/>
          <w:sz w:val="20"/>
          <w:szCs w:val="20"/>
        </w:rPr>
        <w:t xml:space="preserve">São discutidas </w:t>
      </w:r>
      <w:r w:rsidR="00A95BA6" w:rsidRPr="00D1744F">
        <w:rPr>
          <w:rFonts w:ascii="Times New Roman" w:hAnsi="Times New Roman"/>
          <w:sz w:val="20"/>
          <w:szCs w:val="20"/>
        </w:rPr>
        <w:t xml:space="preserve">diferentes abordagens de finanças verdes e como este mercado está se desenvolvendo no âmbito nacional e internacional. Além disso, </w:t>
      </w:r>
      <w:r w:rsidR="00ED7354">
        <w:rPr>
          <w:rFonts w:ascii="Times New Roman" w:hAnsi="Times New Roman"/>
          <w:sz w:val="20"/>
          <w:szCs w:val="20"/>
        </w:rPr>
        <w:t xml:space="preserve">o trabalho aborda as </w:t>
      </w:r>
      <w:r w:rsidR="00A95BA6" w:rsidRPr="00D1744F">
        <w:rPr>
          <w:rFonts w:ascii="Times New Roman" w:hAnsi="Times New Roman"/>
          <w:sz w:val="20"/>
          <w:szCs w:val="20"/>
        </w:rPr>
        <w:t>iniciativas governamentais, em termos de incentivo e regulamentação, que objetivam desenvolver e aprimorar o financiamento necessário para a viabilização da transição energética.</w:t>
      </w:r>
    </w:p>
    <w:p w14:paraId="265227DA" w14:textId="1BC324D4" w:rsidR="00B778A6" w:rsidRPr="00A91A9E" w:rsidRDefault="00B778A6" w:rsidP="008A3C12">
      <w:pPr>
        <w:jc w:val="both"/>
        <w:rPr>
          <w:rFonts w:ascii="Times New Roman" w:hAnsi="Times New Roman"/>
          <w:b/>
          <w:bCs/>
          <w:sz w:val="20"/>
          <w:szCs w:val="20"/>
        </w:rPr>
      </w:pPr>
      <w:proofErr w:type="spellStart"/>
      <w:r w:rsidRPr="00A91A9E">
        <w:rPr>
          <w:rFonts w:ascii="Times New Roman" w:hAnsi="Times New Roman"/>
          <w:b/>
          <w:bCs/>
          <w:sz w:val="20"/>
          <w:szCs w:val="20"/>
        </w:rPr>
        <w:t>Results</w:t>
      </w:r>
      <w:proofErr w:type="spellEnd"/>
    </w:p>
    <w:p w14:paraId="520FDF56" w14:textId="54EA9E19" w:rsidR="00B778A6" w:rsidRDefault="009E37FF" w:rsidP="004912CD">
      <w:pPr>
        <w:jc w:val="both"/>
        <w:rPr>
          <w:rFonts w:ascii="Times New Roman" w:hAnsi="Times New Roman"/>
          <w:sz w:val="20"/>
          <w:szCs w:val="20"/>
        </w:rPr>
      </w:pPr>
      <w:r>
        <w:rPr>
          <w:rFonts w:ascii="Times New Roman" w:hAnsi="Times New Roman"/>
          <w:sz w:val="20"/>
          <w:szCs w:val="20"/>
        </w:rPr>
        <w:t xml:space="preserve">A análise descritiva realizada no </w:t>
      </w:r>
      <w:r w:rsidR="008F4FCB">
        <w:rPr>
          <w:rFonts w:ascii="Times New Roman" w:hAnsi="Times New Roman"/>
          <w:sz w:val="20"/>
          <w:szCs w:val="20"/>
        </w:rPr>
        <w:t xml:space="preserve">trabalho </w:t>
      </w:r>
      <w:r w:rsidR="00141964">
        <w:rPr>
          <w:rFonts w:ascii="Times New Roman" w:hAnsi="Times New Roman"/>
          <w:sz w:val="20"/>
          <w:szCs w:val="20"/>
        </w:rPr>
        <w:t xml:space="preserve">indica </w:t>
      </w:r>
      <w:r w:rsidR="00375D64">
        <w:rPr>
          <w:rFonts w:ascii="Times New Roman" w:hAnsi="Times New Roman"/>
          <w:sz w:val="20"/>
          <w:szCs w:val="20"/>
        </w:rPr>
        <w:t xml:space="preserve">que o </w:t>
      </w:r>
      <w:r w:rsidR="00375D64" w:rsidRPr="00375D64">
        <w:rPr>
          <w:rFonts w:ascii="Times New Roman" w:hAnsi="Times New Roman"/>
          <w:sz w:val="20"/>
          <w:szCs w:val="20"/>
        </w:rPr>
        <w:t>processo de transição energética para uma economia de baixo carbono impõe desafios enorme para mundo</w:t>
      </w:r>
      <w:r w:rsidR="00A75C4B">
        <w:rPr>
          <w:rFonts w:ascii="Times New Roman" w:hAnsi="Times New Roman"/>
          <w:sz w:val="20"/>
          <w:szCs w:val="20"/>
        </w:rPr>
        <w:t xml:space="preserve">, demandando </w:t>
      </w:r>
      <w:r w:rsidR="00375D64" w:rsidRPr="00375D64">
        <w:rPr>
          <w:rFonts w:ascii="Times New Roman" w:hAnsi="Times New Roman"/>
          <w:sz w:val="20"/>
          <w:szCs w:val="20"/>
        </w:rPr>
        <w:t>investimentos altamente intensivos em capital, em inovação tecnológica de longa maturação e incertezas</w:t>
      </w:r>
      <w:r w:rsidR="00241BF0">
        <w:rPr>
          <w:rFonts w:ascii="Times New Roman" w:hAnsi="Times New Roman"/>
          <w:sz w:val="20"/>
          <w:szCs w:val="20"/>
        </w:rPr>
        <w:t xml:space="preserve"> e, que </w:t>
      </w:r>
      <w:r w:rsidR="00375D64" w:rsidRPr="00375D64">
        <w:rPr>
          <w:rFonts w:ascii="Times New Roman" w:hAnsi="Times New Roman"/>
          <w:sz w:val="20"/>
          <w:szCs w:val="20"/>
        </w:rPr>
        <w:t xml:space="preserve">o mercado financeiro tradicional pode não ser capaz de atender, em função de sua visão de curto prazo e elevada preferência pela liquidez. </w:t>
      </w:r>
    </w:p>
    <w:p w14:paraId="18059FEB" w14:textId="60E7D16B" w:rsidR="004912CD" w:rsidRPr="00821C0E" w:rsidRDefault="004912CD" w:rsidP="004912CD">
      <w:pPr>
        <w:jc w:val="both"/>
        <w:rPr>
          <w:rFonts w:ascii="Times New Roman" w:hAnsi="Times New Roman"/>
          <w:b/>
          <w:bCs/>
          <w:sz w:val="20"/>
          <w:szCs w:val="20"/>
        </w:rPr>
      </w:pPr>
      <w:proofErr w:type="spellStart"/>
      <w:r w:rsidRPr="00821C0E">
        <w:rPr>
          <w:rFonts w:ascii="Times New Roman" w:hAnsi="Times New Roman"/>
          <w:b/>
          <w:bCs/>
          <w:sz w:val="20"/>
          <w:szCs w:val="20"/>
        </w:rPr>
        <w:t>Conclus</w:t>
      </w:r>
      <w:r w:rsidR="00056A89" w:rsidRPr="00821C0E">
        <w:rPr>
          <w:rFonts w:ascii="Times New Roman" w:hAnsi="Times New Roman"/>
          <w:b/>
          <w:bCs/>
          <w:sz w:val="20"/>
          <w:szCs w:val="20"/>
        </w:rPr>
        <w:t>ions</w:t>
      </w:r>
      <w:proofErr w:type="spellEnd"/>
    </w:p>
    <w:p w14:paraId="30F73E2F" w14:textId="0ECE92AB" w:rsidR="00821C0E" w:rsidRPr="00821C0E" w:rsidRDefault="00C34B02" w:rsidP="00821C0E">
      <w:pPr>
        <w:jc w:val="both"/>
        <w:rPr>
          <w:rFonts w:ascii="Times New Roman" w:hAnsi="Times New Roman"/>
          <w:sz w:val="20"/>
          <w:szCs w:val="20"/>
        </w:rPr>
      </w:pPr>
      <w:r>
        <w:rPr>
          <w:rFonts w:ascii="Times New Roman" w:hAnsi="Times New Roman"/>
          <w:sz w:val="20"/>
          <w:szCs w:val="20"/>
        </w:rPr>
        <w:t xml:space="preserve">Os </w:t>
      </w:r>
      <w:r w:rsidR="00821C0E" w:rsidRPr="00821C0E">
        <w:rPr>
          <w:rFonts w:ascii="Times New Roman" w:hAnsi="Times New Roman"/>
          <w:sz w:val="20"/>
          <w:szCs w:val="20"/>
        </w:rPr>
        <w:t>investimentos necessários para o processo de transição verde sustentável requerem uma orientação que o mercado financeiro tradicional pode não ser capaz de atender</w:t>
      </w:r>
      <w:r w:rsidR="009B0FDC">
        <w:rPr>
          <w:rFonts w:ascii="Times New Roman" w:hAnsi="Times New Roman"/>
          <w:sz w:val="20"/>
          <w:szCs w:val="20"/>
        </w:rPr>
        <w:t xml:space="preserve">. </w:t>
      </w:r>
      <w:r w:rsidR="00821C0E" w:rsidRPr="00821C0E">
        <w:rPr>
          <w:rFonts w:ascii="Times New Roman" w:hAnsi="Times New Roman"/>
          <w:sz w:val="20"/>
          <w:szCs w:val="20"/>
        </w:rPr>
        <w:t>As abordagens e instrumentos usados para o financiamento sustentável desenvolvidos até o momento utilizam os instrumentos financeiros existentes no mercado</w:t>
      </w:r>
      <w:r w:rsidR="006A0986">
        <w:rPr>
          <w:rFonts w:ascii="Times New Roman" w:hAnsi="Times New Roman"/>
          <w:sz w:val="20"/>
          <w:szCs w:val="20"/>
        </w:rPr>
        <w:t>.</w:t>
      </w:r>
    </w:p>
    <w:p w14:paraId="214FCE62" w14:textId="45DD3E7C" w:rsidR="00821C0E" w:rsidRPr="00821C0E" w:rsidRDefault="00821C0E" w:rsidP="00821C0E">
      <w:pPr>
        <w:jc w:val="both"/>
        <w:rPr>
          <w:rFonts w:ascii="Times New Roman" w:hAnsi="Times New Roman"/>
          <w:sz w:val="20"/>
          <w:szCs w:val="20"/>
        </w:rPr>
      </w:pPr>
      <w:r w:rsidRPr="00821C0E">
        <w:rPr>
          <w:rFonts w:ascii="Times New Roman" w:hAnsi="Times New Roman"/>
          <w:sz w:val="20"/>
          <w:szCs w:val="20"/>
        </w:rPr>
        <w:t>A lacuna de existência de um padrão regulatório também é um fator relevante em que o mercado por si só não tem capacidade de solução. A falta de uma regulamentação que forneça uma definição clara de títulos verdes e requisitos para garantir que os recursos obtidos com a emissão de títulos verdes contribuam positivamente para a transição faz com que investidores institucionais não tenham incentivos para monitorizar o desempenho ambiental destes títulos verdes</w:t>
      </w:r>
      <w:r w:rsidR="006A0986">
        <w:rPr>
          <w:rFonts w:ascii="Times New Roman" w:hAnsi="Times New Roman"/>
          <w:sz w:val="20"/>
          <w:szCs w:val="20"/>
        </w:rPr>
        <w:t>.</w:t>
      </w:r>
    </w:p>
    <w:p w14:paraId="0DAD3ACE" w14:textId="53B2E24E" w:rsidR="00821C0E" w:rsidRPr="00821C0E" w:rsidRDefault="00821C0E" w:rsidP="00821C0E">
      <w:pPr>
        <w:jc w:val="both"/>
        <w:rPr>
          <w:rFonts w:ascii="Times New Roman" w:hAnsi="Times New Roman"/>
          <w:sz w:val="20"/>
          <w:szCs w:val="20"/>
        </w:rPr>
      </w:pPr>
      <w:r w:rsidRPr="00821C0E">
        <w:rPr>
          <w:rFonts w:ascii="Times New Roman" w:hAnsi="Times New Roman"/>
          <w:sz w:val="20"/>
          <w:szCs w:val="20"/>
        </w:rPr>
        <w:t>Esta lacuna regulatória gera riscos e ineficiências para o mercado verde, abrindo espaço para casos como os chamados “</w:t>
      </w:r>
      <w:proofErr w:type="spellStart"/>
      <w:r w:rsidRPr="00821C0E">
        <w:rPr>
          <w:rFonts w:ascii="Times New Roman" w:hAnsi="Times New Roman"/>
          <w:sz w:val="20"/>
          <w:szCs w:val="20"/>
        </w:rPr>
        <w:t>greenwashing</w:t>
      </w:r>
      <w:proofErr w:type="spellEnd"/>
      <w:r w:rsidRPr="00821C0E">
        <w:rPr>
          <w:rFonts w:ascii="Times New Roman" w:hAnsi="Times New Roman"/>
          <w:sz w:val="20"/>
          <w:szCs w:val="20"/>
        </w:rPr>
        <w:t xml:space="preserve">”. Ademais, a falta de garantias e certificações mais sólidas para apoiar o rótulo verde promovem custos adicionais, que pode ser relevante especialmente no caso de emissões menores ou emissores iniciantes. </w:t>
      </w:r>
    </w:p>
    <w:p w14:paraId="5839A510" w14:textId="4123ADDC" w:rsidR="00821C0E" w:rsidRPr="00821C0E" w:rsidRDefault="00821C0E" w:rsidP="00821C0E">
      <w:pPr>
        <w:jc w:val="both"/>
        <w:rPr>
          <w:rFonts w:ascii="Times New Roman" w:hAnsi="Times New Roman"/>
          <w:sz w:val="20"/>
          <w:szCs w:val="20"/>
        </w:rPr>
      </w:pPr>
      <w:r w:rsidRPr="00821C0E">
        <w:rPr>
          <w:rFonts w:ascii="Times New Roman" w:hAnsi="Times New Roman"/>
          <w:sz w:val="20"/>
          <w:szCs w:val="20"/>
        </w:rPr>
        <w:t xml:space="preserve">Esse novo contexto coloca em dúvida a possibilidade de o sistema financeiro privado liderar o processo de transição </w:t>
      </w:r>
      <w:r w:rsidR="002D6805">
        <w:rPr>
          <w:rFonts w:ascii="Times New Roman" w:hAnsi="Times New Roman"/>
          <w:sz w:val="20"/>
          <w:szCs w:val="20"/>
        </w:rPr>
        <w:t xml:space="preserve">o que </w:t>
      </w:r>
      <w:proofErr w:type="gramStart"/>
      <w:r w:rsidRPr="00821C0E">
        <w:rPr>
          <w:rFonts w:ascii="Times New Roman" w:hAnsi="Times New Roman"/>
          <w:sz w:val="20"/>
          <w:szCs w:val="20"/>
        </w:rPr>
        <w:t>faz-se</w:t>
      </w:r>
      <w:proofErr w:type="gramEnd"/>
      <w:r w:rsidRPr="00821C0E">
        <w:rPr>
          <w:rFonts w:ascii="Times New Roman" w:hAnsi="Times New Roman"/>
          <w:sz w:val="20"/>
          <w:szCs w:val="20"/>
        </w:rPr>
        <w:t xml:space="preserve"> necessário avaliar a participação do estado, via Banco Centrais e Bancos de Desenvolvimento, bem como os Bancos Multilaterais de Desenvolvimento. </w:t>
      </w:r>
      <w:r w:rsidR="00D363F4">
        <w:rPr>
          <w:rFonts w:ascii="Times New Roman" w:hAnsi="Times New Roman"/>
          <w:sz w:val="20"/>
          <w:szCs w:val="20"/>
        </w:rPr>
        <w:t xml:space="preserve">Os </w:t>
      </w:r>
      <w:r w:rsidRPr="00821C0E">
        <w:rPr>
          <w:rFonts w:ascii="Times New Roman" w:hAnsi="Times New Roman"/>
          <w:sz w:val="20"/>
          <w:szCs w:val="20"/>
        </w:rPr>
        <w:t>bancos de desenvolvimento podem funcionar como instrumento de política para promover a transição energética através de dispositivos de políticas creditícias, que acomodem uma demanda de capital caracterizada por projetos de investimentos de longa maturação, intensivo em tecnologia e permeado de incertezas.</w:t>
      </w:r>
    </w:p>
    <w:p w14:paraId="367E2DA8" w14:textId="211A3C1C" w:rsidR="00821C0E" w:rsidRPr="00821C0E" w:rsidRDefault="00821C0E" w:rsidP="00821C0E">
      <w:pPr>
        <w:jc w:val="both"/>
        <w:rPr>
          <w:rFonts w:ascii="Times New Roman" w:hAnsi="Times New Roman"/>
          <w:sz w:val="20"/>
          <w:szCs w:val="20"/>
        </w:rPr>
      </w:pPr>
      <w:r w:rsidRPr="00821C0E">
        <w:rPr>
          <w:rFonts w:ascii="Times New Roman" w:hAnsi="Times New Roman"/>
          <w:sz w:val="20"/>
          <w:szCs w:val="20"/>
        </w:rPr>
        <w:t xml:space="preserve">Dado o cenário de incapacidade da promoção da transição energética por meios exclusivos do setor privado, diversos países vêm promovendo políticas organizadas por meio de planos de longo prazo através de uma governança institucional coordenada pelo próprio Estado e concretizadas por meio de veículos financeiros (fundos). </w:t>
      </w:r>
    </w:p>
    <w:p w14:paraId="1D6C7F5F" w14:textId="41F08478" w:rsidR="00821C0E" w:rsidRDefault="000E1E91" w:rsidP="00821C0E">
      <w:pPr>
        <w:jc w:val="both"/>
        <w:rPr>
          <w:rFonts w:ascii="Times New Roman" w:hAnsi="Times New Roman"/>
          <w:sz w:val="20"/>
          <w:szCs w:val="20"/>
        </w:rPr>
      </w:pPr>
      <w:r>
        <w:rPr>
          <w:rFonts w:ascii="Times New Roman" w:hAnsi="Times New Roman"/>
          <w:sz w:val="20"/>
          <w:szCs w:val="20"/>
        </w:rPr>
        <w:t>D</w:t>
      </w:r>
      <w:r w:rsidR="00821C0E" w:rsidRPr="00821C0E">
        <w:rPr>
          <w:rFonts w:ascii="Times New Roman" w:hAnsi="Times New Roman"/>
          <w:sz w:val="20"/>
          <w:szCs w:val="20"/>
        </w:rPr>
        <w:t xml:space="preserve">adas </w:t>
      </w:r>
      <w:proofErr w:type="gramStart"/>
      <w:r w:rsidR="00821C0E" w:rsidRPr="00821C0E">
        <w:rPr>
          <w:rFonts w:ascii="Times New Roman" w:hAnsi="Times New Roman"/>
          <w:sz w:val="20"/>
          <w:szCs w:val="20"/>
        </w:rPr>
        <w:t>as  características</w:t>
      </w:r>
      <w:proofErr w:type="gramEnd"/>
      <w:r w:rsidR="00821C0E" w:rsidRPr="00821C0E">
        <w:rPr>
          <w:rFonts w:ascii="Times New Roman" w:hAnsi="Times New Roman"/>
          <w:sz w:val="20"/>
          <w:szCs w:val="20"/>
        </w:rPr>
        <w:t xml:space="preserve"> do investimento  em transição energética, existe um descasamento entre o prazo de maturação do investimento verde e o período em que o governo ou os investidores privados requerem seus lucros ou externalidades do projeto. Ou seja, os investimentos necessários para o processo de transição verde são de longo prazo enquanto o horizonte temporal do sistema privado é de retorno de curto prazo, o que reforça o desafio para o financiamento do processo de transição energética. </w:t>
      </w:r>
    </w:p>
    <w:p w14:paraId="74F66E69" w14:textId="2E2E3924" w:rsidR="009502F1" w:rsidRPr="004D543B" w:rsidRDefault="00551CEA" w:rsidP="00821C0E">
      <w:pPr>
        <w:jc w:val="both"/>
        <w:rPr>
          <w:rFonts w:ascii="Times New Roman" w:hAnsi="Times New Roman"/>
          <w:b/>
          <w:bCs/>
          <w:sz w:val="20"/>
          <w:szCs w:val="20"/>
        </w:rPr>
      </w:pPr>
      <w:proofErr w:type="spellStart"/>
      <w:r w:rsidRPr="004D543B">
        <w:rPr>
          <w:rFonts w:ascii="Times New Roman" w:hAnsi="Times New Roman"/>
          <w:b/>
          <w:bCs/>
          <w:sz w:val="20"/>
          <w:szCs w:val="20"/>
        </w:rPr>
        <w:lastRenderedPageBreak/>
        <w:t>References</w:t>
      </w:r>
      <w:proofErr w:type="spellEnd"/>
    </w:p>
    <w:p w14:paraId="34DBD0EF" w14:textId="77777777" w:rsidR="00551CEA" w:rsidRPr="004D543B" w:rsidRDefault="00551CEA" w:rsidP="00551CEA">
      <w:pPr>
        <w:spacing w:before="120"/>
        <w:jc w:val="both"/>
        <w:rPr>
          <w:rFonts w:ascii="Times New Roman" w:hAnsi="Times New Roman"/>
          <w:sz w:val="20"/>
          <w:szCs w:val="20"/>
          <w:lang w:val="en-US"/>
        </w:rPr>
      </w:pPr>
      <w:r w:rsidRPr="004D543B">
        <w:rPr>
          <w:rFonts w:ascii="Times New Roman" w:hAnsi="Times New Roman"/>
          <w:sz w:val="20"/>
          <w:szCs w:val="20"/>
        </w:rPr>
        <w:t xml:space="preserve">Aidar, G.; Moraes, F. Financiando o Big </w:t>
      </w:r>
      <w:proofErr w:type="spellStart"/>
      <w:r w:rsidRPr="004D543B">
        <w:rPr>
          <w:rFonts w:ascii="Times New Roman" w:hAnsi="Times New Roman"/>
          <w:sz w:val="20"/>
          <w:szCs w:val="20"/>
        </w:rPr>
        <w:t>Push</w:t>
      </w:r>
      <w:proofErr w:type="spellEnd"/>
      <w:r w:rsidRPr="004D543B">
        <w:rPr>
          <w:rFonts w:ascii="Times New Roman" w:hAnsi="Times New Roman"/>
          <w:sz w:val="20"/>
          <w:szCs w:val="20"/>
        </w:rPr>
        <w:t xml:space="preserve">: </w:t>
      </w:r>
      <w:r w:rsidRPr="004D543B">
        <w:rPr>
          <w:rFonts w:ascii="Times New Roman" w:hAnsi="Times New Roman"/>
          <w:i/>
          <w:iCs/>
          <w:sz w:val="20"/>
          <w:szCs w:val="20"/>
        </w:rPr>
        <w:t>caminhos para destravar a transição social e ecológica no Brasil</w:t>
      </w:r>
      <w:r w:rsidRPr="004D543B">
        <w:rPr>
          <w:rFonts w:ascii="Times New Roman" w:hAnsi="Times New Roman"/>
          <w:sz w:val="20"/>
          <w:szCs w:val="20"/>
        </w:rPr>
        <w:t xml:space="preserve">. </w:t>
      </w:r>
      <w:r w:rsidRPr="004D543B">
        <w:rPr>
          <w:rFonts w:ascii="Times New Roman" w:hAnsi="Times New Roman"/>
          <w:sz w:val="20"/>
          <w:szCs w:val="20"/>
          <w:lang w:val="en-US"/>
        </w:rPr>
        <w:t xml:space="preserve">CEPAL e </w:t>
      </w:r>
      <w:proofErr w:type="spellStart"/>
      <w:r w:rsidRPr="004D543B">
        <w:rPr>
          <w:rFonts w:ascii="Times New Roman" w:hAnsi="Times New Roman"/>
          <w:sz w:val="20"/>
          <w:szCs w:val="20"/>
          <w:lang w:val="en-US"/>
        </w:rPr>
        <w:t>Fundação</w:t>
      </w:r>
      <w:proofErr w:type="spellEnd"/>
      <w:r w:rsidRPr="004D543B">
        <w:rPr>
          <w:rFonts w:ascii="Times New Roman" w:hAnsi="Times New Roman"/>
          <w:sz w:val="20"/>
          <w:szCs w:val="20"/>
          <w:lang w:val="en-US"/>
        </w:rPr>
        <w:t xml:space="preserve"> Friedrich Ebert </w:t>
      </w:r>
      <w:proofErr w:type="spellStart"/>
      <w:r w:rsidRPr="004D543B">
        <w:rPr>
          <w:rFonts w:ascii="Times New Roman" w:hAnsi="Times New Roman"/>
          <w:sz w:val="20"/>
          <w:szCs w:val="20"/>
          <w:lang w:val="en-US"/>
        </w:rPr>
        <w:t>Brasil</w:t>
      </w:r>
      <w:proofErr w:type="spellEnd"/>
      <w:r w:rsidRPr="004D543B">
        <w:rPr>
          <w:rFonts w:ascii="Times New Roman" w:hAnsi="Times New Roman"/>
          <w:sz w:val="20"/>
          <w:szCs w:val="20"/>
          <w:lang w:val="en-US"/>
        </w:rPr>
        <w:t>, LC/BRS/TS. 2023.</w:t>
      </w:r>
    </w:p>
    <w:p w14:paraId="6FEB381D" w14:textId="77777777" w:rsidR="00551CEA" w:rsidRPr="004D543B" w:rsidRDefault="00551CEA" w:rsidP="00551CEA">
      <w:pPr>
        <w:spacing w:before="120"/>
        <w:jc w:val="both"/>
        <w:rPr>
          <w:rFonts w:ascii="Times New Roman" w:hAnsi="Times New Roman"/>
          <w:sz w:val="20"/>
          <w:szCs w:val="20"/>
          <w:lang w:val="en-US"/>
        </w:rPr>
      </w:pPr>
      <w:r w:rsidRPr="004D543B">
        <w:rPr>
          <w:rFonts w:ascii="Times New Roman" w:hAnsi="Times New Roman"/>
          <w:sz w:val="20"/>
          <w:szCs w:val="20"/>
          <w:lang w:val="en-US"/>
        </w:rPr>
        <w:t xml:space="preserve">Arrow, K. J. Economic </w:t>
      </w:r>
      <w:proofErr w:type="gramStart"/>
      <w:r w:rsidRPr="004D543B">
        <w:rPr>
          <w:rFonts w:ascii="Times New Roman" w:hAnsi="Times New Roman"/>
          <w:sz w:val="20"/>
          <w:szCs w:val="20"/>
          <w:lang w:val="en-US"/>
        </w:rPr>
        <w:t>Welfare</w:t>
      </w:r>
      <w:proofErr w:type="gramEnd"/>
      <w:r w:rsidRPr="004D543B">
        <w:rPr>
          <w:rFonts w:ascii="Times New Roman" w:hAnsi="Times New Roman"/>
          <w:sz w:val="20"/>
          <w:szCs w:val="20"/>
          <w:lang w:val="en-US"/>
        </w:rPr>
        <w:t xml:space="preserve"> and the Allocation of Resources for invention. In: NELSON, R. </w:t>
      </w:r>
      <w:r w:rsidRPr="004D543B">
        <w:rPr>
          <w:rFonts w:ascii="Times New Roman" w:hAnsi="Times New Roman"/>
          <w:i/>
          <w:iCs/>
          <w:sz w:val="20"/>
          <w:szCs w:val="20"/>
          <w:lang w:val="en-US"/>
        </w:rPr>
        <w:t>The rate and direction of inventive activity</w:t>
      </w:r>
      <w:r w:rsidRPr="004D543B">
        <w:rPr>
          <w:rFonts w:ascii="Times New Roman" w:hAnsi="Times New Roman"/>
          <w:sz w:val="20"/>
          <w:szCs w:val="20"/>
          <w:lang w:val="en-US"/>
        </w:rPr>
        <w:t>. NBER: Princeton University Press, 1962, p.609-629.</w:t>
      </w:r>
    </w:p>
    <w:p w14:paraId="2DD4A1D4" w14:textId="77777777" w:rsidR="00551CEA" w:rsidRPr="004D543B" w:rsidRDefault="00551CEA" w:rsidP="00551CEA">
      <w:pPr>
        <w:spacing w:before="120"/>
        <w:jc w:val="both"/>
        <w:rPr>
          <w:rFonts w:ascii="Times New Roman" w:hAnsi="Times New Roman"/>
          <w:sz w:val="20"/>
          <w:szCs w:val="20"/>
          <w:lang w:val="en-US"/>
        </w:rPr>
      </w:pPr>
      <w:r w:rsidRPr="004D543B">
        <w:rPr>
          <w:rFonts w:ascii="Times New Roman" w:eastAsia="NimbusRomNo9L-Regu" w:hAnsi="Times New Roman"/>
          <w:sz w:val="20"/>
          <w:szCs w:val="20"/>
          <w:lang w:val="en-US"/>
        </w:rPr>
        <w:t>Baker, M</w:t>
      </w:r>
      <w:r w:rsidRPr="004D543B">
        <w:rPr>
          <w:rFonts w:ascii="Times New Roman" w:hAnsi="Times New Roman"/>
          <w:sz w:val="20"/>
          <w:szCs w:val="20"/>
          <w:lang w:val="en-US"/>
        </w:rPr>
        <w:t>. et al.</w:t>
      </w:r>
      <w:r w:rsidRPr="004D543B">
        <w:rPr>
          <w:rFonts w:ascii="Times New Roman" w:eastAsia="NimbusRomNo9L-Regu" w:hAnsi="Times New Roman"/>
          <w:sz w:val="20"/>
          <w:szCs w:val="20"/>
          <w:lang w:val="en-US"/>
        </w:rPr>
        <w:t xml:space="preserve"> Financing the</w:t>
      </w:r>
      <w:r w:rsidRPr="004D543B">
        <w:rPr>
          <w:rFonts w:ascii="Times New Roman" w:hAnsi="Times New Roman"/>
          <w:sz w:val="20"/>
          <w:szCs w:val="20"/>
          <w:lang w:val="en-US"/>
        </w:rPr>
        <w:t xml:space="preserve"> </w:t>
      </w:r>
      <w:r w:rsidRPr="004D543B">
        <w:rPr>
          <w:rFonts w:ascii="Times New Roman" w:eastAsia="NimbusRomNo9L-Regu" w:hAnsi="Times New Roman"/>
          <w:sz w:val="20"/>
          <w:szCs w:val="20"/>
          <w:lang w:val="en-US"/>
        </w:rPr>
        <w:t>response to climate change: The pricing and ownership of US green bonds</w:t>
      </w:r>
      <w:r w:rsidRPr="004D543B">
        <w:rPr>
          <w:rFonts w:ascii="Times New Roman" w:hAnsi="Times New Roman"/>
          <w:sz w:val="20"/>
          <w:szCs w:val="20"/>
          <w:lang w:val="en-US"/>
        </w:rPr>
        <w:t xml:space="preserve">, </w:t>
      </w:r>
      <w:r w:rsidRPr="004D543B">
        <w:rPr>
          <w:rFonts w:ascii="Times New Roman" w:eastAsia="NimbusRomNo9L-Regu" w:hAnsi="Times New Roman"/>
          <w:sz w:val="20"/>
          <w:szCs w:val="20"/>
          <w:lang w:val="en-US"/>
        </w:rPr>
        <w:t>2018</w:t>
      </w:r>
      <w:r w:rsidRPr="004D543B">
        <w:rPr>
          <w:rFonts w:ascii="Times New Roman" w:hAnsi="Times New Roman"/>
          <w:sz w:val="20"/>
          <w:szCs w:val="20"/>
          <w:lang w:val="en-US"/>
        </w:rPr>
        <w:t>.</w:t>
      </w:r>
    </w:p>
    <w:p w14:paraId="51510E11" w14:textId="77777777" w:rsidR="00551CEA" w:rsidRPr="004D543B" w:rsidRDefault="00551CEA" w:rsidP="00551CEA">
      <w:pPr>
        <w:spacing w:before="120"/>
        <w:jc w:val="both"/>
        <w:rPr>
          <w:rFonts w:ascii="Times New Roman" w:hAnsi="Times New Roman"/>
          <w:color w:val="222222"/>
          <w:sz w:val="20"/>
          <w:szCs w:val="20"/>
          <w:shd w:val="clear" w:color="auto" w:fill="FFFFFF"/>
          <w:lang w:val="en-US"/>
        </w:rPr>
      </w:pPr>
      <w:r w:rsidRPr="004D543B">
        <w:rPr>
          <w:rFonts w:ascii="Times New Roman" w:hAnsi="Times New Roman"/>
          <w:color w:val="222222"/>
          <w:sz w:val="20"/>
          <w:szCs w:val="20"/>
          <w:shd w:val="clear" w:color="auto" w:fill="FFFFFF"/>
          <w:lang w:val="en-US"/>
        </w:rPr>
        <w:t xml:space="preserve">BLOOMBERG – New Energy Outlook 2022. </w:t>
      </w:r>
      <w:proofErr w:type="spellStart"/>
      <w:r w:rsidRPr="004D543B">
        <w:rPr>
          <w:rFonts w:ascii="Times New Roman" w:hAnsi="Times New Roman"/>
          <w:color w:val="222222"/>
          <w:sz w:val="20"/>
          <w:szCs w:val="20"/>
          <w:shd w:val="clear" w:color="auto" w:fill="FFFFFF"/>
          <w:lang w:val="en-US"/>
        </w:rPr>
        <w:t>Diposnível</w:t>
      </w:r>
      <w:proofErr w:type="spellEnd"/>
      <w:r w:rsidRPr="004D543B">
        <w:rPr>
          <w:rFonts w:ascii="Times New Roman" w:hAnsi="Times New Roman"/>
          <w:color w:val="222222"/>
          <w:sz w:val="20"/>
          <w:szCs w:val="20"/>
          <w:shd w:val="clear" w:color="auto" w:fill="FFFFFF"/>
          <w:lang w:val="en-US"/>
        </w:rPr>
        <w:t xml:space="preserve"> </w:t>
      </w:r>
      <w:proofErr w:type="spellStart"/>
      <w:r w:rsidRPr="004D543B">
        <w:rPr>
          <w:rFonts w:ascii="Times New Roman" w:hAnsi="Times New Roman"/>
          <w:color w:val="222222"/>
          <w:sz w:val="20"/>
          <w:szCs w:val="20"/>
          <w:shd w:val="clear" w:color="auto" w:fill="FFFFFF"/>
          <w:lang w:val="en-US"/>
        </w:rPr>
        <w:t>em</w:t>
      </w:r>
      <w:proofErr w:type="spellEnd"/>
      <w:r w:rsidRPr="004D543B">
        <w:rPr>
          <w:rFonts w:ascii="Times New Roman" w:hAnsi="Times New Roman"/>
          <w:color w:val="222222"/>
          <w:sz w:val="20"/>
          <w:szCs w:val="20"/>
          <w:shd w:val="clear" w:color="auto" w:fill="FFFFFF"/>
          <w:lang w:val="en-US"/>
        </w:rPr>
        <w:t>: &lt;</w:t>
      </w:r>
      <w:r w:rsidRPr="004D543B">
        <w:rPr>
          <w:rFonts w:ascii="Times New Roman" w:hAnsi="Times New Roman"/>
          <w:sz w:val="20"/>
          <w:szCs w:val="20"/>
          <w:lang w:val="en-US"/>
        </w:rPr>
        <w:t xml:space="preserve"> </w:t>
      </w:r>
      <w:hyperlink r:id="rId4" w:history="1">
        <w:r w:rsidRPr="004D543B">
          <w:rPr>
            <w:rStyle w:val="Hyperlink"/>
            <w:rFonts w:ascii="Times New Roman" w:hAnsi="Times New Roman"/>
            <w:sz w:val="20"/>
            <w:szCs w:val="20"/>
            <w:shd w:val="clear" w:color="auto" w:fill="FFFFFF"/>
            <w:lang w:val="en-US"/>
          </w:rPr>
          <w:t>https://about.bnef.com/new-energy-outlook/</w:t>
        </w:r>
      </w:hyperlink>
      <w:r w:rsidRPr="004D543B">
        <w:rPr>
          <w:rFonts w:ascii="Times New Roman" w:hAnsi="Times New Roman"/>
          <w:color w:val="222222"/>
          <w:sz w:val="20"/>
          <w:szCs w:val="20"/>
          <w:shd w:val="clear" w:color="auto" w:fill="FFFFFF"/>
          <w:lang w:val="en-US"/>
        </w:rPr>
        <w:t xml:space="preserve">&gt;, </w:t>
      </w:r>
      <w:proofErr w:type="spellStart"/>
      <w:r w:rsidRPr="004D543B">
        <w:rPr>
          <w:rFonts w:ascii="Times New Roman" w:hAnsi="Times New Roman"/>
          <w:color w:val="222222"/>
          <w:sz w:val="20"/>
          <w:szCs w:val="20"/>
          <w:shd w:val="clear" w:color="auto" w:fill="FFFFFF"/>
          <w:lang w:val="en-US"/>
        </w:rPr>
        <w:t>Acesso</w:t>
      </w:r>
      <w:proofErr w:type="spellEnd"/>
      <w:r w:rsidRPr="004D543B">
        <w:rPr>
          <w:rFonts w:ascii="Times New Roman" w:hAnsi="Times New Roman"/>
          <w:color w:val="222222"/>
          <w:sz w:val="20"/>
          <w:szCs w:val="20"/>
          <w:shd w:val="clear" w:color="auto" w:fill="FFFFFF"/>
          <w:lang w:val="en-US"/>
        </w:rPr>
        <w:t xml:space="preserve"> </w:t>
      </w:r>
      <w:proofErr w:type="spellStart"/>
      <w:r w:rsidRPr="004D543B">
        <w:rPr>
          <w:rFonts w:ascii="Times New Roman" w:hAnsi="Times New Roman"/>
          <w:color w:val="222222"/>
          <w:sz w:val="20"/>
          <w:szCs w:val="20"/>
          <w:shd w:val="clear" w:color="auto" w:fill="FFFFFF"/>
          <w:lang w:val="en-US"/>
        </w:rPr>
        <w:t>em</w:t>
      </w:r>
      <w:proofErr w:type="spellEnd"/>
      <w:r w:rsidRPr="004D543B">
        <w:rPr>
          <w:rFonts w:ascii="Times New Roman" w:hAnsi="Times New Roman"/>
          <w:color w:val="222222"/>
          <w:sz w:val="20"/>
          <w:szCs w:val="20"/>
          <w:shd w:val="clear" w:color="auto" w:fill="FFFFFF"/>
          <w:lang w:val="en-US"/>
        </w:rPr>
        <w:t xml:space="preserve"> 10/10/2023.</w:t>
      </w:r>
    </w:p>
    <w:p w14:paraId="2D958A07" w14:textId="77777777" w:rsidR="00551CEA" w:rsidRPr="004D543B" w:rsidRDefault="00551CEA" w:rsidP="00551CEA">
      <w:pPr>
        <w:spacing w:before="120"/>
        <w:jc w:val="both"/>
        <w:rPr>
          <w:rFonts w:ascii="Times New Roman" w:hAnsi="Times New Roman"/>
          <w:color w:val="222222"/>
          <w:sz w:val="20"/>
          <w:szCs w:val="20"/>
          <w:shd w:val="clear" w:color="auto" w:fill="FFFFFF"/>
          <w:lang w:val="en-US"/>
        </w:rPr>
      </w:pPr>
      <w:r w:rsidRPr="004D543B">
        <w:rPr>
          <w:rFonts w:ascii="Times New Roman" w:hAnsi="Times New Roman"/>
          <w:color w:val="222222"/>
          <w:sz w:val="20"/>
          <w:szCs w:val="20"/>
          <w:shd w:val="clear" w:color="auto" w:fill="FFFFFF"/>
          <w:lang w:val="en-US"/>
        </w:rPr>
        <w:t>Bradshaw, A; De Martino Jannuzzi, G. Governing energy transitions and regional economic development: Evidence from three Brazilian states. </w:t>
      </w:r>
      <w:r w:rsidRPr="004D543B">
        <w:rPr>
          <w:rFonts w:ascii="Times New Roman" w:hAnsi="Times New Roman"/>
          <w:i/>
          <w:iCs/>
          <w:color w:val="222222"/>
          <w:sz w:val="20"/>
          <w:szCs w:val="20"/>
          <w:shd w:val="clear" w:color="auto" w:fill="FFFFFF"/>
          <w:lang w:val="en-US"/>
        </w:rPr>
        <w:t>Energy policy</w:t>
      </w:r>
      <w:r w:rsidRPr="004D543B">
        <w:rPr>
          <w:rFonts w:ascii="Times New Roman" w:hAnsi="Times New Roman"/>
          <w:color w:val="222222"/>
          <w:sz w:val="20"/>
          <w:szCs w:val="20"/>
          <w:shd w:val="clear" w:color="auto" w:fill="FFFFFF"/>
          <w:lang w:val="en-US"/>
        </w:rPr>
        <w:t>, v. 126, p. 1-11, 2019.</w:t>
      </w:r>
    </w:p>
    <w:p w14:paraId="5CDCFEF1" w14:textId="77777777" w:rsidR="00551CEA" w:rsidRPr="004D543B" w:rsidRDefault="00551CEA" w:rsidP="00551CEA">
      <w:pPr>
        <w:spacing w:before="120"/>
        <w:jc w:val="both"/>
        <w:rPr>
          <w:rFonts w:ascii="Times New Roman" w:hAnsi="Times New Roman"/>
          <w:sz w:val="20"/>
          <w:szCs w:val="20"/>
          <w:lang w:val="en-US"/>
        </w:rPr>
      </w:pPr>
      <w:r w:rsidRPr="004D543B">
        <w:rPr>
          <w:rFonts w:ascii="Times New Roman" w:hAnsi="Times New Roman"/>
          <w:sz w:val="20"/>
          <w:szCs w:val="20"/>
          <w:lang w:val="en-US"/>
        </w:rPr>
        <w:t xml:space="preserve">Bridge, G. et al. Geographies of energy transition: Space, </w:t>
      </w:r>
      <w:proofErr w:type="gramStart"/>
      <w:r w:rsidRPr="004D543B">
        <w:rPr>
          <w:rFonts w:ascii="Times New Roman" w:hAnsi="Times New Roman"/>
          <w:sz w:val="20"/>
          <w:szCs w:val="20"/>
          <w:lang w:val="en-US"/>
        </w:rPr>
        <w:t>place</w:t>
      </w:r>
      <w:proofErr w:type="gramEnd"/>
      <w:r w:rsidRPr="004D543B">
        <w:rPr>
          <w:rFonts w:ascii="Times New Roman" w:hAnsi="Times New Roman"/>
          <w:sz w:val="20"/>
          <w:szCs w:val="20"/>
          <w:lang w:val="en-US"/>
        </w:rPr>
        <w:t xml:space="preserve"> and the low-carbon economy. </w:t>
      </w:r>
      <w:r w:rsidRPr="004D543B">
        <w:rPr>
          <w:rFonts w:ascii="Times New Roman" w:hAnsi="Times New Roman"/>
          <w:i/>
          <w:iCs/>
          <w:sz w:val="20"/>
          <w:szCs w:val="20"/>
          <w:lang w:val="en-US"/>
        </w:rPr>
        <w:t>Energy Policy</w:t>
      </w:r>
      <w:r w:rsidRPr="004D543B">
        <w:rPr>
          <w:rFonts w:ascii="Times New Roman" w:hAnsi="Times New Roman"/>
          <w:sz w:val="20"/>
          <w:szCs w:val="20"/>
          <w:lang w:val="en-US"/>
        </w:rPr>
        <w:t xml:space="preserve">, v. 53, p. 331–340, 2013. </w:t>
      </w:r>
    </w:p>
    <w:p w14:paraId="252D3992" w14:textId="77777777" w:rsidR="00551CEA" w:rsidRPr="004D543B" w:rsidRDefault="00551CEA" w:rsidP="00551CEA">
      <w:pPr>
        <w:spacing w:before="120"/>
        <w:jc w:val="both"/>
        <w:rPr>
          <w:rFonts w:ascii="Times New Roman" w:hAnsi="Times New Roman"/>
          <w:sz w:val="20"/>
          <w:szCs w:val="20"/>
          <w:lang w:val="en-US"/>
        </w:rPr>
      </w:pPr>
      <w:r w:rsidRPr="004D543B">
        <w:rPr>
          <w:rFonts w:ascii="Times New Roman" w:hAnsi="Times New Roman"/>
          <w:sz w:val="20"/>
          <w:szCs w:val="20"/>
          <w:lang w:val="en-US"/>
        </w:rPr>
        <w:t xml:space="preserve">Caplan, J. L. et al. Chloroplast </w:t>
      </w:r>
      <w:proofErr w:type="spellStart"/>
      <w:r w:rsidRPr="004D543B">
        <w:rPr>
          <w:rFonts w:ascii="Times New Roman" w:hAnsi="Times New Roman"/>
          <w:sz w:val="20"/>
          <w:szCs w:val="20"/>
          <w:lang w:val="en-US"/>
        </w:rPr>
        <w:t>stromules</w:t>
      </w:r>
      <w:proofErr w:type="spellEnd"/>
      <w:r w:rsidRPr="004D543B">
        <w:rPr>
          <w:rFonts w:ascii="Times New Roman" w:hAnsi="Times New Roman"/>
          <w:sz w:val="20"/>
          <w:szCs w:val="20"/>
          <w:lang w:val="en-US"/>
        </w:rPr>
        <w:t xml:space="preserve"> function during innate immunity. </w:t>
      </w:r>
      <w:r w:rsidRPr="004D543B">
        <w:rPr>
          <w:rFonts w:ascii="Times New Roman" w:hAnsi="Times New Roman"/>
          <w:i/>
          <w:iCs/>
          <w:sz w:val="20"/>
          <w:szCs w:val="20"/>
          <w:lang w:val="en-US"/>
        </w:rPr>
        <w:t>Developmental cell</w:t>
      </w:r>
      <w:r w:rsidRPr="004D543B">
        <w:rPr>
          <w:rFonts w:ascii="Times New Roman" w:hAnsi="Times New Roman"/>
          <w:sz w:val="20"/>
          <w:szCs w:val="20"/>
          <w:lang w:val="en-US"/>
        </w:rPr>
        <w:t>, v. 34, n. 1, p. 45-57, 2015.</w:t>
      </w:r>
    </w:p>
    <w:p w14:paraId="53065D98" w14:textId="77777777" w:rsidR="00551CEA" w:rsidRPr="004D543B" w:rsidRDefault="00551CEA" w:rsidP="00551CEA">
      <w:pPr>
        <w:spacing w:before="120"/>
        <w:jc w:val="both"/>
        <w:rPr>
          <w:rFonts w:ascii="Times New Roman" w:hAnsi="Times New Roman"/>
          <w:sz w:val="20"/>
          <w:szCs w:val="20"/>
          <w:lang w:val="en-US"/>
        </w:rPr>
      </w:pPr>
      <w:r w:rsidRPr="004D543B">
        <w:rPr>
          <w:rFonts w:ascii="Times New Roman" w:hAnsi="Times New Roman"/>
          <w:sz w:val="20"/>
          <w:szCs w:val="20"/>
          <w:lang w:val="en-US"/>
        </w:rPr>
        <w:t xml:space="preserve">Carvalho. F. C. </w:t>
      </w:r>
      <w:proofErr w:type="spellStart"/>
      <w:r w:rsidRPr="004D543B">
        <w:rPr>
          <w:rFonts w:ascii="Times New Roman" w:hAnsi="Times New Roman"/>
          <w:i/>
          <w:iCs/>
          <w:sz w:val="20"/>
          <w:szCs w:val="20"/>
          <w:lang w:val="en-US"/>
        </w:rPr>
        <w:t>Mr</w:t>
      </w:r>
      <w:proofErr w:type="spellEnd"/>
      <w:r w:rsidRPr="004D543B">
        <w:rPr>
          <w:rFonts w:ascii="Times New Roman" w:hAnsi="Times New Roman"/>
          <w:i/>
          <w:iCs/>
          <w:sz w:val="20"/>
          <w:szCs w:val="20"/>
          <w:lang w:val="en-US"/>
        </w:rPr>
        <w:t xml:space="preserve"> Keynes and The Post-</w:t>
      </w:r>
      <w:proofErr w:type="spellStart"/>
      <w:r w:rsidRPr="004D543B">
        <w:rPr>
          <w:rFonts w:ascii="Times New Roman" w:hAnsi="Times New Roman"/>
          <w:i/>
          <w:iCs/>
          <w:sz w:val="20"/>
          <w:szCs w:val="20"/>
          <w:lang w:val="en-US"/>
        </w:rPr>
        <w:t>keynesian</w:t>
      </w:r>
      <w:proofErr w:type="spellEnd"/>
      <w:r w:rsidRPr="004D543B">
        <w:rPr>
          <w:rFonts w:ascii="Times New Roman" w:hAnsi="Times New Roman"/>
          <w:sz w:val="20"/>
          <w:szCs w:val="20"/>
          <w:lang w:val="en-US"/>
        </w:rPr>
        <w:t>. England: Elgar, Cap. 9: Savings, Finance and Funding: financial institutions and the sustaining of investments, p. 147- 158, 1992.</w:t>
      </w:r>
    </w:p>
    <w:p w14:paraId="36417BF7" w14:textId="77777777" w:rsidR="00551CEA" w:rsidRPr="004D543B" w:rsidRDefault="00551CEA" w:rsidP="00551CEA">
      <w:pPr>
        <w:spacing w:before="120"/>
        <w:jc w:val="both"/>
        <w:rPr>
          <w:rFonts w:ascii="Times New Roman" w:hAnsi="Times New Roman"/>
          <w:sz w:val="20"/>
          <w:szCs w:val="20"/>
        </w:rPr>
      </w:pPr>
      <w:r w:rsidRPr="004D543B">
        <w:rPr>
          <w:rFonts w:ascii="Times New Roman" w:hAnsi="Times New Roman"/>
          <w:sz w:val="20"/>
          <w:szCs w:val="20"/>
          <w:lang w:val="en-US"/>
        </w:rPr>
        <w:t xml:space="preserve">Carvalho. F. C. Keyne’s concepts of finance and funding, and the structure of the financial system. </w:t>
      </w:r>
      <w:r w:rsidRPr="004D543B">
        <w:rPr>
          <w:rFonts w:ascii="Times New Roman" w:hAnsi="Times New Roman"/>
          <w:i/>
          <w:iCs/>
          <w:sz w:val="20"/>
          <w:szCs w:val="20"/>
        </w:rPr>
        <w:t>Texto para Discussão, IE/UFRJ</w:t>
      </w:r>
      <w:r w:rsidRPr="004D543B">
        <w:rPr>
          <w:rFonts w:ascii="Times New Roman" w:hAnsi="Times New Roman"/>
          <w:sz w:val="20"/>
          <w:szCs w:val="20"/>
        </w:rPr>
        <w:t>, no 344, setembro de 1995.</w:t>
      </w:r>
    </w:p>
    <w:p w14:paraId="093D9437" w14:textId="77777777" w:rsidR="00551CEA" w:rsidRPr="004D543B" w:rsidRDefault="00551CEA" w:rsidP="00551CEA">
      <w:pPr>
        <w:spacing w:before="120"/>
        <w:jc w:val="both"/>
        <w:rPr>
          <w:rFonts w:ascii="Times New Roman" w:hAnsi="Times New Roman"/>
          <w:sz w:val="20"/>
          <w:szCs w:val="20"/>
        </w:rPr>
      </w:pPr>
      <w:r w:rsidRPr="004D543B">
        <w:rPr>
          <w:rFonts w:ascii="Times New Roman" w:hAnsi="Times New Roman"/>
          <w:sz w:val="20"/>
          <w:szCs w:val="20"/>
        </w:rPr>
        <w:t xml:space="preserve">Carvalho. F. C. SOUZA, F.E.P.; SICSÚ, J. PAULA, L. F.R.; STUDART, R. </w:t>
      </w:r>
      <w:r w:rsidRPr="004D543B">
        <w:rPr>
          <w:rFonts w:ascii="Times New Roman" w:hAnsi="Times New Roman"/>
          <w:i/>
          <w:iCs/>
          <w:sz w:val="20"/>
          <w:szCs w:val="20"/>
        </w:rPr>
        <w:t>Economia Monetária e Financeira – Teoria e Política</w:t>
      </w:r>
      <w:r w:rsidRPr="004D543B">
        <w:rPr>
          <w:rFonts w:ascii="Times New Roman" w:hAnsi="Times New Roman"/>
          <w:sz w:val="20"/>
          <w:szCs w:val="20"/>
        </w:rPr>
        <w:t>. São Paulo: Editora Campus, 2007.</w:t>
      </w:r>
    </w:p>
    <w:p w14:paraId="1A6BC186" w14:textId="77777777" w:rsidR="00551CEA" w:rsidRPr="004D543B" w:rsidRDefault="00551CEA" w:rsidP="00551CEA">
      <w:pPr>
        <w:spacing w:before="120"/>
        <w:jc w:val="both"/>
        <w:rPr>
          <w:rFonts w:ascii="Times New Roman" w:hAnsi="Times New Roman"/>
          <w:sz w:val="20"/>
          <w:szCs w:val="20"/>
        </w:rPr>
      </w:pPr>
      <w:r w:rsidRPr="004D543B">
        <w:rPr>
          <w:rFonts w:ascii="Times New Roman" w:hAnsi="Times New Roman"/>
          <w:sz w:val="20"/>
          <w:szCs w:val="20"/>
        </w:rPr>
        <w:t>Carvalho. F. C; Sistema financeiro, crescimento e inclusão. Em: Castro, A.C; Licha, A.; Pinto JR., H.Q.; Saboia, J. (</w:t>
      </w:r>
      <w:proofErr w:type="spellStart"/>
      <w:r w:rsidRPr="004D543B">
        <w:rPr>
          <w:rFonts w:ascii="Times New Roman" w:hAnsi="Times New Roman"/>
          <w:sz w:val="20"/>
          <w:szCs w:val="20"/>
        </w:rPr>
        <w:t>org</w:t>
      </w:r>
      <w:proofErr w:type="spellEnd"/>
      <w:r w:rsidRPr="004D543B">
        <w:rPr>
          <w:rFonts w:ascii="Times New Roman" w:hAnsi="Times New Roman"/>
          <w:sz w:val="20"/>
          <w:szCs w:val="20"/>
        </w:rPr>
        <w:t xml:space="preserve">). </w:t>
      </w:r>
      <w:r w:rsidRPr="004D543B">
        <w:rPr>
          <w:rFonts w:ascii="Times New Roman" w:hAnsi="Times New Roman"/>
          <w:i/>
          <w:iCs/>
          <w:sz w:val="20"/>
          <w:szCs w:val="20"/>
        </w:rPr>
        <w:t>Brasil em Desenvolvimento</w:t>
      </w:r>
      <w:r w:rsidRPr="004D543B">
        <w:rPr>
          <w:rFonts w:ascii="Times New Roman" w:hAnsi="Times New Roman"/>
          <w:sz w:val="20"/>
          <w:szCs w:val="20"/>
        </w:rPr>
        <w:t>. Rio de Janeiro: Civilização Brasileira (Record), pag. 23-50, 2005.</w:t>
      </w:r>
    </w:p>
    <w:p w14:paraId="32EBE65B" w14:textId="77777777" w:rsidR="00551CEA" w:rsidRPr="004D543B" w:rsidRDefault="00551CEA" w:rsidP="00551CEA">
      <w:pPr>
        <w:tabs>
          <w:tab w:val="num" w:pos="1440"/>
        </w:tabs>
        <w:spacing w:before="120" w:after="0"/>
        <w:jc w:val="both"/>
        <w:rPr>
          <w:rFonts w:ascii="Times New Roman" w:hAnsi="Times New Roman"/>
          <w:sz w:val="20"/>
          <w:szCs w:val="20"/>
        </w:rPr>
      </w:pPr>
      <w:r w:rsidRPr="004D543B">
        <w:rPr>
          <w:rFonts w:ascii="Times New Roman" w:hAnsi="Times New Roman"/>
          <w:sz w:val="20"/>
          <w:szCs w:val="20"/>
          <w:lang w:val="en-US"/>
        </w:rPr>
        <w:t>CBI – Climate Bonds Initiative. Bonds and climate change.</w:t>
      </w:r>
      <w:r w:rsidRPr="004D543B">
        <w:rPr>
          <w:rFonts w:ascii="Times New Roman" w:hAnsi="Times New Roman"/>
          <w:i/>
          <w:iCs/>
          <w:sz w:val="20"/>
          <w:szCs w:val="20"/>
          <w:lang w:val="en-US"/>
        </w:rPr>
        <w:t xml:space="preserve"> The state of the market</w:t>
      </w:r>
      <w:r w:rsidRPr="004D543B">
        <w:rPr>
          <w:rFonts w:ascii="Times New Roman" w:hAnsi="Times New Roman"/>
          <w:sz w:val="20"/>
          <w:szCs w:val="20"/>
          <w:lang w:val="en-US"/>
        </w:rPr>
        <w:t xml:space="preserve">. </w:t>
      </w:r>
      <w:r w:rsidRPr="004D543B">
        <w:rPr>
          <w:rFonts w:ascii="Times New Roman" w:hAnsi="Times New Roman"/>
          <w:sz w:val="20"/>
          <w:szCs w:val="20"/>
        </w:rPr>
        <w:t>London, 2017.</w:t>
      </w:r>
    </w:p>
    <w:p w14:paraId="1EF0FF23" w14:textId="77777777" w:rsidR="00551CEA" w:rsidRPr="004D543B" w:rsidRDefault="00551CEA" w:rsidP="00551CEA">
      <w:pPr>
        <w:tabs>
          <w:tab w:val="num" w:pos="1440"/>
        </w:tabs>
        <w:spacing w:before="120" w:after="0"/>
        <w:jc w:val="both"/>
        <w:rPr>
          <w:rFonts w:ascii="Times New Roman" w:hAnsi="Times New Roman"/>
          <w:sz w:val="20"/>
          <w:szCs w:val="20"/>
        </w:rPr>
      </w:pPr>
      <w:r w:rsidRPr="004D543B">
        <w:rPr>
          <w:rFonts w:ascii="Times New Roman" w:hAnsi="Times New Roman"/>
          <w:sz w:val="20"/>
          <w:szCs w:val="20"/>
          <w:lang w:val="en-US"/>
        </w:rPr>
        <w:t xml:space="preserve">CBI – Climate Bonds Initiative. Global State of the market report 2022. </w:t>
      </w:r>
      <w:proofErr w:type="spellStart"/>
      <w:r w:rsidRPr="004D543B">
        <w:rPr>
          <w:rFonts w:ascii="Times New Roman" w:hAnsi="Times New Roman"/>
          <w:sz w:val="20"/>
          <w:szCs w:val="20"/>
          <w:lang w:val="en-US"/>
        </w:rPr>
        <w:t>Diposnível</w:t>
      </w:r>
      <w:proofErr w:type="spellEnd"/>
      <w:r w:rsidRPr="004D543B">
        <w:rPr>
          <w:rFonts w:ascii="Times New Roman" w:hAnsi="Times New Roman"/>
          <w:sz w:val="20"/>
          <w:szCs w:val="20"/>
          <w:lang w:val="en-US"/>
        </w:rPr>
        <w:t xml:space="preserve"> </w:t>
      </w:r>
      <w:proofErr w:type="spellStart"/>
      <w:r w:rsidRPr="004D543B">
        <w:rPr>
          <w:rFonts w:ascii="Times New Roman" w:hAnsi="Times New Roman"/>
          <w:sz w:val="20"/>
          <w:szCs w:val="20"/>
          <w:lang w:val="en-US"/>
        </w:rPr>
        <w:t>em</w:t>
      </w:r>
      <w:proofErr w:type="spellEnd"/>
      <w:r w:rsidRPr="004D543B">
        <w:rPr>
          <w:rFonts w:ascii="Times New Roman" w:hAnsi="Times New Roman"/>
          <w:sz w:val="20"/>
          <w:szCs w:val="20"/>
          <w:lang w:val="en-US"/>
        </w:rPr>
        <w:t>: &lt;</w:t>
      </w:r>
      <w:r w:rsidRPr="004D543B">
        <w:rPr>
          <w:sz w:val="20"/>
          <w:szCs w:val="20"/>
        </w:rPr>
        <w:t xml:space="preserve"> </w:t>
      </w:r>
      <w:hyperlink r:id="rId5" w:history="1">
        <w:r w:rsidRPr="004D543B">
          <w:rPr>
            <w:rStyle w:val="Hyperlink"/>
            <w:rFonts w:ascii="Times New Roman" w:hAnsi="Times New Roman"/>
            <w:sz w:val="20"/>
            <w:szCs w:val="20"/>
            <w:lang w:val="en-US"/>
          </w:rPr>
          <w:t>https://www.climatebonds.net/resources/reports/global-state-market-report-2022</w:t>
        </w:r>
      </w:hyperlink>
      <w:r w:rsidRPr="004D543B">
        <w:rPr>
          <w:rFonts w:ascii="Times New Roman" w:hAnsi="Times New Roman"/>
          <w:sz w:val="20"/>
          <w:szCs w:val="20"/>
          <w:lang w:val="en-US"/>
        </w:rPr>
        <w:t xml:space="preserve">&gt;. </w:t>
      </w:r>
      <w:proofErr w:type="spellStart"/>
      <w:r w:rsidRPr="004D543B">
        <w:rPr>
          <w:rFonts w:ascii="Times New Roman" w:hAnsi="Times New Roman"/>
          <w:sz w:val="20"/>
          <w:szCs w:val="20"/>
          <w:lang w:val="en-US"/>
        </w:rPr>
        <w:t>Acesso</w:t>
      </w:r>
      <w:proofErr w:type="spellEnd"/>
      <w:r w:rsidRPr="004D543B">
        <w:rPr>
          <w:rFonts w:ascii="Times New Roman" w:hAnsi="Times New Roman"/>
          <w:sz w:val="20"/>
          <w:szCs w:val="20"/>
          <w:lang w:val="en-US"/>
        </w:rPr>
        <w:t xml:space="preserve"> </w:t>
      </w:r>
      <w:proofErr w:type="spellStart"/>
      <w:r w:rsidRPr="004D543B">
        <w:rPr>
          <w:rFonts w:ascii="Times New Roman" w:hAnsi="Times New Roman"/>
          <w:sz w:val="20"/>
          <w:szCs w:val="20"/>
          <w:lang w:val="en-US"/>
        </w:rPr>
        <w:t>em</w:t>
      </w:r>
      <w:proofErr w:type="spellEnd"/>
      <w:r w:rsidRPr="004D543B">
        <w:rPr>
          <w:rFonts w:ascii="Times New Roman" w:hAnsi="Times New Roman"/>
          <w:sz w:val="20"/>
          <w:szCs w:val="20"/>
          <w:lang w:val="en-US"/>
        </w:rPr>
        <w:t xml:space="preserve"> 05/10/2023.</w:t>
      </w:r>
    </w:p>
    <w:p w14:paraId="1E789F88" w14:textId="77777777" w:rsidR="00551CEA" w:rsidRPr="004D543B" w:rsidRDefault="00551CEA" w:rsidP="00551CEA">
      <w:pPr>
        <w:spacing w:before="120"/>
        <w:jc w:val="both"/>
        <w:rPr>
          <w:rFonts w:ascii="Times New Roman" w:hAnsi="Times New Roman"/>
          <w:sz w:val="20"/>
          <w:szCs w:val="20"/>
        </w:rPr>
      </w:pPr>
      <w:proofErr w:type="spellStart"/>
      <w:r w:rsidRPr="004D543B">
        <w:rPr>
          <w:rFonts w:ascii="Times New Roman" w:hAnsi="Times New Roman"/>
          <w:sz w:val="20"/>
          <w:szCs w:val="20"/>
        </w:rPr>
        <w:t>Crocco</w:t>
      </w:r>
      <w:proofErr w:type="spellEnd"/>
      <w:r w:rsidRPr="004D543B">
        <w:rPr>
          <w:rFonts w:ascii="Times New Roman" w:hAnsi="Times New Roman"/>
          <w:sz w:val="20"/>
          <w:szCs w:val="20"/>
        </w:rPr>
        <w:t xml:space="preserve">, M., </w:t>
      </w:r>
      <w:proofErr w:type="spellStart"/>
      <w:r w:rsidRPr="004D543B">
        <w:rPr>
          <w:rFonts w:ascii="Times New Roman" w:hAnsi="Times New Roman"/>
          <w:sz w:val="20"/>
          <w:szCs w:val="20"/>
        </w:rPr>
        <w:t>feil</w:t>
      </w:r>
      <w:proofErr w:type="spellEnd"/>
      <w:r w:rsidRPr="004D543B">
        <w:rPr>
          <w:rFonts w:ascii="Times New Roman" w:hAnsi="Times New Roman"/>
          <w:sz w:val="20"/>
          <w:szCs w:val="20"/>
        </w:rPr>
        <w:t xml:space="preserve">, F., "Um ensaio sobre riscos ambientais e a estabilidade do sistema financeiro: o caso do Brasil no pós-pandemia". In: BERCOVICI; GILBERTO, SICSÚ, J., AGUIAR, R. (Org.), </w:t>
      </w:r>
      <w:r w:rsidRPr="004D543B">
        <w:rPr>
          <w:rFonts w:ascii="Times New Roman" w:hAnsi="Times New Roman"/>
          <w:i/>
          <w:iCs/>
          <w:sz w:val="20"/>
          <w:szCs w:val="20"/>
        </w:rPr>
        <w:t>Utopias para reconstruir o Brasil</w:t>
      </w:r>
      <w:r w:rsidRPr="004D543B">
        <w:rPr>
          <w:rFonts w:ascii="Times New Roman" w:hAnsi="Times New Roman"/>
          <w:sz w:val="20"/>
          <w:szCs w:val="20"/>
        </w:rPr>
        <w:t xml:space="preserve">, São Paulo, Quartier </w:t>
      </w:r>
      <w:proofErr w:type="spellStart"/>
      <w:r w:rsidRPr="004D543B">
        <w:rPr>
          <w:rFonts w:ascii="Times New Roman" w:hAnsi="Times New Roman"/>
          <w:sz w:val="20"/>
          <w:szCs w:val="20"/>
        </w:rPr>
        <w:t>Latin</w:t>
      </w:r>
      <w:proofErr w:type="spellEnd"/>
      <w:r w:rsidRPr="004D543B">
        <w:rPr>
          <w:rFonts w:ascii="Times New Roman" w:hAnsi="Times New Roman"/>
          <w:sz w:val="20"/>
          <w:szCs w:val="20"/>
        </w:rPr>
        <w:t>, p. 743–759, 2020.</w:t>
      </w:r>
    </w:p>
    <w:p w14:paraId="148CF8A1" w14:textId="77777777" w:rsidR="00551CEA" w:rsidRPr="004D543B" w:rsidRDefault="00551CEA" w:rsidP="00551CEA">
      <w:pPr>
        <w:spacing w:before="120"/>
        <w:jc w:val="both"/>
        <w:rPr>
          <w:rFonts w:ascii="Times New Roman" w:hAnsi="Times New Roman"/>
          <w:sz w:val="20"/>
          <w:szCs w:val="20"/>
        </w:rPr>
      </w:pPr>
      <w:r w:rsidRPr="004D543B">
        <w:rPr>
          <w:rFonts w:ascii="Times New Roman" w:hAnsi="Times New Roman"/>
          <w:sz w:val="20"/>
          <w:szCs w:val="20"/>
        </w:rPr>
        <w:t>Da Silva, G. T. F.; Ferraz, C. Desafios à estruturação de um plano de investimento público para o setor energético brasileiro. </w:t>
      </w:r>
      <w:r w:rsidRPr="004D543B">
        <w:rPr>
          <w:rFonts w:ascii="Times New Roman" w:hAnsi="Times New Roman"/>
          <w:i/>
          <w:iCs/>
          <w:sz w:val="20"/>
          <w:szCs w:val="20"/>
        </w:rPr>
        <w:t>Sobre a Associação Keynesiana Brasileira-AKB</w:t>
      </w:r>
      <w:r w:rsidRPr="004D543B">
        <w:rPr>
          <w:rFonts w:ascii="Times New Roman" w:hAnsi="Times New Roman"/>
          <w:sz w:val="20"/>
          <w:szCs w:val="20"/>
        </w:rPr>
        <w:t>, p. 73.</w:t>
      </w:r>
    </w:p>
    <w:p w14:paraId="7F2AF241" w14:textId="77777777" w:rsidR="00551CEA" w:rsidRPr="004D543B" w:rsidRDefault="00551CEA" w:rsidP="00551CEA">
      <w:pPr>
        <w:spacing w:before="120"/>
        <w:jc w:val="both"/>
        <w:rPr>
          <w:rFonts w:ascii="Times New Roman" w:hAnsi="Times New Roman"/>
          <w:sz w:val="20"/>
          <w:szCs w:val="20"/>
          <w:lang w:val="en-US"/>
        </w:rPr>
      </w:pPr>
      <w:proofErr w:type="spellStart"/>
      <w:r w:rsidRPr="004D543B">
        <w:rPr>
          <w:rFonts w:ascii="Times New Roman" w:hAnsi="Times New Roman"/>
          <w:sz w:val="20"/>
          <w:szCs w:val="20"/>
        </w:rPr>
        <w:t>Dziwok</w:t>
      </w:r>
      <w:proofErr w:type="spellEnd"/>
      <w:r w:rsidRPr="004D543B">
        <w:rPr>
          <w:rFonts w:ascii="Times New Roman" w:hAnsi="Times New Roman"/>
          <w:sz w:val="20"/>
          <w:szCs w:val="20"/>
        </w:rPr>
        <w:t xml:space="preserve">, E </w:t>
      </w:r>
      <w:proofErr w:type="spellStart"/>
      <w:r w:rsidRPr="004D543B">
        <w:rPr>
          <w:rFonts w:ascii="Times New Roman" w:hAnsi="Times New Roman"/>
          <w:sz w:val="20"/>
          <w:szCs w:val="20"/>
        </w:rPr>
        <w:t>and</w:t>
      </w:r>
      <w:proofErr w:type="spellEnd"/>
      <w:r w:rsidRPr="004D543B">
        <w:rPr>
          <w:rFonts w:ascii="Times New Roman" w:hAnsi="Times New Roman"/>
          <w:sz w:val="20"/>
          <w:szCs w:val="20"/>
        </w:rPr>
        <w:t xml:space="preserve"> J </w:t>
      </w:r>
      <w:proofErr w:type="spellStart"/>
      <w:r w:rsidRPr="004D543B">
        <w:rPr>
          <w:rFonts w:ascii="Times New Roman" w:hAnsi="Times New Roman"/>
          <w:sz w:val="20"/>
          <w:szCs w:val="20"/>
        </w:rPr>
        <w:t>Jäger</w:t>
      </w:r>
      <w:proofErr w:type="spellEnd"/>
      <w:r w:rsidRPr="004D543B">
        <w:rPr>
          <w:rFonts w:ascii="Times New Roman" w:hAnsi="Times New Roman"/>
          <w:sz w:val="20"/>
          <w:szCs w:val="20"/>
        </w:rPr>
        <w:t xml:space="preserve">. </w:t>
      </w:r>
      <w:r w:rsidRPr="004D543B">
        <w:rPr>
          <w:rFonts w:ascii="Times New Roman" w:hAnsi="Times New Roman"/>
          <w:sz w:val="20"/>
          <w:szCs w:val="20"/>
          <w:lang w:val="en-US"/>
        </w:rPr>
        <w:t xml:space="preserve">‘A Classification of Different Approaches to Green Finance and Green Monetary Policy.’ Sustainability vo. 13, n.21, </w:t>
      </w:r>
      <w:proofErr w:type="spellStart"/>
      <w:r w:rsidRPr="004D543B">
        <w:rPr>
          <w:rFonts w:ascii="Times New Roman" w:hAnsi="Times New Roman"/>
          <w:sz w:val="20"/>
          <w:szCs w:val="20"/>
          <w:lang w:val="en-US"/>
        </w:rPr>
        <w:t>pag</w:t>
      </w:r>
      <w:proofErr w:type="spellEnd"/>
      <w:r w:rsidRPr="004D543B">
        <w:rPr>
          <w:rFonts w:ascii="Times New Roman" w:hAnsi="Times New Roman"/>
          <w:sz w:val="20"/>
          <w:szCs w:val="20"/>
          <w:lang w:val="en-US"/>
        </w:rPr>
        <w:t>, 1-15, 2021</w:t>
      </w:r>
    </w:p>
    <w:p w14:paraId="2D9CA98A" w14:textId="77777777" w:rsidR="00551CEA" w:rsidRPr="004D543B" w:rsidRDefault="00551CEA" w:rsidP="00551CEA">
      <w:pPr>
        <w:spacing w:before="120"/>
        <w:jc w:val="both"/>
        <w:rPr>
          <w:rFonts w:ascii="Times New Roman" w:hAnsi="Times New Roman"/>
          <w:sz w:val="20"/>
          <w:szCs w:val="20"/>
        </w:rPr>
      </w:pPr>
      <w:r w:rsidRPr="004D543B">
        <w:rPr>
          <w:rFonts w:ascii="Times New Roman" w:hAnsi="Times New Roman"/>
          <w:sz w:val="20"/>
          <w:szCs w:val="20"/>
          <w:lang w:val="en-US"/>
        </w:rPr>
        <w:t xml:space="preserve">EBRD – European Bank for Reconstruction and Development. </w:t>
      </w:r>
      <w:r w:rsidRPr="004D543B">
        <w:rPr>
          <w:rFonts w:ascii="Times New Roman" w:hAnsi="Times New Roman"/>
          <w:sz w:val="20"/>
          <w:szCs w:val="20"/>
        </w:rPr>
        <w:t>Disponível em &lt; https://www.ebrd.com/home&gt;, acesso em 15/10/2023</w:t>
      </w:r>
    </w:p>
    <w:p w14:paraId="6E20EBC5" w14:textId="77777777" w:rsidR="00551CEA" w:rsidRPr="004D543B" w:rsidRDefault="00551CEA" w:rsidP="00551CEA">
      <w:pPr>
        <w:spacing w:before="120"/>
        <w:jc w:val="both"/>
        <w:rPr>
          <w:rFonts w:ascii="Times New Roman" w:hAnsi="Times New Roman"/>
          <w:sz w:val="20"/>
          <w:szCs w:val="20"/>
        </w:rPr>
      </w:pPr>
      <w:proofErr w:type="spellStart"/>
      <w:r w:rsidRPr="004D543B">
        <w:rPr>
          <w:rFonts w:ascii="Times New Roman" w:hAnsi="Times New Roman"/>
          <w:sz w:val="20"/>
          <w:szCs w:val="20"/>
        </w:rPr>
        <w:t>Feil</w:t>
      </w:r>
      <w:proofErr w:type="spellEnd"/>
      <w:r w:rsidRPr="004D543B">
        <w:rPr>
          <w:rFonts w:ascii="Times New Roman" w:hAnsi="Times New Roman"/>
          <w:sz w:val="20"/>
          <w:szCs w:val="20"/>
        </w:rPr>
        <w:t xml:space="preserve">, F; </w:t>
      </w:r>
      <w:proofErr w:type="spellStart"/>
      <w:r w:rsidRPr="004D543B">
        <w:rPr>
          <w:rFonts w:ascii="Times New Roman" w:hAnsi="Times New Roman"/>
          <w:sz w:val="20"/>
          <w:szCs w:val="20"/>
        </w:rPr>
        <w:t>Feijo</w:t>
      </w:r>
      <w:proofErr w:type="spellEnd"/>
      <w:r w:rsidRPr="004D543B">
        <w:rPr>
          <w:rFonts w:ascii="Times New Roman" w:hAnsi="Times New Roman"/>
          <w:sz w:val="20"/>
          <w:szCs w:val="20"/>
        </w:rPr>
        <w:t>, C. Bancos de desenvolvimento como braço de política pública para transição verde sustentável. </w:t>
      </w:r>
      <w:r w:rsidRPr="004D543B">
        <w:rPr>
          <w:rFonts w:ascii="Times New Roman" w:hAnsi="Times New Roman"/>
          <w:i/>
          <w:iCs/>
          <w:sz w:val="20"/>
          <w:szCs w:val="20"/>
        </w:rPr>
        <w:t xml:space="preserve">A Economia em </w:t>
      </w:r>
      <w:proofErr w:type="spellStart"/>
      <w:r w:rsidRPr="004D543B">
        <w:rPr>
          <w:rFonts w:ascii="Times New Roman" w:hAnsi="Times New Roman"/>
          <w:i/>
          <w:iCs/>
          <w:sz w:val="20"/>
          <w:szCs w:val="20"/>
        </w:rPr>
        <w:t>Revista-AERE</w:t>
      </w:r>
      <w:proofErr w:type="spellEnd"/>
      <w:r w:rsidRPr="004D543B">
        <w:rPr>
          <w:rFonts w:ascii="Times New Roman" w:hAnsi="Times New Roman"/>
          <w:sz w:val="20"/>
          <w:szCs w:val="20"/>
        </w:rPr>
        <w:t>, v. 30, n.3, 2022.</w:t>
      </w:r>
    </w:p>
    <w:p w14:paraId="0001E034" w14:textId="77777777" w:rsidR="00551CEA" w:rsidRPr="004D543B" w:rsidRDefault="00551CEA" w:rsidP="00551CEA">
      <w:pPr>
        <w:spacing w:before="120"/>
        <w:jc w:val="both"/>
        <w:rPr>
          <w:rFonts w:ascii="Times New Roman" w:hAnsi="Times New Roman"/>
          <w:sz w:val="20"/>
          <w:szCs w:val="20"/>
          <w:lang w:val="en-US"/>
        </w:rPr>
      </w:pPr>
      <w:proofErr w:type="spellStart"/>
      <w:r w:rsidRPr="004D543B">
        <w:rPr>
          <w:rFonts w:ascii="Times New Roman" w:hAnsi="Times New Roman"/>
          <w:sz w:val="20"/>
          <w:szCs w:val="20"/>
        </w:rPr>
        <w:t>Flammer</w:t>
      </w:r>
      <w:proofErr w:type="spellEnd"/>
      <w:r w:rsidRPr="004D543B">
        <w:rPr>
          <w:rFonts w:ascii="Times New Roman" w:hAnsi="Times New Roman"/>
          <w:sz w:val="20"/>
          <w:szCs w:val="20"/>
        </w:rPr>
        <w:t xml:space="preserve">, C. Corporate </w:t>
      </w:r>
      <w:proofErr w:type="spellStart"/>
      <w:r w:rsidRPr="004D543B">
        <w:rPr>
          <w:rFonts w:ascii="Times New Roman" w:hAnsi="Times New Roman"/>
          <w:sz w:val="20"/>
          <w:szCs w:val="20"/>
        </w:rPr>
        <w:t>green</w:t>
      </w:r>
      <w:proofErr w:type="spellEnd"/>
      <w:r w:rsidRPr="004D543B">
        <w:rPr>
          <w:rFonts w:ascii="Times New Roman" w:hAnsi="Times New Roman"/>
          <w:sz w:val="20"/>
          <w:szCs w:val="20"/>
        </w:rPr>
        <w:t xml:space="preserve"> </w:t>
      </w:r>
      <w:proofErr w:type="spellStart"/>
      <w:r w:rsidRPr="004D543B">
        <w:rPr>
          <w:rFonts w:ascii="Times New Roman" w:hAnsi="Times New Roman"/>
          <w:sz w:val="20"/>
          <w:szCs w:val="20"/>
        </w:rPr>
        <w:t>bonds</w:t>
      </w:r>
      <w:proofErr w:type="spellEnd"/>
      <w:r w:rsidRPr="004D543B">
        <w:rPr>
          <w:rFonts w:ascii="Times New Roman" w:hAnsi="Times New Roman"/>
          <w:sz w:val="20"/>
          <w:szCs w:val="20"/>
        </w:rPr>
        <w:t xml:space="preserve">. </w:t>
      </w:r>
      <w:r w:rsidRPr="004D543B">
        <w:rPr>
          <w:rFonts w:ascii="Times New Roman" w:hAnsi="Times New Roman"/>
          <w:i/>
          <w:iCs/>
          <w:sz w:val="20"/>
          <w:szCs w:val="20"/>
          <w:lang w:val="en-US"/>
        </w:rPr>
        <w:t>Journal of Financial Economics</w:t>
      </w:r>
      <w:r w:rsidRPr="004D543B">
        <w:rPr>
          <w:rFonts w:ascii="Times New Roman" w:hAnsi="Times New Roman"/>
          <w:sz w:val="20"/>
          <w:szCs w:val="20"/>
          <w:lang w:val="en-US"/>
        </w:rPr>
        <w:t xml:space="preserve">, Vol. 142, n. 2, </w:t>
      </w:r>
      <w:proofErr w:type="spellStart"/>
      <w:r w:rsidRPr="004D543B">
        <w:rPr>
          <w:rFonts w:ascii="Times New Roman" w:hAnsi="Times New Roman"/>
          <w:sz w:val="20"/>
          <w:szCs w:val="20"/>
          <w:lang w:val="en-US"/>
        </w:rPr>
        <w:t>pag</w:t>
      </w:r>
      <w:proofErr w:type="spellEnd"/>
      <w:r w:rsidRPr="004D543B">
        <w:rPr>
          <w:rFonts w:ascii="Times New Roman" w:hAnsi="Times New Roman"/>
          <w:sz w:val="20"/>
          <w:szCs w:val="20"/>
          <w:lang w:val="en-US"/>
        </w:rPr>
        <w:t>. 499</w:t>
      </w:r>
      <w:r w:rsidRPr="004D543B">
        <w:rPr>
          <w:rFonts w:ascii="Times New Roman" w:hAnsi="Times New Roman" w:hint="eastAsia"/>
          <w:sz w:val="20"/>
          <w:szCs w:val="20"/>
          <w:lang w:val="en-US"/>
        </w:rPr>
        <w:t>–</w:t>
      </w:r>
      <w:r w:rsidRPr="004D543B">
        <w:rPr>
          <w:rFonts w:ascii="Times New Roman" w:hAnsi="Times New Roman"/>
          <w:sz w:val="20"/>
          <w:szCs w:val="20"/>
          <w:lang w:val="en-US"/>
        </w:rPr>
        <w:t>516, 2021.</w:t>
      </w:r>
    </w:p>
    <w:p w14:paraId="6302D346" w14:textId="77777777" w:rsidR="00551CEA" w:rsidRPr="004D543B" w:rsidRDefault="00551CEA" w:rsidP="00551CEA">
      <w:pPr>
        <w:spacing w:before="120"/>
        <w:jc w:val="both"/>
        <w:rPr>
          <w:rFonts w:ascii="Times New Roman" w:hAnsi="Times New Roman"/>
          <w:sz w:val="20"/>
          <w:szCs w:val="20"/>
          <w:lang w:val="en-US"/>
        </w:rPr>
      </w:pPr>
      <w:r w:rsidRPr="004D543B">
        <w:rPr>
          <w:rFonts w:ascii="Times New Roman" w:hAnsi="Times New Roman"/>
          <w:sz w:val="20"/>
          <w:szCs w:val="20"/>
          <w:lang w:val="en-US"/>
        </w:rPr>
        <w:t xml:space="preserve">FMI – Fundo </w:t>
      </w:r>
      <w:proofErr w:type="spellStart"/>
      <w:r w:rsidRPr="004D543B">
        <w:rPr>
          <w:rFonts w:ascii="Times New Roman" w:hAnsi="Times New Roman"/>
          <w:sz w:val="20"/>
          <w:szCs w:val="20"/>
          <w:lang w:val="en-US"/>
        </w:rPr>
        <w:t>Monetário</w:t>
      </w:r>
      <w:proofErr w:type="spellEnd"/>
      <w:r w:rsidRPr="004D543B">
        <w:rPr>
          <w:rFonts w:ascii="Times New Roman" w:hAnsi="Times New Roman"/>
          <w:sz w:val="20"/>
          <w:szCs w:val="20"/>
          <w:lang w:val="en-US"/>
        </w:rPr>
        <w:t xml:space="preserve"> Internacional</w:t>
      </w:r>
      <w:r w:rsidRPr="004D543B">
        <w:rPr>
          <w:rFonts w:ascii="Times New Roman" w:eastAsia="NimbusRomNo9L-Regu" w:hAnsi="Times New Roman"/>
          <w:sz w:val="20"/>
          <w:szCs w:val="20"/>
          <w:lang w:val="en-US"/>
        </w:rPr>
        <w:t>, “Global Financial Stability Report: Sustainable finance:</w:t>
      </w:r>
      <w:r w:rsidRPr="004D543B">
        <w:rPr>
          <w:rFonts w:ascii="Times New Roman" w:hAnsi="Times New Roman"/>
          <w:sz w:val="20"/>
          <w:szCs w:val="20"/>
          <w:lang w:val="en-US"/>
        </w:rPr>
        <w:t xml:space="preserve"> </w:t>
      </w:r>
      <w:r w:rsidRPr="004D543B">
        <w:rPr>
          <w:rFonts w:ascii="Times New Roman" w:eastAsia="NimbusRomNo9L-Regu" w:hAnsi="Times New Roman"/>
          <w:sz w:val="20"/>
          <w:szCs w:val="20"/>
          <w:lang w:val="en-US"/>
        </w:rPr>
        <w:t>Looking farther,</w:t>
      </w:r>
      <w:r w:rsidRPr="004D543B">
        <w:rPr>
          <w:rFonts w:ascii="Times New Roman" w:hAnsi="Times New Roman"/>
          <w:sz w:val="20"/>
          <w:szCs w:val="20"/>
          <w:lang w:val="en-US"/>
        </w:rPr>
        <w:t xml:space="preserve"> </w:t>
      </w:r>
      <w:r w:rsidRPr="004D543B">
        <w:rPr>
          <w:rFonts w:ascii="Times New Roman" w:eastAsia="NimbusRomNo9L-Regu" w:hAnsi="Times New Roman"/>
          <w:sz w:val="20"/>
          <w:szCs w:val="20"/>
          <w:lang w:val="en-US"/>
        </w:rPr>
        <w:t>2019</w:t>
      </w:r>
      <w:r w:rsidRPr="004D543B">
        <w:rPr>
          <w:rFonts w:ascii="Times New Roman" w:hAnsi="Times New Roman"/>
          <w:sz w:val="20"/>
          <w:szCs w:val="20"/>
          <w:lang w:val="en-US"/>
        </w:rPr>
        <w:t>.</w:t>
      </w:r>
    </w:p>
    <w:p w14:paraId="7E7020F5" w14:textId="77777777" w:rsidR="00551CEA" w:rsidRPr="004D543B" w:rsidRDefault="00551CEA" w:rsidP="00551CEA">
      <w:pPr>
        <w:spacing w:before="120"/>
        <w:contextualSpacing/>
        <w:jc w:val="both"/>
        <w:rPr>
          <w:rFonts w:ascii="Times New Roman" w:hAnsi="Times New Roman"/>
          <w:sz w:val="20"/>
          <w:szCs w:val="20"/>
        </w:rPr>
      </w:pPr>
      <w:r w:rsidRPr="004D543B">
        <w:rPr>
          <w:rFonts w:ascii="Times New Roman" w:hAnsi="Times New Roman"/>
          <w:sz w:val="20"/>
          <w:szCs w:val="20"/>
        </w:rPr>
        <w:t xml:space="preserve">Freeman, C; </w:t>
      </w:r>
      <w:proofErr w:type="spellStart"/>
      <w:r w:rsidRPr="004D543B">
        <w:rPr>
          <w:rFonts w:ascii="Times New Roman" w:hAnsi="Times New Roman"/>
          <w:sz w:val="20"/>
          <w:szCs w:val="20"/>
        </w:rPr>
        <w:t>Soete</w:t>
      </w:r>
      <w:proofErr w:type="spellEnd"/>
      <w:r w:rsidRPr="004D543B">
        <w:rPr>
          <w:rFonts w:ascii="Times New Roman" w:hAnsi="Times New Roman"/>
          <w:sz w:val="20"/>
          <w:szCs w:val="20"/>
        </w:rPr>
        <w:t>, L. </w:t>
      </w:r>
      <w:r w:rsidRPr="004D543B">
        <w:rPr>
          <w:rFonts w:ascii="Times New Roman" w:hAnsi="Times New Roman"/>
          <w:i/>
          <w:iCs/>
          <w:sz w:val="20"/>
          <w:szCs w:val="20"/>
        </w:rPr>
        <w:t>A economia da inovação industrial.</w:t>
      </w:r>
      <w:r w:rsidRPr="004D543B">
        <w:rPr>
          <w:rFonts w:ascii="Times New Roman" w:hAnsi="Times New Roman"/>
          <w:sz w:val="20"/>
          <w:szCs w:val="20"/>
        </w:rPr>
        <w:t xml:space="preserve"> Campinas, SP: Editora da UNICAMP, 2008.</w:t>
      </w:r>
    </w:p>
    <w:p w14:paraId="2EAD60B9" w14:textId="77777777" w:rsidR="00551CEA" w:rsidRPr="004D543B" w:rsidRDefault="00551CEA" w:rsidP="00551CEA">
      <w:pPr>
        <w:spacing w:before="120"/>
        <w:jc w:val="both"/>
        <w:rPr>
          <w:rFonts w:ascii="Times New Roman" w:hAnsi="Times New Roman"/>
          <w:sz w:val="20"/>
          <w:szCs w:val="20"/>
          <w:lang w:val="en-US"/>
        </w:rPr>
      </w:pPr>
      <w:r w:rsidRPr="004D543B">
        <w:rPr>
          <w:rFonts w:ascii="Times New Roman" w:hAnsi="Times New Roman"/>
          <w:sz w:val="20"/>
          <w:szCs w:val="20"/>
          <w:lang w:val="en-US"/>
        </w:rPr>
        <w:t xml:space="preserve">Gao, Y; </w:t>
      </w:r>
      <w:proofErr w:type="spellStart"/>
      <w:r w:rsidRPr="004D543B">
        <w:rPr>
          <w:rFonts w:ascii="Times New Roman" w:hAnsi="Times New Roman"/>
          <w:sz w:val="20"/>
          <w:szCs w:val="20"/>
          <w:lang w:val="en-US"/>
        </w:rPr>
        <w:t>Schmittmann</w:t>
      </w:r>
      <w:proofErr w:type="spellEnd"/>
      <w:r w:rsidRPr="004D543B">
        <w:rPr>
          <w:rFonts w:ascii="Times New Roman" w:hAnsi="Times New Roman"/>
          <w:sz w:val="20"/>
          <w:szCs w:val="20"/>
          <w:lang w:val="en-US"/>
        </w:rPr>
        <w:t>, J. M. Green bond pricing and greenwashing under asymmetric information. </w:t>
      </w:r>
      <w:r w:rsidRPr="004D543B">
        <w:rPr>
          <w:rFonts w:ascii="Times New Roman" w:hAnsi="Times New Roman"/>
          <w:i/>
          <w:iCs/>
          <w:sz w:val="20"/>
          <w:szCs w:val="20"/>
          <w:lang w:val="en-US"/>
        </w:rPr>
        <w:t>International Monetary Fund: Washington</w:t>
      </w:r>
      <w:r w:rsidRPr="004D543B">
        <w:rPr>
          <w:rFonts w:ascii="Times New Roman" w:hAnsi="Times New Roman"/>
          <w:b/>
          <w:bCs/>
          <w:sz w:val="20"/>
          <w:szCs w:val="20"/>
          <w:lang w:val="en-US"/>
        </w:rPr>
        <w:t xml:space="preserve">, </w:t>
      </w:r>
      <w:r w:rsidRPr="004D543B">
        <w:rPr>
          <w:rFonts w:ascii="Times New Roman" w:hAnsi="Times New Roman"/>
          <w:sz w:val="20"/>
          <w:szCs w:val="20"/>
          <w:lang w:val="en-US"/>
        </w:rPr>
        <w:t>DC, USA, 2022.</w:t>
      </w:r>
    </w:p>
    <w:p w14:paraId="4C646DA7" w14:textId="77777777" w:rsidR="00551CEA" w:rsidRPr="004D543B" w:rsidRDefault="00551CEA" w:rsidP="00551CEA">
      <w:pPr>
        <w:spacing w:before="120"/>
        <w:jc w:val="both"/>
        <w:rPr>
          <w:rFonts w:ascii="Times New Roman" w:hAnsi="Times New Roman"/>
          <w:sz w:val="20"/>
          <w:szCs w:val="20"/>
          <w:lang w:val="en-US"/>
        </w:rPr>
      </w:pPr>
      <w:r w:rsidRPr="004D543B">
        <w:rPr>
          <w:rFonts w:ascii="Times New Roman" w:hAnsi="Times New Roman"/>
          <w:sz w:val="20"/>
          <w:szCs w:val="20"/>
          <w:lang w:val="en-US"/>
        </w:rPr>
        <w:t xml:space="preserve">Green, J. Private Standards in the Climate Regime: The Greenhouse Gas Protocol. </w:t>
      </w:r>
      <w:r w:rsidRPr="004D543B">
        <w:rPr>
          <w:rFonts w:ascii="Times New Roman" w:hAnsi="Times New Roman"/>
          <w:i/>
          <w:iCs/>
          <w:sz w:val="20"/>
          <w:szCs w:val="20"/>
          <w:lang w:val="en-US"/>
        </w:rPr>
        <w:t>Business &amp; Politics</w:t>
      </w:r>
      <w:r w:rsidRPr="004D543B">
        <w:rPr>
          <w:rFonts w:ascii="Times New Roman" w:hAnsi="Times New Roman"/>
          <w:sz w:val="20"/>
          <w:szCs w:val="20"/>
          <w:lang w:val="en-US"/>
        </w:rPr>
        <w:t xml:space="preserve">, v.12, n.3, p.1–37, 2010. </w:t>
      </w:r>
    </w:p>
    <w:p w14:paraId="43CF6E58" w14:textId="77777777" w:rsidR="00551CEA" w:rsidRPr="004D543B" w:rsidRDefault="00551CEA" w:rsidP="00551CEA">
      <w:pPr>
        <w:spacing w:before="120"/>
        <w:jc w:val="both"/>
        <w:rPr>
          <w:rFonts w:ascii="Times New Roman" w:hAnsi="Times New Roman"/>
          <w:sz w:val="20"/>
          <w:szCs w:val="20"/>
          <w:lang w:val="en-US"/>
        </w:rPr>
      </w:pPr>
      <w:r w:rsidRPr="004D543B">
        <w:rPr>
          <w:rFonts w:ascii="Times New Roman" w:hAnsi="Times New Roman"/>
          <w:sz w:val="20"/>
          <w:szCs w:val="20"/>
          <w:lang w:val="en-US"/>
        </w:rPr>
        <w:t xml:space="preserve">Green, J. </w:t>
      </w:r>
      <w:r w:rsidRPr="004D543B">
        <w:rPr>
          <w:rFonts w:ascii="Times New Roman" w:hAnsi="Times New Roman"/>
          <w:i/>
          <w:iCs/>
          <w:sz w:val="20"/>
          <w:szCs w:val="20"/>
          <w:lang w:val="en-US"/>
        </w:rPr>
        <w:t>Rethinking Private Authority – Agents and Entrepreneurs in Global Environmental Governance</w:t>
      </w:r>
      <w:r w:rsidRPr="004D543B">
        <w:rPr>
          <w:rFonts w:ascii="Times New Roman" w:hAnsi="Times New Roman"/>
          <w:sz w:val="20"/>
          <w:szCs w:val="20"/>
          <w:lang w:val="en-US"/>
        </w:rPr>
        <w:t>. Princeton University Press: Princeton University Press, (2014).</w:t>
      </w:r>
    </w:p>
    <w:p w14:paraId="07C8F52C" w14:textId="77777777" w:rsidR="00551CEA" w:rsidRPr="004D543B" w:rsidRDefault="00551CEA" w:rsidP="00551CEA">
      <w:pPr>
        <w:spacing w:before="120"/>
        <w:jc w:val="both"/>
        <w:rPr>
          <w:rFonts w:ascii="Times New Roman" w:hAnsi="Times New Roman"/>
          <w:sz w:val="20"/>
          <w:szCs w:val="20"/>
          <w:lang w:val="en-US"/>
        </w:rPr>
      </w:pPr>
      <w:r w:rsidRPr="004D543B">
        <w:rPr>
          <w:rFonts w:ascii="Times New Roman" w:hAnsi="Times New Roman"/>
          <w:sz w:val="20"/>
          <w:szCs w:val="20"/>
          <w:lang w:val="en-US"/>
        </w:rPr>
        <w:lastRenderedPageBreak/>
        <w:t>Green, R. A. et al. Select liquefaction case histories from the 2010–2011 Canterbury earthquake sequence. </w:t>
      </w:r>
      <w:r w:rsidRPr="004D543B">
        <w:rPr>
          <w:rFonts w:ascii="Times New Roman" w:hAnsi="Times New Roman"/>
          <w:i/>
          <w:iCs/>
          <w:sz w:val="20"/>
          <w:szCs w:val="20"/>
          <w:lang w:val="en-US"/>
        </w:rPr>
        <w:t>Earthquake Spectra</w:t>
      </w:r>
      <w:r w:rsidRPr="004D543B">
        <w:rPr>
          <w:rFonts w:ascii="Times New Roman" w:hAnsi="Times New Roman"/>
          <w:sz w:val="20"/>
          <w:szCs w:val="20"/>
          <w:lang w:val="en-US"/>
        </w:rPr>
        <w:t>, v. 30, n. 1, p. 131-153, 2014.</w:t>
      </w:r>
    </w:p>
    <w:p w14:paraId="43724C3C" w14:textId="77777777" w:rsidR="00551CEA" w:rsidRPr="004D543B" w:rsidRDefault="00551CEA" w:rsidP="00551CEA">
      <w:pPr>
        <w:spacing w:before="120"/>
        <w:jc w:val="both"/>
        <w:rPr>
          <w:rFonts w:ascii="Times New Roman" w:hAnsi="Times New Roman"/>
          <w:sz w:val="20"/>
          <w:szCs w:val="20"/>
        </w:rPr>
      </w:pPr>
      <w:r w:rsidRPr="004D543B">
        <w:rPr>
          <w:rFonts w:ascii="Times New Roman" w:hAnsi="Times New Roman"/>
          <w:sz w:val="20"/>
          <w:szCs w:val="20"/>
          <w:lang w:val="en-US"/>
        </w:rPr>
        <w:t xml:space="preserve">IEA - International Energy </w:t>
      </w:r>
      <w:proofErr w:type="spellStart"/>
      <w:r w:rsidRPr="004D543B">
        <w:rPr>
          <w:rFonts w:ascii="Times New Roman" w:hAnsi="Times New Roman"/>
          <w:sz w:val="20"/>
          <w:szCs w:val="20"/>
          <w:lang w:val="en-US"/>
        </w:rPr>
        <w:t>Associoation</w:t>
      </w:r>
      <w:proofErr w:type="spellEnd"/>
      <w:r w:rsidRPr="004D543B">
        <w:rPr>
          <w:rFonts w:ascii="Times New Roman" w:hAnsi="Times New Roman"/>
          <w:sz w:val="20"/>
          <w:szCs w:val="20"/>
          <w:lang w:val="en-US"/>
        </w:rPr>
        <w:t xml:space="preserve">. World Energy Outlook 2023. </w:t>
      </w:r>
      <w:r w:rsidRPr="004D543B">
        <w:rPr>
          <w:rFonts w:ascii="Times New Roman" w:hAnsi="Times New Roman"/>
          <w:sz w:val="20"/>
          <w:szCs w:val="20"/>
        </w:rPr>
        <w:t xml:space="preserve">Disponível em: &lt; </w:t>
      </w:r>
      <w:hyperlink r:id="rId6" w:history="1">
        <w:r w:rsidRPr="004D543B">
          <w:rPr>
            <w:rStyle w:val="Hyperlink"/>
            <w:rFonts w:ascii="Times New Roman" w:hAnsi="Times New Roman"/>
            <w:sz w:val="20"/>
            <w:szCs w:val="20"/>
          </w:rPr>
          <w:t>https://www.iea.org/reports/world-energy-outlook-2023</w:t>
        </w:r>
      </w:hyperlink>
      <w:r w:rsidRPr="004D543B">
        <w:rPr>
          <w:rFonts w:ascii="Times New Roman" w:hAnsi="Times New Roman"/>
          <w:sz w:val="20"/>
          <w:szCs w:val="20"/>
        </w:rPr>
        <w:t xml:space="preserve">&gt;, acesso em 10/10/2023. </w:t>
      </w:r>
    </w:p>
    <w:p w14:paraId="12E37CEE" w14:textId="77777777" w:rsidR="00551CEA" w:rsidRPr="004D543B" w:rsidRDefault="00551CEA" w:rsidP="00551CEA">
      <w:pPr>
        <w:spacing w:before="120"/>
        <w:jc w:val="both"/>
        <w:rPr>
          <w:rFonts w:ascii="Times New Roman" w:hAnsi="Times New Roman"/>
          <w:sz w:val="20"/>
          <w:szCs w:val="20"/>
        </w:rPr>
      </w:pPr>
      <w:r w:rsidRPr="004D543B">
        <w:rPr>
          <w:rFonts w:ascii="Times New Roman" w:hAnsi="Times New Roman"/>
          <w:sz w:val="20"/>
          <w:szCs w:val="20"/>
          <w:lang w:val="en-US"/>
        </w:rPr>
        <w:t xml:space="preserve">IEA - International Energy </w:t>
      </w:r>
      <w:proofErr w:type="spellStart"/>
      <w:r w:rsidRPr="004D543B">
        <w:rPr>
          <w:rFonts w:ascii="Times New Roman" w:hAnsi="Times New Roman"/>
          <w:sz w:val="20"/>
          <w:szCs w:val="20"/>
          <w:lang w:val="en-US"/>
        </w:rPr>
        <w:t>Associoation</w:t>
      </w:r>
      <w:proofErr w:type="spellEnd"/>
      <w:r w:rsidRPr="004D543B">
        <w:rPr>
          <w:rFonts w:ascii="Times New Roman" w:hAnsi="Times New Roman"/>
          <w:sz w:val="20"/>
          <w:szCs w:val="20"/>
          <w:lang w:val="en-US"/>
        </w:rPr>
        <w:t xml:space="preserve">. World Energy Outlook 2020. </w:t>
      </w:r>
      <w:r w:rsidRPr="004D543B">
        <w:rPr>
          <w:rFonts w:ascii="Times New Roman" w:hAnsi="Times New Roman"/>
          <w:sz w:val="20"/>
          <w:szCs w:val="20"/>
        </w:rPr>
        <w:t xml:space="preserve">Disponível em: &lt; https://www.iea.org/reports/world-energy-outlook-2020&gt;, acesso em 10/10/2023. </w:t>
      </w:r>
    </w:p>
    <w:p w14:paraId="3C3C75DA" w14:textId="77777777" w:rsidR="00551CEA" w:rsidRPr="004D543B" w:rsidRDefault="00551CEA" w:rsidP="00551CEA">
      <w:pPr>
        <w:spacing w:before="120" w:after="0"/>
        <w:jc w:val="both"/>
        <w:rPr>
          <w:rFonts w:ascii="Times New Roman" w:hAnsi="Times New Roman"/>
          <w:sz w:val="20"/>
          <w:szCs w:val="20"/>
          <w:lang w:val="en-US"/>
        </w:rPr>
      </w:pPr>
      <w:r w:rsidRPr="004D543B">
        <w:rPr>
          <w:rFonts w:ascii="Times New Roman" w:hAnsi="Times New Roman"/>
          <w:sz w:val="20"/>
          <w:szCs w:val="20"/>
          <w:lang w:val="en-US"/>
        </w:rPr>
        <w:t xml:space="preserve">IRENA – International Renewable Energy Agency. NDCs and renewable energy targets in 2021: Are we on the right path to a climate-safe </w:t>
      </w:r>
      <w:proofErr w:type="gramStart"/>
      <w:r w:rsidRPr="004D543B">
        <w:rPr>
          <w:rFonts w:ascii="Times New Roman" w:hAnsi="Times New Roman"/>
          <w:sz w:val="20"/>
          <w:szCs w:val="20"/>
          <w:lang w:val="en-US"/>
        </w:rPr>
        <w:t>future</w:t>
      </w:r>
      <w:r w:rsidRPr="004D543B">
        <w:rPr>
          <w:rFonts w:ascii="Times New Roman" w:hAnsi="Times New Roman"/>
          <w:i/>
          <w:iCs/>
          <w:sz w:val="20"/>
          <w:szCs w:val="20"/>
          <w:lang w:val="en-US"/>
        </w:rPr>
        <w:t>?</w:t>
      </w:r>
      <w:r w:rsidRPr="004D543B">
        <w:rPr>
          <w:rFonts w:ascii="Times New Roman" w:hAnsi="Times New Roman"/>
          <w:sz w:val="20"/>
          <w:szCs w:val="20"/>
          <w:lang w:val="en-US"/>
        </w:rPr>
        <w:t>,</w:t>
      </w:r>
      <w:proofErr w:type="gramEnd"/>
      <w:r w:rsidRPr="004D543B">
        <w:rPr>
          <w:rFonts w:ascii="Times New Roman" w:hAnsi="Times New Roman"/>
          <w:sz w:val="20"/>
          <w:szCs w:val="20"/>
          <w:lang w:val="en-US"/>
        </w:rPr>
        <w:t xml:space="preserve"> International Renewable Energy Agency, Abu Dhabi, 2022.</w:t>
      </w:r>
    </w:p>
    <w:p w14:paraId="7681F94B" w14:textId="77777777" w:rsidR="00551CEA" w:rsidRPr="004D543B" w:rsidRDefault="00551CEA" w:rsidP="00551CEA">
      <w:pPr>
        <w:spacing w:before="120" w:after="0"/>
        <w:jc w:val="both"/>
        <w:rPr>
          <w:rFonts w:ascii="Times New Roman" w:hAnsi="Times New Roman"/>
          <w:sz w:val="20"/>
          <w:szCs w:val="20"/>
        </w:rPr>
      </w:pPr>
      <w:r w:rsidRPr="004D543B">
        <w:rPr>
          <w:rFonts w:ascii="Times New Roman" w:hAnsi="Times New Roman"/>
          <w:sz w:val="20"/>
          <w:szCs w:val="20"/>
          <w:lang w:val="en-US"/>
        </w:rPr>
        <w:t xml:space="preserve">IRENA – International Renewable Energy Agency. Renewable power generation costs in 2022. </w:t>
      </w:r>
      <w:r w:rsidRPr="004D543B">
        <w:rPr>
          <w:rFonts w:ascii="Times New Roman" w:hAnsi="Times New Roman"/>
          <w:sz w:val="20"/>
          <w:szCs w:val="20"/>
        </w:rPr>
        <w:t>Abu Dhabi: Irena, 2022. Disponível em: &lt;</w:t>
      </w:r>
      <w:hyperlink r:id="rId7" w:history="1">
        <w:r w:rsidRPr="004D543B">
          <w:rPr>
            <w:rStyle w:val="Hyperlink"/>
            <w:rFonts w:ascii="Times New Roman" w:hAnsi="Times New Roman"/>
            <w:sz w:val="20"/>
            <w:szCs w:val="20"/>
          </w:rPr>
          <w:t>https://www.irena.org/Publications/2023/Aug/Renewable-power-generation-costs--in-2022</w:t>
        </w:r>
      </w:hyperlink>
      <w:r w:rsidRPr="004D543B">
        <w:rPr>
          <w:rFonts w:ascii="Times New Roman" w:hAnsi="Times New Roman"/>
          <w:sz w:val="20"/>
          <w:szCs w:val="20"/>
        </w:rPr>
        <w:t>&gt;, acesso em 10/10/2023.</w:t>
      </w:r>
    </w:p>
    <w:p w14:paraId="7345AEED" w14:textId="77777777" w:rsidR="00551CEA" w:rsidRPr="004D543B" w:rsidRDefault="00551CEA" w:rsidP="00551CEA">
      <w:pPr>
        <w:spacing w:before="120" w:after="0"/>
        <w:jc w:val="both"/>
        <w:rPr>
          <w:rFonts w:ascii="Times New Roman" w:hAnsi="Times New Roman"/>
          <w:sz w:val="20"/>
          <w:szCs w:val="20"/>
        </w:rPr>
      </w:pPr>
      <w:r w:rsidRPr="004D543B">
        <w:rPr>
          <w:rFonts w:ascii="Times New Roman" w:hAnsi="Times New Roman"/>
          <w:sz w:val="20"/>
          <w:szCs w:val="20"/>
          <w:lang w:val="en-US"/>
        </w:rPr>
        <w:t xml:space="preserve">IPCC – Intergovernmental Panel on Climate Change 2023. </w:t>
      </w:r>
      <w:r w:rsidRPr="004D543B">
        <w:rPr>
          <w:rFonts w:ascii="Times New Roman" w:hAnsi="Times New Roman"/>
          <w:sz w:val="20"/>
          <w:szCs w:val="20"/>
        </w:rPr>
        <w:t>Disponível em: &lt;</w:t>
      </w:r>
      <w:hyperlink r:id="rId8" w:history="1">
        <w:r w:rsidRPr="004D543B">
          <w:rPr>
            <w:rStyle w:val="Hyperlink"/>
            <w:rFonts w:ascii="Times New Roman" w:hAnsi="Times New Roman"/>
            <w:sz w:val="20"/>
            <w:szCs w:val="20"/>
          </w:rPr>
          <w:t>https://www.ipcc.ch/about/</w:t>
        </w:r>
      </w:hyperlink>
      <w:r w:rsidRPr="004D543B">
        <w:rPr>
          <w:rFonts w:ascii="Times New Roman" w:hAnsi="Times New Roman"/>
          <w:sz w:val="20"/>
          <w:szCs w:val="20"/>
        </w:rPr>
        <w:t>&gt;. Acesso em: 17 set. 2023.</w:t>
      </w:r>
    </w:p>
    <w:p w14:paraId="53549D87" w14:textId="77777777" w:rsidR="00551CEA" w:rsidRPr="004D543B" w:rsidRDefault="00551CEA" w:rsidP="00551CEA">
      <w:pPr>
        <w:spacing w:before="120"/>
        <w:jc w:val="both"/>
        <w:rPr>
          <w:rFonts w:ascii="Times New Roman" w:hAnsi="Times New Roman"/>
          <w:sz w:val="20"/>
          <w:szCs w:val="20"/>
          <w:lang w:val="en-US"/>
        </w:rPr>
      </w:pPr>
      <w:r w:rsidRPr="004D543B">
        <w:rPr>
          <w:rFonts w:ascii="Times New Roman" w:hAnsi="Times New Roman"/>
          <w:sz w:val="20"/>
          <w:szCs w:val="20"/>
          <w:lang w:val="en-US"/>
        </w:rPr>
        <w:t>Larcker, D. F; Edward, M. W. Where</w:t>
      </w:r>
      <w:r w:rsidRPr="004D543B">
        <w:rPr>
          <w:rFonts w:ascii="Times New Roman" w:hAnsi="Times New Roman" w:hint="eastAsia"/>
          <w:sz w:val="20"/>
          <w:szCs w:val="20"/>
          <w:lang w:val="en-US"/>
        </w:rPr>
        <w:t>`</w:t>
      </w:r>
      <w:r w:rsidRPr="004D543B">
        <w:rPr>
          <w:rFonts w:ascii="Times New Roman" w:hAnsi="Times New Roman"/>
          <w:sz w:val="20"/>
          <w:szCs w:val="20"/>
          <w:lang w:val="en-US"/>
        </w:rPr>
        <w:t xml:space="preserve">s the </w:t>
      </w:r>
      <w:proofErr w:type="spellStart"/>
      <w:proofErr w:type="gramStart"/>
      <w:r w:rsidRPr="004D543B">
        <w:rPr>
          <w:rFonts w:ascii="Times New Roman" w:hAnsi="Times New Roman"/>
          <w:sz w:val="20"/>
          <w:szCs w:val="20"/>
          <w:lang w:val="en-US"/>
        </w:rPr>
        <w:t>greenium</w:t>
      </w:r>
      <w:proofErr w:type="spellEnd"/>
      <w:r w:rsidRPr="004D543B">
        <w:rPr>
          <w:rFonts w:ascii="Times New Roman" w:hAnsi="Times New Roman"/>
          <w:sz w:val="20"/>
          <w:szCs w:val="20"/>
          <w:lang w:val="en-US"/>
        </w:rPr>
        <w:t>?.</w:t>
      </w:r>
      <w:proofErr w:type="gramEnd"/>
      <w:r w:rsidRPr="004D543B">
        <w:rPr>
          <w:rFonts w:ascii="Times New Roman" w:hAnsi="Times New Roman"/>
          <w:sz w:val="20"/>
          <w:szCs w:val="20"/>
          <w:lang w:val="en-US"/>
        </w:rPr>
        <w:t xml:space="preserve"> </w:t>
      </w:r>
      <w:r w:rsidRPr="004D543B">
        <w:rPr>
          <w:rFonts w:ascii="Times New Roman" w:hAnsi="Times New Roman"/>
          <w:i/>
          <w:iCs/>
          <w:sz w:val="20"/>
          <w:szCs w:val="20"/>
          <w:lang w:val="en-US"/>
        </w:rPr>
        <w:t>Journal of Accounting and Economics</w:t>
      </w:r>
      <w:r w:rsidRPr="004D543B">
        <w:rPr>
          <w:rFonts w:ascii="Times New Roman" w:hAnsi="Times New Roman"/>
          <w:sz w:val="20"/>
          <w:szCs w:val="20"/>
          <w:lang w:val="en-US"/>
        </w:rPr>
        <w:t xml:space="preserve">, Vol. 69, n. 2-3, </w:t>
      </w:r>
      <w:proofErr w:type="spellStart"/>
      <w:r w:rsidRPr="004D543B">
        <w:rPr>
          <w:rFonts w:ascii="Times New Roman" w:hAnsi="Times New Roman"/>
          <w:sz w:val="20"/>
          <w:szCs w:val="20"/>
          <w:lang w:val="en-US"/>
        </w:rPr>
        <w:t>pag</w:t>
      </w:r>
      <w:proofErr w:type="spellEnd"/>
      <w:r w:rsidRPr="004D543B">
        <w:rPr>
          <w:rFonts w:ascii="Times New Roman" w:hAnsi="Times New Roman"/>
          <w:sz w:val="20"/>
          <w:szCs w:val="20"/>
          <w:lang w:val="en-US"/>
        </w:rPr>
        <w:t>. 101-312, 2020.</w:t>
      </w:r>
    </w:p>
    <w:p w14:paraId="702C1F61" w14:textId="77777777" w:rsidR="00551CEA" w:rsidRPr="004D543B" w:rsidRDefault="00551CEA" w:rsidP="00551CEA">
      <w:pPr>
        <w:spacing w:before="120"/>
        <w:jc w:val="both"/>
        <w:rPr>
          <w:rFonts w:ascii="Times New Roman" w:hAnsi="Times New Roman"/>
          <w:sz w:val="20"/>
          <w:szCs w:val="20"/>
        </w:rPr>
      </w:pPr>
      <w:proofErr w:type="spellStart"/>
      <w:r w:rsidRPr="004D543B">
        <w:rPr>
          <w:rFonts w:ascii="Times New Roman" w:hAnsi="Times New Roman"/>
          <w:sz w:val="20"/>
          <w:szCs w:val="20"/>
          <w:lang w:val="en-US"/>
        </w:rPr>
        <w:t>Lazonick</w:t>
      </w:r>
      <w:proofErr w:type="spellEnd"/>
      <w:r w:rsidRPr="004D543B">
        <w:rPr>
          <w:rFonts w:ascii="Times New Roman" w:hAnsi="Times New Roman"/>
          <w:sz w:val="20"/>
          <w:szCs w:val="20"/>
          <w:lang w:val="en-US"/>
        </w:rPr>
        <w:t>, W.; O’Sullivan, M. Maximizing shareholder value: A new ideology for corporate governance</w:t>
      </w:r>
      <w:r w:rsidRPr="004D543B">
        <w:rPr>
          <w:rFonts w:ascii="Times New Roman" w:hAnsi="Times New Roman"/>
          <w:i/>
          <w:sz w:val="20"/>
          <w:szCs w:val="20"/>
          <w:lang w:val="en-US"/>
        </w:rPr>
        <w:t xml:space="preserve">. </w:t>
      </w:r>
      <w:proofErr w:type="spellStart"/>
      <w:r w:rsidRPr="004D543B">
        <w:rPr>
          <w:rFonts w:ascii="Times New Roman" w:hAnsi="Times New Roman"/>
          <w:i/>
          <w:sz w:val="20"/>
          <w:szCs w:val="20"/>
        </w:rPr>
        <w:t>Economy</w:t>
      </w:r>
      <w:proofErr w:type="spellEnd"/>
      <w:r w:rsidRPr="004D543B">
        <w:rPr>
          <w:rFonts w:ascii="Times New Roman" w:hAnsi="Times New Roman"/>
          <w:i/>
          <w:sz w:val="20"/>
          <w:szCs w:val="20"/>
        </w:rPr>
        <w:t xml:space="preserve"> </w:t>
      </w:r>
      <w:proofErr w:type="spellStart"/>
      <w:r w:rsidRPr="004D543B">
        <w:rPr>
          <w:rFonts w:ascii="Times New Roman" w:hAnsi="Times New Roman"/>
          <w:i/>
          <w:sz w:val="20"/>
          <w:szCs w:val="20"/>
        </w:rPr>
        <w:t>and</w:t>
      </w:r>
      <w:proofErr w:type="spellEnd"/>
      <w:r w:rsidRPr="004D543B">
        <w:rPr>
          <w:rFonts w:ascii="Times New Roman" w:hAnsi="Times New Roman"/>
          <w:i/>
          <w:sz w:val="20"/>
          <w:szCs w:val="20"/>
        </w:rPr>
        <w:t xml:space="preserve"> Society</w:t>
      </w:r>
      <w:r w:rsidRPr="004D543B">
        <w:rPr>
          <w:rFonts w:ascii="Times New Roman" w:hAnsi="Times New Roman"/>
          <w:sz w:val="20"/>
          <w:szCs w:val="20"/>
        </w:rPr>
        <w:t>, vol. 29, n.1, p. 13-35, 2000.</w:t>
      </w:r>
    </w:p>
    <w:p w14:paraId="67BCB62F" w14:textId="77777777" w:rsidR="00551CEA" w:rsidRPr="004D543B" w:rsidRDefault="00551CEA" w:rsidP="00551CEA">
      <w:pPr>
        <w:spacing w:before="120"/>
        <w:contextualSpacing/>
        <w:jc w:val="both"/>
        <w:rPr>
          <w:rFonts w:ascii="Times New Roman" w:hAnsi="Times New Roman"/>
          <w:sz w:val="20"/>
          <w:szCs w:val="20"/>
        </w:rPr>
      </w:pPr>
      <w:r w:rsidRPr="004D543B">
        <w:rPr>
          <w:rFonts w:ascii="Times New Roman" w:hAnsi="Times New Roman"/>
          <w:sz w:val="20"/>
          <w:szCs w:val="20"/>
        </w:rPr>
        <w:t>Leite, A. C. C., Alves, E. E. C., &amp; Picchi, L. A cooperação multilateral climática e a promoção da agenda da transição energética no Brasil. </w:t>
      </w:r>
      <w:r w:rsidRPr="004D543B">
        <w:rPr>
          <w:rFonts w:ascii="Times New Roman" w:hAnsi="Times New Roman"/>
          <w:i/>
          <w:iCs/>
          <w:sz w:val="20"/>
          <w:szCs w:val="20"/>
        </w:rPr>
        <w:t>Desenvolvimento e Meio Ambiente</w:t>
      </w:r>
      <w:r w:rsidRPr="004D543B">
        <w:rPr>
          <w:rFonts w:ascii="Times New Roman" w:hAnsi="Times New Roman"/>
          <w:sz w:val="20"/>
          <w:szCs w:val="20"/>
        </w:rPr>
        <w:t>, vol. 54, 2020.</w:t>
      </w:r>
    </w:p>
    <w:p w14:paraId="4DA62348" w14:textId="77777777" w:rsidR="00551CEA" w:rsidRPr="004D543B" w:rsidRDefault="00551CEA" w:rsidP="00551CEA">
      <w:pPr>
        <w:spacing w:before="120"/>
        <w:jc w:val="both"/>
        <w:rPr>
          <w:rFonts w:ascii="Times New Roman" w:hAnsi="Times New Roman"/>
          <w:color w:val="222222"/>
          <w:sz w:val="20"/>
          <w:szCs w:val="20"/>
          <w:shd w:val="clear" w:color="auto" w:fill="FFFFFF"/>
          <w:lang w:val="en-US"/>
        </w:rPr>
      </w:pPr>
      <w:r w:rsidRPr="004D543B">
        <w:rPr>
          <w:rFonts w:ascii="Times New Roman" w:hAnsi="Times New Roman"/>
          <w:color w:val="222222"/>
          <w:sz w:val="20"/>
          <w:szCs w:val="20"/>
          <w:shd w:val="clear" w:color="auto" w:fill="FFFFFF"/>
        </w:rPr>
        <w:t xml:space="preserve">Mazzucato, M. The </w:t>
      </w:r>
      <w:proofErr w:type="spellStart"/>
      <w:r w:rsidRPr="004D543B">
        <w:rPr>
          <w:rFonts w:ascii="Times New Roman" w:hAnsi="Times New Roman"/>
          <w:color w:val="222222"/>
          <w:sz w:val="20"/>
          <w:szCs w:val="20"/>
          <w:shd w:val="clear" w:color="auto" w:fill="FFFFFF"/>
        </w:rPr>
        <w:t>entrepreneurial</w:t>
      </w:r>
      <w:proofErr w:type="spellEnd"/>
      <w:r w:rsidRPr="004D543B">
        <w:rPr>
          <w:rFonts w:ascii="Times New Roman" w:hAnsi="Times New Roman"/>
          <w:color w:val="222222"/>
          <w:sz w:val="20"/>
          <w:szCs w:val="20"/>
          <w:shd w:val="clear" w:color="auto" w:fill="FFFFFF"/>
        </w:rPr>
        <w:t xml:space="preserve"> </w:t>
      </w:r>
      <w:proofErr w:type="spellStart"/>
      <w:r w:rsidRPr="004D543B">
        <w:rPr>
          <w:rFonts w:ascii="Times New Roman" w:hAnsi="Times New Roman"/>
          <w:color w:val="222222"/>
          <w:sz w:val="20"/>
          <w:szCs w:val="20"/>
          <w:shd w:val="clear" w:color="auto" w:fill="FFFFFF"/>
        </w:rPr>
        <w:t>state</w:t>
      </w:r>
      <w:proofErr w:type="spellEnd"/>
      <w:r w:rsidRPr="004D543B">
        <w:rPr>
          <w:rFonts w:ascii="Times New Roman" w:hAnsi="Times New Roman"/>
          <w:color w:val="222222"/>
          <w:sz w:val="20"/>
          <w:szCs w:val="20"/>
          <w:shd w:val="clear" w:color="auto" w:fill="FFFFFF"/>
        </w:rPr>
        <w:t>. </w:t>
      </w:r>
      <w:r w:rsidRPr="004D543B">
        <w:rPr>
          <w:rFonts w:ascii="Times New Roman" w:hAnsi="Times New Roman"/>
          <w:i/>
          <w:iCs/>
          <w:color w:val="222222"/>
          <w:sz w:val="20"/>
          <w:szCs w:val="20"/>
          <w:shd w:val="clear" w:color="auto" w:fill="FFFFFF"/>
          <w:lang w:val="en-US"/>
        </w:rPr>
        <w:t>Soundings</w:t>
      </w:r>
      <w:r w:rsidRPr="004D543B">
        <w:rPr>
          <w:rFonts w:ascii="Times New Roman" w:hAnsi="Times New Roman"/>
          <w:color w:val="222222"/>
          <w:sz w:val="20"/>
          <w:szCs w:val="20"/>
          <w:shd w:val="clear" w:color="auto" w:fill="FFFFFF"/>
          <w:lang w:val="en-US"/>
        </w:rPr>
        <w:t>, v. 49, n. 49, p. 131-142, 2011.</w:t>
      </w:r>
    </w:p>
    <w:p w14:paraId="79A464CF" w14:textId="77777777" w:rsidR="00551CEA" w:rsidRPr="004D543B" w:rsidRDefault="00551CEA" w:rsidP="00551CEA">
      <w:pPr>
        <w:spacing w:before="120" w:after="160"/>
        <w:jc w:val="both"/>
        <w:rPr>
          <w:rFonts w:ascii="Times New Roman" w:hAnsi="Times New Roman"/>
          <w:sz w:val="20"/>
          <w:szCs w:val="20"/>
        </w:rPr>
      </w:pPr>
      <w:r w:rsidRPr="004D543B">
        <w:rPr>
          <w:rFonts w:ascii="Times New Roman" w:eastAsia="NimbusRomNo9L-Regu" w:hAnsi="Times New Roman"/>
          <w:sz w:val="20"/>
          <w:szCs w:val="20"/>
          <w:lang w:val="en-US"/>
        </w:rPr>
        <w:t>Pietsch, A</w:t>
      </w:r>
      <w:r w:rsidRPr="004D543B">
        <w:rPr>
          <w:rFonts w:ascii="Times New Roman" w:hAnsi="Times New Roman"/>
          <w:sz w:val="20"/>
          <w:szCs w:val="20"/>
          <w:lang w:val="en-US"/>
        </w:rPr>
        <w:t>;</w:t>
      </w:r>
      <w:r w:rsidRPr="004D543B">
        <w:rPr>
          <w:rFonts w:ascii="Times New Roman" w:eastAsia="NimbusRomNo9L-Regu" w:hAnsi="Times New Roman"/>
          <w:sz w:val="20"/>
          <w:szCs w:val="20"/>
          <w:lang w:val="en-US"/>
        </w:rPr>
        <w:t xml:space="preserve"> Dilyara S</w:t>
      </w:r>
      <w:r w:rsidRPr="004D543B">
        <w:rPr>
          <w:rFonts w:ascii="Times New Roman" w:hAnsi="Times New Roman"/>
          <w:sz w:val="20"/>
          <w:szCs w:val="20"/>
          <w:lang w:val="en-US"/>
        </w:rPr>
        <w:t xml:space="preserve">. </w:t>
      </w:r>
      <w:r w:rsidRPr="004D543B">
        <w:rPr>
          <w:rFonts w:ascii="Times New Roman" w:eastAsia="NimbusRomNo9L-Regu" w:hAnsi="Times New Roman"/>
          <w:sz w:val="20"/>
          <w:szCs w:val="20"/>
          <w:lang w:val="en-US"/>
        </w:rPr>
        <w:t>Pricing of green bonds: drivers and dynamics of</w:t>
      </w:r>
      <w:r w:rsidRPr="004D543B">
        <w:rPr>
          <w:rFonts w:ascii="Times New Roman" w:hAnsi="Times New Roman"/>
          <w:sz w:val="20"/>
          <w:szCs w:val="20"/>
          <w:lang w:val="en-US"/>
        </w:rPr>
        <w:t xml:space="preserve"> </w:t>
      </w:r>
      <w:r w:rsidRPr="004D543B">
        <w:rPr>
          <w:rFonts w:ascii="Times New Roman" w:eastAsia="NimbusRomNo9L-Regu" w:hAnsi="Times New Roman"/>
          <w:sz w:val="20"/>
          <w:szCs w:val="20"/>
          <w:lang w:val="en-US"/>
        </w:rPr>
        <w:t>the</w:t>
      </w:r>
      <w:r w:rsidRPr="004D543B">
        <w:rPr>
          <w:rFonts w:ascii="Times New Roman" w:hAnsi="Times New Roman"/>
          <w:sz w:val="20"/>
          <w:szCs w:val="20"/>
          <w:lang w:val="en-US"/>
        </w:rPr>
        <w:t xml:space="preserve"> </w:t>
      </w:r>
      <w:proofErr w:type="spellStart"/>
      <w:r w:rsidRPr="004D543B">
        <w:rPr>
          <w:rFonts w:ascii="Times New Roman" w:eastAsia="NimbusRomNo9L-Regu" w:hAnsi="Times New Roman"/>
          <w:sz w:val="20"/>
          <w:szCs w:val="20"/>
          <w:lang w:val="en-US"/>
        </w:rPr>
        <w:t>greenium</w:t>
      </w:r>
      <w:proofErr w:type="spellEnd"/>
      <w:r w:rsidRPr="004D543B">
        <w:rPr>
          <w:rFonts w:ascii="Times New Roman" w:hAnsi="Times New Roman"/>
          <w:sz w:val="20"/>
          <w:szCs w:val="20"/>
          <w:lang w:val="en-US"/>
        </w:rPr>
        <w:t>.</w:t>
      </w:r>
      <w:r w:rsidRPr="004D543B">
        <w:rPr>
          <w:rFonts w:ascii="Times New Roman" w:eastAsia="NimbusRomNo9L-Regu" w:hAnsi="Times New Roman"/>
          <w:sz w:val="20"/>
          <w:szCs w:val="20"/>
          <w:lang w:val="en-US"/>
        </w:rPr>
        <w:t xml:space="preserve"> </w:t>
      </w:r>
      <w:r w:rsidRPr="004D543B">
        <w:rPr>
          <w:rFonts w:ascii="Times New Roman" w:eastAsia="NimbusRomNo9L-ReguItal" w:hAnsi="Times New Roman"/>
          <w:i/>
          <w:iCs/>
          <w:sz w:val="20"/>
          <w:szCs w:val="20"/>
        </w:rPr>
        <w:t xml:space="preserve">ECB </w:t>
      </w:r>
      <w:proofErr w:type="spellStart"/>
      <w:r w:rsidRPr="004D543B">
        <w:rPr>
          <w:rFonts w:ascii="Times New Roman" w:eastAsia="NimbusRomNo9L-ReguItal" w:hAnsi="Times New Roman"/>
          <w:i/>
          <w:iCs/>
          <w:sz w:val="20"/>
          <w:szCs w:val="20"/>
        </w:rPr>
        <w:t>Working</w:t>
      </w:r>
      <w:proofErr w:type="spellEnd"/>
      <w:r w:rsidRPr="004D543B">
        <w:rPr>
          <w:rFonts w:ascii="Times New Roman" w:eastAsia="NimbusRomNo9L-ReguItal" w:hAnsi="Times New Roman"/>
          <w:i/>
          <w:iCs/>
          <w:sz w:val="20"/>
          <w:szCs w:val="20"/>
        </w:rPr>
        <w:t xml:space="preserve"> </w:t>
      </w:r>
      <w:proofErr w:type="spellStart"/>
      <w:r w:rsidRPr="004D543B">
        <w:rPr>
          <w:rFonts w:ascii="Times New Roman" w:eastAsia="NimbusRomNo9L-ReguItal" w:hAnsi="Times New Roman"/>
          <w:i/>
          <w:iCs/>
          <w:sz w:val="20"/>
          <w:szCs w:val="20"/>
        </w:rPr>
        <w:t>Paper</w:t>
      </w:r>
      <w:proofErr w:type="spellEnd"/>
      <w:r w:rsidRPr="004D543B">
        <w:rPr>
          <w:rFonts w:ascii="Times New Roman" w:hAnsi="Times New Roman"/>
          <w:i/>
          <w:iCs/>
          <w:sz w:val="20"/>
          <w:szCs w:val="20"/>
        </w:rPr>
        <w:t>,</w:t>
      </w:r>
      <w:r w:rsidRPr="004D543B">
        <w:rPr>
          <w:rFonts w:ascii="Times New Roman" w:eastAsia="NimbusRomNo9L-ReguItal" w:hAnsi="Times New Roman"/>
          <w:sz w:val="20"/>
          <w:szCs w:val="20"/>
        </w:rPr>
        <w:t xml:space="preserve"> </w:t>
      </w:r>
      <w:r w:rsidRPr="004D543B">
        <w:rPr>
          <w:rFonts w:ascii="Times New Roman" w:hAnsi="Times New Roman"/>
          <w:sz w:val="20"/>
          <w:szCs w:val="20"/>
        </w:rPr>
        <w:t>n.</w:t>
      </w:r>
      <w:r w:rsidRPr="004D543B">
        <w:rPr>
          <w:rFonts w:ascii="Times New Roman" w:eastAsia="NimbusRomNo9L-ReguItal" w:hAnsi="Times New Roman"/>
          <w:sz w:val="20"/>
          <w:szCs w:val="20"/>
        </w:rPr>
        <w:t xml:space="preserve"> 2022/2728</w:t>
      </w:r>
      <w:r w:rsidRPr="004D543B">
        <w:rPr>
          <w:rFonts w:ascii="Times New Roman" w:hAnsi="Times New Roman"/>
          <w:sz w:val="20"/>
          <w:szCs w:val="20"/>
        </w:rPr>
        <w:t>, 2022.</w:t>
      </w:r>
    </w:p>
    <w:p w14:paraId="32BC495E" w14:textId="77777777" w:rsidR="00551CEA" w:rsidRPr="004D543B" w:rsidRDefault="00551CEA" w:rsidP="00551CEA">
      <w:pPr>
        <w:spacing w:before="120"/>
        <w:jc w:val="both"/>
        <w:rPr>
          <w:rFonts w:ascii="Times New Roman" w:hAnsi="Times New Roman"/>
          <w:color w:val="222222"/>
          <w:sz w:val="20"/>
          <w:szCs w:val="20"/>
          <w:shd w:val="clear" w:color="auto" w:fill="FFFFFF"/>
        </w:rPr>
      </w:pPr>
      <w:proofErr w:type="spellStart"/>
      <w:r w:rsidRPr="004D543B">
        <w:rPr>
          <w:rFonts w:ascii="Times New Roman" w:hAnsi="Times New Roman"/>
          <w:color w:val="222222"/>
          <w:sz w:val="20"/>
          <w:szCs w:val="20"/>
          <w:shd w:val="clear" w:color="auto" w:fill="FFFFFF"/>
        </w:rPr>
        <w:t>Rapini</w:t>
      </w:r>
      <w:proofErr w:type="spellEnd"/>
      <w:r w:rsidRPr="004D543B">
        <w:rPr>
          <w:rFonts w:ascii="Times New Roman" w:hAnsi="Times New Roman"/>
          <w:color w:val="222222"/>
          <w:sz w:val="20"/>
          <w:szCs w:val="20"/>
          <w:shd w:val="clear" w:color="auto" w:fill="FFFFFF"/>
        </w:rPr>
        <w:t xml:space="preserve">, M. </w:t>
      </w:r>
      <w:r w:rsidRPr="004D543B">
        <w:rPr>
          <w:rFonts w:ascii="Times New Roman" w:hAnsi="Times New Roman"/>
          <w:i/>
          <w:iCs/>
          <w:color w:val="222222"/>
          <w:sz w:val="20"/>
          <w:szCs w:val="20"/>
          <w:shd w:val="clear" w:color="auto" w:fill="FFFFFF"/>
        </w:rPr>
        <w:t>O financiamento aos investimentos em inovação no Brasil</w:t>
      </w:r>
      <w:r w:rsidRPr="004D543B">
        <w:rPr>
          <w:rFonts w:ascii="Times New Roman" w:hAnsi="Times New Roman"/>
          <w:color w:val="222222"/>
          <w:sz w:val="20"/>
          <w:szCs w:val="20"/>
          <w:shd w:val="clear" w:color="auto" w:fill="FFFFFF"/>
        </w:rPr>
        <w:t>. 2010. 146 f. Tese (Doutorado em Economia) - Instituto de Economia, Universidade Federal do Rio de Janeiro, Rio de Janeiro, 2010.</w:t>
      </w:r>
    </w:p>
    <w:p w14:paraId="7C5771D6" w14:textId="77777777" w:rsidR="00551CEA" w:rsidRPr="004D543B" w:rsidRDefault="00551CEA" w:rsidP="00551CEA">
      <w:pPr>
        <w:spacing w:before="120"/>
        <w:jc w:val="both"/>
        <w:rPr>
          <w:rFonts w:ascii="Times New Roman" w:hAnsi="Times New Roman"/>
          <w:sz w:val="20"/>
          <w:szCs w:val="20"/>
          <w:lang w:val="en-US"/>
        </w:rPr>
      </w:pPr>
      <w:r w:rsidRPr="004D543B">
        <w:rPr>
          <w:rFonts w:ascii="Times New Roman" w:hAnsi="Times New Roman"/>
          <w:sz w:val="20"/>
          <w:szCs w:val="20"/>
          <w:lang w:val="en-US"/>
        </w:rPr>
        <w:t xml:space="preserve">Schumpeter, J. The Instability of Capitalism. </w:t>
      </w:r>
      <w:r w:rsidRPr="004D543B">
        <w:rPr>
          <w:rFonts w:ascii="Times New Roman" w:hAnsi="Times New Roman"/>
          <w:i/>
          <w:iCs/>
          <w:sz w:val="20"/>
          <w:szCs w:val="20"/>
          <w:lang w:val="en-US"/>
        </w:rPr>
        <w:t>The Economic Journal</w:t>
      </w:r>
      <w:r w:rsidRPr="004D543B">
        <w:rPr>
          <w:rFonts w:ascii="Times New Roman" w:hAnsi="Times New Roman"/>
          <w:sz w:val="20"/>
          <w:szCs w:val="20"/>
          <w:lang w:val="en-US"/>
        </w:rPr>
        <w:t xml:space="preserve">, N0 151, </w:t>
      </w:r>
      <w:proofErr w:type="gramStart"/>
      <w:r w:rsidRPr="004D543B">
        <w:rPr>
          <w:rFonts w:ascii="Times New Roman" w:hAnsi="Times New Roman"/>
          <w:sz w:val="20"/>
          <w:szCs w:val="20"/>
          <w:lang w:val="en-US"/>
        </w:rPr>
        <w:t>September,</w:t>
      </w:r>
      <w:proofErr w:type="gramEnd"/>
      <w:r w:rsidRPr="004D543B">
        <w:rPr>
          <w:rFonts w:ascii="Times New Roman" w:hAnsi="Times New Roman"/>
          <w:sz w:val="20"/>
          <w:szCs w:val="20"/>
          <w:lang w:val="en-US"/>
        </w:rPr>
        <w:t xml:space="preserve"> 1928.</w:t>
      </w:r>
    </w:p>
    <w:p w14:paraId="41B72504" w14:textId="77777777" w:rsidR="00551CEA" w:rsidRPr="004D543B" w:rsidRDefault="00551CEA" w:rsidP="00551CEA">
      <w:pPr>
        <w:spacing w:before="120"/>
        <w:contextualSpacing/>
        <w:jc w:val="both"/>
        <w:rPr>
          <w:rFonts w:ascii="Times New Roman" w:hAnsi="Times New Roman"/>
          <w:sz w:val="20"/>
          <w:szCs w:val="20"/>
        </w:rPr>
      </w:pPr>
      <w:r w:rsidRPr="004D543B">
        <w:rPr>
          <w:rFonts w:ascii="Times New Roman" w:hAnsi="Times New Roman"/>
          <w:sz w:val="20"/>
          <w:szCs w:val="20"/>
          <w:lang w:val="en-US"/>
        </w:rPr>
        <w:t>Sarren, S; Haarstad, H. Bridging socio-technical and justice aspects of sustainable energy transitions. </w:t>
      </w:r>
      <w:r w:rsidRPr="004D543B">
        <w:rPr>
          <w:rFonts w:ascii="Times New Roman" w:hAnsi="Times New Roman"/>
          <w:i/>
          <w:iCs/>
          <w:sz w:val="20"/>
          <w:szCs w:val="20"/>
        </w:rPr>
        <w:t xml:space="preserve">Applied </w:t>
      </w:r>
      <w:proofErr w:type="spellStart"/>
      <w:r w:rsidRPr="004D543B">
        <w:rPr>
          <w:rFonts w:ascii="Times New Roman" w:hAnsi="Times New Roman"/>
          <w:i/>
          <w:iCs/>
          <w:sz w:val="20"/>
          <w:szCs w:val="20"/>
        </w:rPr>
        <w:t>energy</w:t>
      </w:r>
      <w:proofErr w:type="spellEnd"/>
      <w:r w:rsidRPr="004D543B">
        <w:rPr>
          <w:rFonts w:ascii="Times New Roman" w:hAnsi="Times New Roman"/>
          <w:sz w:val="20"/>
          <w:szCs w:val="20"/>
        </w:rPr>
        <w:t>, v. 228, p. 624-632, 2018.</w:t>
      </w:r>
    </w:p>
    <w:p w14:paraId="2A13D11D" w14:textId="77777777" w:rsidR="00551CEA" w:rsidRPr="004D543B" w:rsidRDefault="00551CEA" w:rsidP="00551CEA">
      <w:pPr>
        <w:spacing w:before="120"/>
        <w:jc w:val="both"/>
        <w:rPr>
          <w:rFonts w:ascii="Times New Roman" w:hAnsi="Times New Roman"/>
          <w:sz w:val="20"/>
          <w:szCs w:val="20"/>
          <w:lang w:val="en-US"/>
        </w:rPr>
      </w:pPr>
      <w:r w:rsidRPr="004D543B">
        <w:rPr>
          <w:rFonts w:ascii="Times New Roman" w:hAnsi="Times New Roman"/>
          <w:sz w:val="20"/>
          <w:szCs w:val="20"/>
        </w:rPr>
        <w:t xml:space="preserve">Studart, R. O sistema financeiro e o financiamento do crescimento: uma alternativa pós-keynesiana à visão convencional. </w:t>
      </w:r>
      <w:proofErr w:type="spellStart"/>
      <w:r w:rsidRPr="004D543B">
        <w:rPr>
          <w:rFonts w:ascii="Times New Roman" w:hAnsi="Times New Roman"/>
          <w:i/>
          <w:iCs/>
          <w:sz w:val="20"/>
          <w:szCs w:val="20"/>
          <w:lang w:val="en-US"/>
        </w:rPr>
        <w:t>Revista</w:t>
      </w:r>
      <w:proofErr w:type="spellEnd"/>
      <w:r w:rsidRPr="004D543B">
        <w:rPr>
          <w:rFonts w:ascii="Times New Roman" w:hAnsi="Times New Roman"/>
          <w:i/>
          <w:iCs/>
          <w:sz w:val="20"/>
          <w:szCs w:val="20"/>
          <w:lang w:val="en-US"/>
        </w:rPr>
        <w:t xml:space="preserve"> de Economia </w:t>
      </w:r>
      <w:proofErr w:type="spellStart"/>
      <w:r w:rsidRPr="004D543B">
        <w:rPr>
          <w:rFonts w:ascii="Times New Roman" w:hAnsi="Times New Roman"/>
          <w:i/>
          <w:iCs/>
          <w:sz w:val="20"/>
          <w:szCs w:val="20"/>
          <w:lang w:val="en-US"/>
        </w:rPr>
        <w:t>Politica</w:t>
      </w:r>
      <w:proofErr w:type="spellEnd"/>
      <w:r w:rsidRPr="004D543B">
        <w:rPr>
          <w:rFonts w:ascii="Times New Roman" w:hAnsi="Times New Roman"/>
          <w:sz w:val="20"/>
          <w:szCs w:val="20"/>
          <w:lang w:val="en-US"/>
        </w:rPr>
        <w:t>, v.13, n. 1, p. 102-118, 1993.</w:t>
      </w:r>
    </w:p>
    <w:p w14:paraId="554A0406" w14:textId="77777777" w:rsidR="00551CEA" w:rsidRPr="004D543B" w:rsidRDefault="00551CEA" w:rsidP="00551CEA">
      <w:pPr>
        <w:spacing w:before="120"/>
        <w:jc w:val="both"/>
        <w:rPr>
          <w:rFonts w:ascii="Times New Roman" w:hAnsi="Times New Roman"/>
          <w:color w:val="222222"/>
          <w:sz w:val="20"/>
          <w:szCs w:val="20"/>
          <w:shd w:val="clear" w:color="auto" w:fill="FFFFFF"/>
          <w:lang w:val="en-US"/>
        </w:rPr>
      </w:pPr>
      <w:proofErr w:type="spellStart"/>
      <w:r w:rsidRPr="004D543B">
        <w:rPr>
          <w:rFonts w:ascii="Times New Roman" w:hAnsi="Times New Roman"/>
          <w:sz w:val="20"/>
          <w:szCs w:val="20"/>
          <w:lang w:val="en-US"/>
        </w:rPr>
        <w:t>Sovacool</w:t>
      </w:r>
      <w:proofErr w:type="spellEnd"/>
      <w:r w:rsidRPr="004D543B">
        <w:rPr>
          <w:rFonts w:ascii="Times New Roman" w:hAnsi="Times New Roman"/>
          <w:sz w:val="20"/>
          <w:szCs w:val="20"/>
          <w:lang w:val="en-US"/>
        </w:rPr>
        <w:t>, B. K. “How Long Will It Take? Conceptualizing the Temporal Dynamics of Energy Transitions.” Energy Research and Social Science vol.13, p.202-215, 2016.</w:t>
      </w:r>
    </w:p>
    <w:p w14:paraId="138946C1" w14:textId="77777777" w:rsidR="00551CEA" w:rsidRPr="004D543B" w:rsidRDefault="00551CEA" w:rsidP="00551CEA">
      <w:pPr>
        <w:spacing w:before="120"/>
        <w:jc w:val="both"/>
        <w:rPr>
          <w:rFonts w:ascii="Times New Roman" w:hAnsi="Times New Roman"/>
          <w:sz w:val="20"/>
          <w:szCs w:val="20"/>
          <w:lang w:val="en-US"/>
        </w:rPr>
      </w:pPr>
      <w:r w:rsidRPr="004D543B">
        <w:rPr>
          <w:rFonts w:ascii="Times New Roman" w:eastAsia="NimbusRomNo9L-Regu" w:hAnsi="Times New Roman"/>
          <w:sz w:val="20"/>
          <w:szCs w:val="20"/>
          <w:lang w:val="en-US"/>
        </w:rPr>
        <w:t>Zerbib, O</w:t>
      </w:r>
      <w:r w:rsidRPr="004D543B">
        <w:rPr>
          <w:rFonts w:ascii="Times New Roman" w:hAnsi="Times New Roman"/>
          <w:sz w:val="20"/>
          <w:szCs w:val="20"/>
          <w:lang w:val="en-US"/>
        </w:rPr>
        <w:t>.</w:t>
      </w:r>
      <w:r w:rsidRPr="004D543B">
        <w:rPr>
          <w:rFonts w:ascii="Times New Roman" w:eastAsia="NimbusRomNo9L-Regu" w:hAnsi="Times New Roman"/>
          <w:sz w:val="20"/>
          <w:szCs w:val="20"/>
          <w:lang w:val="en-US"/>
        </w:rPr>
        <w:t xml:space="preserve"> D</w:t>
      </w:r>
      <w:r w:rsidRPr="004D543B">
        <w:rPr>
          <w:rFonts w:ascii="Times New Roman" w:hAnsi="Times New Roman"/>
          <w:sz w:val="20"/>
          <w:szCs w:val="20"/>
          <w:lang w:val="en-US"/>
        </w:rPr>
        <w:t xml:space="preserve">. </w:t>
      </w:r>
      <w:r w:rsidRPr="004D543B">
        <w:rPr>
          <w:rFonts w:ascii="Times New Roman" w:eastAsia="NimbusRomNo9L-Regu" w:hAnsi="Times New Roman"/>
          <w:sz w:val="20"/>
          <w:szCs w:val="20"/>
          <w:lang w:val="en-US"/>
        </w:rPr>
        <w:t>The effect of pro-environmental preferences on bond prices: Evidence</w:t>
      </w:r>
      <w:r w:rsidRPr="004D543B">
        <w:rPr>
          <w:rFonts w:ascii="Times New Roman" w:hAnsi="Times New Roman"/>
          <w:sz w:val="20"/>
          <w:szCs w:val="20"/>
          <w:lang w:val="en-US"/>
        </w:rPr>
        <w:t xml:space="preserve"> </w:t>
      </w:r>
      <w:r w:rsidRPr="004D543B">
        <w:rPr>
          <w:rFonts w:ascii="Times New Roman" w:eastAsia="NimbusRomNo9L-Regu" w:hAnsi="Times New Roman"/>
          <w:sz w:val="20"/>
          <w:szCs w:val="20"/>
          <w:lang w:val="en-US"/>
        </w:rPr>
        <w:t>from green bonds</w:t>
      </w:r>
      <w:r w:rsidRPr="004D543B">
        <w:rPr>
          <w:rFonts w:ascii="Times New Roman" w:hAnsi="Times New Roman"/>
          <w:sz w:val="20"/>
          <w:szCs w:val="20"/>
          <w:lang w:val="en-US"/>
        </w:rPr>
        <w:t>.</w:t>
      </w:r>
      <w:r w:rsidRPr="004D543B">
        <w:rPr>
          <w:rFonts w:ascii="Times New Roman" w:eastAsia="NimbusRomNo9L-Regu" w:hAnsi="Times New Roman"/>
          <w:sz w:val="20"/>
          <w:szCs w:val="20"/>
          <w:lang w:val="en-US"/>
        </w:rPr>
        <w:t xml:space="preserve"> </w:t>
      </w:r>
      <w:r w:rsidRPr="004D543B">
        <w:rPr>
          <w:rFonts w:ascii="Times New Roman" w:eastAsia="NimbusRomNo9L-ReguItal" w:hAnsi="Times New Roman"/>
          <w:i/>
          <w:iCs/>
          <w:sz w:val="20"/>
          <w:szCs w:val="20"/>
          <w:lang w:val="en-US"/>
        </w:rPr>
        <w:t>Journal of Banking &amp; Finance</w:t>
      </w:r>
      <w:r w:rsidRPr="004D543B">
        <w:rPr>
          <w:rFonts w:ascii="Times New Roman" w:eastAsia="NimbusRomNo9L-Regu" w:hAnsi="Times New Roman"/>
          <w:sz w:val="20"/>
          <w:szCs w:val="20"/>
          <w:lang w:val="en-US"/>
        </w:rPr>
        <w:t xml:space="preserve">, </w:t>
      </w:r>
      <w:r w:rsidRPr="004D543B">
        <w:rPr>
          <w:rFonts w:ascii="Times New Roman" w:hAnsi="Times New Roman"/>
          <w:sz w:val="20"/>
          <w:szCs w:val="20"/>
          <w:lang w:val="en-US"/>
        </w:rPr>
        <w:t>v</w:t>
      </w:r>
      <w:r w:rsidRPr="004D543B">
        <w:rPr>
          <w:rFonts w:ascii="Times New Roman" w:eastAsia="NimbusRomNo9L-Regu" w:hAnsi="Times New Roman"/>
          <w:sz w:val="20"/>
          <w:szCs w:val="20"/>
          <w:lang w:val="en-US"/>
        </w:rPr>
        <w:t xml:space="preserve">. 98, </w:t>
      </w:r>
      <w:proofErr w:type="spellStart"/>
      <w:r w:rsidRPr="004D543B">
        <w:rPr>
          <w:rFonts w:ascii="Times New Roman" w:eastAsia="NimbusRomNo9L-Regu" w:hAnsi="Times New Roman"/>
          <w:sz w:val="20"/>
          <w:szCs w:val="20"/>
          <w:lang w:val="en-US"/>
        </w:rPr>
        <w:t>p</w:t>
      </w:r>
      <w:r w:rsidRPr="004D543B">
        <w:rPr>
          <w:rFonts w:ascii="Times New Roman" w:hAnsi="Times New Roman"/>
          <w:sz w:val="20"/>
          <w:szCs w:val="20"/>
          <w:lang w:val="en-US"/>
        </w:rPr>
        <w:t>ag</w:t>
      </w:r>
      <w:proofErr w:type="spellEnd"/>
      <w:r w:rsidRPr="004D543B">
        <w:rPr>
          <w:rFonts w:ascii="Times New Roman" w:eastAsia="NimbusRomNo9L-Regu" w:hAnsi="Times New Roman"/>
          <w:sz w:val="20"/>
          <w:szCs w:val="20"/>
          <w:lang w:val="en-US"/>
        </w:rPr>
        <w:t>. 39–60</w:t>
      </w:r>
      <w:r w:rsidRPr="004D543B">
        <w:rPr>
          <w:rFonts w:ascii="Times New Roman" w:hAnsi="Times New Roman"/>
          <w:sz w:val="20"/>
          <w:szCs w:val="20"/>
          <w:lang w:val="en-US"/>
        </w:rPr>
        <w:t>, 2019.</w:t>
      </w:r>
    </w:p>
    <w:p w14:paraId="146C1529" w14:textId="77777777" w:rsidR="00551CEA" w:rsidRPr="004D543B" w:rsidRDefault="00551CEA" w:rsidP="00551CEA">
      <w:pPr>
        <w:spacing w:before="120"/>
        <w:contextualSpacing/>
        <w:jc w:val="both"/>
        <w:rPr>
          <w:rFonts w:ascii="Times New Roman" w:hAnsi="Times New Roman"/>
          <w:sz w:val="20"/>
          <w:szCs w:val="20"/>
        </w:rPr>
      </w:pPr>
      <w:r w:rsidRPr="004D543B">
        <w:rPr>
          <w:rFonts w:ascii="Times New Roman" w:hAnsi="Times New Roman"/>
          <w:sz w:val="20"/>
          <w:szCs w:val="20"/>
          <w:lang w:val="en-US"/>
        </w:rPr>
        <w:t xml:space="preserve">UNEP – United Nations Environment </w:t>
      </w:r>
      <w:proofErr w:type="spellStart"/>
      <w:r w:rsidRPr="004D543B">
        <w:rPr>
          <w:rFonts w:ascii="Times New Roman" w:hAnsi="Times New Roman"/>
          <w:sz w:val="20"/>
          <w:szCs w:val="20"/>
          <w:lang w:val="en-US"/>
        </w:rPr>
        <w:t>Programme</w:t>
      </w:r>
      <w:proofErr w:type="spellEnd"/>
      <w:r w:rsidRPr="004D543B">
        <w:rPr>
          <w:rFonts w:ascii="Times New Roman" w:hAnsi="Times New Roman"/>
          <w:sz w:val="20"/>
          <w:szCs w:val="20"/>
          <w:lang w:val="en-US"/>
        </w:rPr>
        <w:t xml:space="preserve">. </w:t>
      </w:r>
      <w:proofErr w:type="spellStart"/>
      <w:r w:rsidRPr="004D543B">
        <w:rPr>
          <w:rFonts w:ascii="Times New Roman" w:hAnsi="Times New Roman"/>
          <w:sz w:val="20"/>
          <w:szCs w:val="20"/>
        </w:rPr>
        <w:t>Nusa</w:t>
      </w:r>
      <w:proofErr w:type="spellEnd"/>
      <w:r w:rsidRPr="004D543B">
        <w:rPr>
          <w:rFonts w:ascii="Times New Roman" w:hAnsi="Times New Roman"/>
          <w:sz w:val="20"/>
          <w:szCs w:val="20"/>
        </w:rPr>
        <w:t xml:space="preserve"> </w:t>
      </w:r>
      <w:proofErr w:type="spellStart"/>
      <w:r w:rsidRPr="004D543B">
        <w:rPr>
          <w:rFonts w:ascii="Times New Roman" w:hAnsi="Times New Roman"/>
          <w:sz w:val="20"/>
          <w:szCs w:val="20"/>
        </w:rPr>
        <w:t>Dua</w:t>
      </w:r>
      <w:proofErr w:type="spellEnd"/>
      <w:r w:rsidRPr="004D543B">
        <w:rPr>
          <w:rFonts w:ascii="Times New Roman" w:hAnsi="Times New Roman"/>
          <w:sz w:val="20"/>
          <w:szCs w:val="20"/>
        </w:rPr>
        <w:t xml:space="preserve"> </w:t>
      </w:r>
      <w:proofErr w:type="spellStart"/>
      <w:r w:rsidRPr="004D543B">
        <w:rPr>
          <w:rFonts w:ascii="Times New Roman" w:hAnsi="Times New Roman"/>
          <w:sz w:val="20"/>
          <w:szCs w:val="20"/>
        </w:rPr>
        <w:t>Declaration</w:t>
      </w:r>
      <w:proofErr w:type="spellEnd"/>
      <w:r w:rsidRPr="004D543B">
        <w:rPr>
          <w:rFonts w:ascii="Times New Roman" w:hAnsi="Times New Roman"/>
          <w:sz w:val="20"/>
          <w:szCs w:val="20"/>
        </w:rPr>
        <w:t>, 2010. Disponível em: &lt;</w:t>
      </w:r>
      <w:r w:rsidRPr="004D543B">
        <w:rPr>
          <w:sz w:val="20"/>
          <w:szCs w:val="20"/>
        </w:rPr>
        <w:t xml:space="preserve"> </w:t>
      </w:r>
      <w:hyperlink r:id="rId9" w:history="1">
        <w:r w:rsidRPr="004D543B">
          <w:rPr>
            <w:rStyle w:val="Hyperlink"/>
            <w:rFonts w:ascii="Times New Roman" w:hAnsi="Times New Roman"/>
            <w:sz w:val="20"/>
            <w:szCs w:val="20"/>
          </w:rPr>
          <w:t>https://sdg.iisd.org/news/unep%E2%80%99s-governing-councilglobal-ministerial-environment-forum-adopts-nusa-dua-declaration/</w:t>
        </w:r>
      </w:hyperlink>
      <w:r w:rsidRPr="004D543B">
        <w:rPr>
          <w:rFonts w:ascii="Times New Roman" w:hAnsi="Times New Roman"/>
          <w:sz w:val="20"/>
          <w:szCs w:val="20"/>
        </w:rPr>
        <w:t>&gt;, acesso em  11/10/2023.</w:t>
      </w:r>
    </w:p>
    <w:p w14:paraId="04036DDC" w14:textId="77777777" w:rsidR="00B43410" w:rsidRPr="00821C0E" w:rsidRDefault="00B43410" w:rsidP="00821C0E">
      <w:pPr>
        <w:jc w:val="both"/>
        <w:rPr>
          <w:rFonts w:ascii="Times New Roman" w:hAnsi="Times New Roman"/>
          <w:sz w:val="20"/>
          <w:szCs w:val="20"/>
        </w:rPr>
      </w:pPr>
    </w:p>
    <w:p w14:paraId="6C8FFC1A" w14:textId="77777777" w:rsidR="00056A89" w:rsidRPr="004D543B" w:rsidRDefault="00056A89" w:rsidP="004912CD">
      <w:pPr>
        <w:jc w:val="both"/>
        <w:rPr>
          <w:rFonts w:ascii="Times New Roman" w:hAnsi="Times New Roman"/>
          <w:sz w:val="20"/>
          <w:szCs w:val="20"/>
        </w:rPr>
      </w:pPr>
    </w:p>
    <w:p w14:paraId="6E92BF13" w14:textId="77777777" w:rsidR="008A3C12" w:rsidRPr="004D543B" w:rsidRDefault="008A3C12" w:rsidP="008A3C12">
      <w:pPr>
        <w:jc w:val="both"/>
        <w:rPr>
          <w:sz w:val="20"/>
          <w:szCs w:val="20"/>
        </w:rPr>
      </w:pPr>
    </w:p>
    <w:sectPr w:rsidR="008A3C12" w:rsidRPr="004D54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mbusRomNo9L-Regu">
    <w:altName w:val="Yu Gothic"/>
    <w:panose1 w:val="00000000000000000000"/>
    <w:charset w:val="80"/>
    <w:family w:val="auto"/>
    <w:notTrueType/>
    <w:pitch w:val="default"/>
    <w:sig w:usb0="00000001" w:usb1="08070000" w:usb2="00000010" w:usb3="00000000" w:csb0="00020000" w:csb1="00000000"/>
  </w:font>
  <w:font w:name="NimbusRomNo9L-ReguItal">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9C"/>
    <w:rsid w:val="0000269C"/>
    <w:rsid w:val="00043818"/>
    <w:rsid w:val="00056A89"/>
    <w:rsid w:val="000E1E91"/>
    <w:rsid w:val="00141964"/>
    <w:rsid w:val="00241BF0"/>
    <w:rsid w:val="002D6805"/>
    <w:rsid w:val="00375D64"/>
    <w:rsid w:val="00383BA3"/>
    <w:rsid w:val="003C08E9"/>
    <w:rsid w:val="004861AA"/>
    <w:rsid w:val="004912CD"/>
    <w:rsid w:val="004D543B"/>
    <w:rsid w:val="00551CEA"/>
    <w:rsid w:val="006A0986"/>
    <w:rsid w:val="00725BDF"/>
    <w:rsid w:val="007F7FCE"/>
    <w:rsid w:val="00821C0E"/>
    <w:rsid w:val="008A3C12"/>
    <w:rsid w:val="008F3D58"/>
    <w:rsid w:val="008F4FCB"/>
    <w:rsid w:val="009502F1"/>
    <w:rsid w:val="009B0FDC"/>
    <w:rsid w:val="009C57BF"/>
    <w:rsid w:val="009E37FF"/>
    <w:rsid w:val="00A75C4B"/>
    <w:rsid w:val="00A91A9E"/>
    <w:rsid w:val="00A95BA6"/>
    <w:rsid w:val="00B43410"/>
    <w:rsid w:val="00B778A6"/>
    <w:rsid w:val="00C34B02"/>
    <w:rsid w:val="00C75514"/>
    <w:rsid w:val="00C924ED"/>
    <w:rsid w:val="00CB52A4"/>
    <w:rsid w:val="00D1744F"/>
    <w:rsid w:val="00D363F4"/>
    <w:rsid w:val="00ED73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A5949"/>
  <w15:chartTrackingRefBased/>
  <w15:docId w15:val="{5ED91F6B-CC0C-4ADF-A1BC-16451E5B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69C"/>
    <w:pPr>
      <w:spacing w:after="80" w:line="240" w:lineRule="auto"/>
    </w:pPr>
    <w:rPr>
      <w:rFonts w:ascii="Calibri" w:eastAsia="Times New Roman" w:hAnsi="Calibri" w:cs="Times New Roman"/>
      <w:kern w:val="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551CE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cc.ch/about/" TargetMode="External"/><Relationship Id="rId3" Type="http://schemas.openxmlformats.org/officeDocument/2006/relationships/webSettings" Target="webSettings.xml"/><Relationship Id="rId7" Type="http://schemas.openxmlformats.org/officeDocument/2006/relationships/hyperlink" Target="https://www.irena.org/Publications/2023/Aug/Renewable-power-generation-costs--in-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ea.org/reports/world-energy-outlook-2023" TargetMode="External"/><Relationship Id="rId11" Type="http://schemas.openxmlformats.org/officeDocument/2006/relationships/theme" Target="theme/theme1.xml"/><Relationship Id="rId5" Type="http://schemas.openxmlformats.org/officeDocument/2006/relationships/hyperlink" Target="https://www.climatebonds.net/resources/reports/global-state-market-report-2022" TargetMode="External"/><Relationship Id="rId10" Type="http://schemas.openxmlformats.org/officeDocument/2006/relationships/fontTable" Target="fontTable.xml"/><Relationship Id="rId4" Type="http://schemas.openxmlformats.org/officeDocument/2006/relationships/hyperlink" Target="https://about.bnef.com/new-energy-outlook/" TargetMode="External"/><Relationship Id="rId9" Type="http://schemas.openxmlformats.org/officeDocument/2006/relationships/hyperlink" Target="https://sdg.iisd.org/news/unep%E2%80%99s-governing-councilglobal-ministerial-environment-forum-adopts-nusa-dua-declaration/"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1826</Words>
  <Characters>9864</Characters>
  <Application>Microsoft Office Word</Application>
  <DocSecurity>0</DocSecurity>
  <Lines>82</Lines>
  <Paragraphs>23</Paragraphs>
  <ScaleCrop>false</ScaleCrop>
  <Company>ELETROBRAS - CENTRAIS ELETRICAS BRASILEIRAS S.A.</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Rinaldi Meyer</dc:creator>
  <cp:keywords/>
  <dc:description/>
  <cp:lastModifiedBy>Tiago Rinaldi Meyer</cp:lastModifiedBy>
  <cp:revision>35</cp:revision>
  <dcterms:created xsi:type="dcterms:W3CDTF">2024-03-09T11:10:00Z</dcterms:created>
  <dcterms:modified xsi:type="dcterms:W3CDTF">2024-03-28T20:15:00Z</dcterms:modified>
</cp:coreProperties>
</file>