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F54E1" w:rsidRDefault="00603A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FATORES DE RISCO ASSOCIADOS A MIELOMENINGOCELE EM NEONATOS</w:t>
      </w:r>
    </w:p>
    <w:p w14:paraId="00000002" w14:textId="77777777" w:rsidR="001F54E1" w:rsidRDefault="00603A5F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 Cristina Santos Rocha Oliveira;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Andreza Maria dos Santos;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Jhenniffer Roberta Jorge Lucena.</w:t>
      </w:r>
    </w:p>
    <w:p w14:paraId="00000003" w14:textId="77777777" w:rsidR="001F54E1" w:rsidRDefault="00603A5F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Acadêmica de Enfermagem no Centro Universitário Alfredo Nasser, Aparecida de Goiânia, Goiás, Brasil.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Acadêmica em enfermagem na Universidade Cruzeiro do Sul, São Paulo, São Paulo, Brasil.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Enfermeira, Faculdade Anhanguera Guarulhos, Guarulhos, São Paulo, </w:t>
      </w:r>
      <w:r>
        <w:rPr>
          <w:rFonts w:ascii="Times New Roman" w:eastAsia="Times New Roman" w:hAnsi="Times New Roman" w:cs="Times New Roman"/>
          <w:sz w:val="24"/>
          <w:szCs w:val="24"/>
        </w:rPr>
        <w:t>Brasil.</w:t>
      </w:r>
    </w:p>
    <w:p w14:paraId="00000004" w14:textId="77777777" w:rsidR="001F54E1" w:rsidRDefault="00603A5F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</w:p>
    <w:p w14:paraId="00000005" w14:textId="77777777" w:rsidR="001F54E1" w:rsidRDefault="00603A5F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sanacristina071@gmail.com </w:t>
      </w:r>
    </w:p>
    <w:p w14:paraId="00000006" w14:textId="709F646F" w:rsidR="001F54E1" w:rsidRDefault="00603A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malformações congênitas ocorrem como um distúrbio genético do neonato, sendo a segunda maior causa de morbimortalidade em Recém-Nascidos (RN) no Brasil. Segundo 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dados da Organização Mundial da Saúde (OMS), cerca de 11,2% dos óbitos de RN são devido ao desenvolvimento dos órgãos e estruturas celulares. Essas malformações congênitas interferem agressivamente no crescimento e no desenvolvimento dos neonatos.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Descrever os fatores associados a mielomeningocele em neonatos.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integrativa da literatura, realizada em fevereiro de 2023, por meio das bases de dados da Biblioteca Virtual em Saúde (BVS), sendo elas: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Medical Literat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ure Analysis and Retrieval System Online </w:t>
      </w:r>
      <w:r>
        <w:rPr>
          <w:rFonts w:ascii="Times New Roman" w:eastAsia="Times New Roman" w:hAnsi="Times New Roman" w:cs="Times New Roman"/>
          <w:sz w:val="24"/>
          <w:szCs w:val="24"/>
        </w:rPr>
        <w:t>(MEDLINE) e a Literatura Latino-Americana e do Caribe em Ciências da Saúde (LILACS). Foram utilizados os Descritores em Ciências da Saúde (DeCS), “Meningocele” e “Recém-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Nascido”  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cruzamento com o operador boolean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que resultou na seguinte estratégia: Meningocele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Recém-Nascido, encontrando 88 artigos. Como critérios de inclusão, foram considerados artigos publicados na íntegra em texto completo, nos últimos cinco anos (2018-2023), nos idiomas inglês, espan</w:t>
      </w:r>
      <w:r>
        <w:rPr>
          <w:rFonts w:ascii="Times New Roman" w:eastAsia="Times New Roman" w:hAnsi="Times New Roman" w:cs="Times New Roman"/>
          <w:sz w:val="24"/>
          <w:szCs w:val="24"/>
        </w:rPr>
        <w:t>hol e português, restando em 34 artigos. Sendo que, foram desconsiderados os artigos conforme os critérios de exclusão: estudos na modalidade de revisões, duplicados e artigos que não contemplassem o objetivo do estudo. Deste modo, após a aplicação dos cri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térios de elegibilidade foram selecionados 3 artigos para o desenvolvimento do estudo.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Conforme os achados na literatura, os principais fatores associados a meningocele, foram: características maternas como a obesidade, ovários poli</w:t>
      </w:r>
      <w:r>
        <w:rPr>
          <w:rFonts w:ascii="Times New Roman" w:eastAsia="Times New Roman" w:hAnsi="Times New Roman" w:cs="Times New Roman"/>
          <w:sz w:val="24"/>
          <w:szCs w:val="24"/>
        </w:rPr>
        <w:t>císticos, idade avançada, comorbidades associadas à hipertensão e diabetes, e gestações não planejadas. Além disso, os neonatos prematuros portadores de malformações congênitas que apresentam baixo peso ao nascer, precisaram ser internados na Unidade de 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rapia Intensiva Neonatal (UTIN). As principais malformações associadas a meningocele são as deformidades dos pés e a deformidade na coluna cervical, geralmente em decorrência da infecção por HIV e do sofrimento fetal próximo ao nascimento.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nais:</w:t>
      </w:r>
      <w:r w:rsidR="00922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Portanto, compreende-se que os principais fatores de risco associados a meningocele em RN foram, comorbidades maternas como hipertensão, diabetes, obesidade, doenças ginecológicas e idade avançada e malformações congênitas como a deformidade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pés e na coluna em decorrência de infecções e/ou sofrimento fetal durante o trabalho de parto. </w:t>
      </w:r>
    </w:p>
    <w:p w14:paraId="00000007" w14:textId="77777777" w:rsidR="001F54E1" w:rsidRDefault="001F54E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7lc0z01ybz3t" w:colFirst="0" w:colLast="0"/>
      <w:bookmarkEnd w:id="1"/>
    </w:p>
    <w:p w14:paraId="00000008" w14:textId="77777777" w:rsidR="001F54E1" w:rsidRDefault="00603A5F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Meningocele; Recém-Nascido; Enfermagem Neonatal.</w:t>
      </w:r>
    </w:p>
    <w:p w14:paraId="00000009" w14:textId="77777777" w:rsidR="001F54E1" w:rsidRDefault="00603A5F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000000A" w14:textId="450B7F3C" w:rsidR="001F54E1" w:rsidRDefault="00603A5F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lastRenderedPageBreak/>
        <w:t xml:space="preserve">DEORA, Harsh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Defeitos do tubo neural em múltiplos locais: embriogênese com revisão completa da literatura existente.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Foco neurocirúrgico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47, n. 4, pág. E18, 2019.</w:t>
      </w:r>
    </w:p>
    <w:p w14:paraId="0000000B" w14:textId="77777777" w:rsidR="001F54E1" w:rsidRDefault="00603A5F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DE SIQUEIRA FIGUEIREDO, Larissa Silva.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 Perfil epidemiológico de mortalidade por espinha bífi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da.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Revista da Sociedade Brasileira de Clínica Médica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17, n. 4, p. 171-175, 2019.</w:t>
      </w:r>
    </w:p>
    <w:p w14:paraId="0000000C" w14:textId="7DD3E52A" w:rsidR="001F54E1" w:rsidRDefault="00603A5F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PIRO, Ettore e cols. Estudo retrospectivo neonatal de dez anos sobre defeitos do tubo neural em um hospital universitário de segundo nível.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Revista Italiana de Pediatria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46, n. 1, pág. 1-6, 2020.</w:t>
      </w:r>
    </w:p>
    <w:p w14:paraId="0000000D" w14:textId="77777777" w:rsidR="001F54E1" w:rsidRDefault="001F54E1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F54E1">
      <w:headerReference w:type="default" r:id="rId7"/>
      <w:footerReference w:type="default" r:id="rId8"/>
      <w:pgSz w:w="11906" w:h="16838"/>
      <w:pgMar w:top="1418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760D" w14:textId="77777777" w:rsidR="00603A5F" w:rsidRDefault="00603A5F">
      <w:pPr>
        <w:spacing w:after="0" w:line="240" w:lineRule="auto"/>
      </w:pPr>
      <w:r>
        <w:separator/>
      </w:r>
    </w:p>
  </w:endnote>
  <w:endnote w:type="continuationSeparator" w:id="0">
    <w:p w14:paraId="348CE8C3" w14:textId="77777777" w:rsidR="00603A5F" w:rsidRDefault="0060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1F54E1" w:rsidRDefault="00603A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l="0" t="0" r="0" b="0"/>
          <wp:wrapTopAndBottom distT="0" dist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AB1D" w14:textId="77777777" w:rsidR="00603A5F" w:rsidRDefault="00603A5F">
      <w:pPr>
        <w:spacing w:after="0" w:line="240" w:lineRule="auto"/>
      </w:pPr>
      <w:r>
        <w:separator/>
      </w:r>
    </w:p>
  </w:footnote>
  <w:footnote w:type="continuationSeparator" w:id="0">
    <w:p w14:paraId="60430816" w14:textId="77777777" w:rsidR="00603A5F" w:rsidRDefault="00603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1F54E1" w:rsidRDefault="00603A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 distT="0" dist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4E1"/>
    <w:rsid w:val="001F54E1"/>
    <w:rsid w:val="005D1C04"/>
    <w:rsid w:val="00603A5F"/>
    <w:rsid w:val="0092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CA00"/>
  <w15:docId w15:val="{27EEC2BF-B187-4B02-A56B-8FC82DD7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EB1rdT/XfMKqtdme/O6ijTH0bQ==">AMUW2mWvY1o9XqJD50NJofrmwMSly5k+JCNtc4sys6jAele1caQajgWtgia2s5NxawHc7hXAq47f44FuA+B/qhpBRacz6UL3rX/pyf9wUL/mwO/OxfeTO/wX8cm+H9psyH0dtPXZnAnmXd8B4FEBRMn3Kz9u6VuGjg==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jhenniffer Lucena</cp:lastModifiedBy>
  <cp:revision>6</cp:revision>
  <dcterms:created xsi:type="dcterms:W3CDTF">2023-01-16T23:36:00Z</dcterms:created>
  <dcterms:modified xsi:type="dcterms:W3CDTF">2023-02-22T01:38:00Z</dcterms:modified>
</cp:coreProperties>
</file>