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7E" w:rsidRPr="006E19BE" w:rsidRDefault="00975C20" w:rsidP="006E19BE">
      <w:pPr>
        <w:pStyle w:val="Normal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BE">
        <w:rPr>
          <w:rFonts w:ascii="Times New Roman" w:hAnsi="Times New Roman" w:cs="Times New Roman"/>
          <w:b/>
          <w:sz w:val="24"/>
          <w:szCs w:val="24"/>
        </w:rPr>
        <w:t>RECIDIVA</w:t>
      </w:r>
      <w:r w:rsidR="003B30F0" w:rsidRPr="006E19BE">
        <w:rPr>
          <w:rFonts w:ascii="Times New Roman" w:hAnsi="Times New Roman" w:cs="Times New Roman"/>
          <w:b/>
          <w:sz w:val="24"/>
          <w:szCs w:val="24"/>
        </w:rPr>
        <w:t xml:space="preserve"> DE NEOPLASIA INTRAEPITELIAL CERVICAL APÓS CIRURGIA DE ALTA FREQUÊNCIA</w:t>
      </w: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BE" w:rsidRPr="006E19BE" w:rsidRDefault="006E19BE" w:rsidP="006E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BE">
        <w:rPr>
          <w:rFonts w:ascii="Times New Roman" w:hAnsi="Times New Roman" w:cs="Times New Roman"/>
          <w:sz w:val="24"/>
          <w:szCs w:val="24"/>
        </w:rPr>
        <w:t>SAYONARA NOGUEIRA DE SOUZA</w:t>
      </w:r>
      <w:r w:rsidRPr="006E19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19BE">
        <w:rPr>
          <w:rFonts w:ascii="Times New Roman" w:hAnsi="Times New Roman" w:cs="Times New Roman"/>
          <w:sz w:val="24"/>
          <w:szCs w:val="24"/>
        </w:rPr>
        <w:t>, RENATA CLEMENTINO GONTIJO</w:t>
      </w:r>
      <w:r w:rsidRPr="006E19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19BE">
        <w:rPr>
          <w:rFonts w:ascii="Times New Roman" w:hAnsi="Times New Roman" w:cs="Times New Roman"/>
          <w:sz w:val="24"/>
          <w:szCs w:val="24"/>
        </w:rPr>
        <w:t>.</w:t>
      </w:r>
    </w:p>
    <w:p w:rsidR="006E19BE" w:rsidRPr="006E19BE" w:rsidRDefault="006E19BE" w:rsidP="006E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BE">
        <w:rPr>
          <w:rFonts w:ascii="Times New Roman" w:hAnsi="Times New Roman" w:cs="Times New Roman"/>
          <w:sz w:val="24"/>
          <w:szCs w:val="24"/>
        </w:rPr>
        <w:t>(1) ACADÊMICA DE MEDICINA DA UNIREDENTOR, ITAPERUNA, BRASIL;</w:t>
      </w:r>
    </w:p>
    <w:p w:rsidR="006E19BE" w:rsidRPr="006E19BE" w:rsidRDefault="006E19BE" w:rsidP="006E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BE">
        <w:rPr>
          <w:rFonts w:ascii="Times New Roman" w:hAnsi="Times New Roman" w:cs="Times New Roman"/>
          <w:sz w:val="24"/>
          <w:szCs w:val="24"/>
        </w:rPr>
        <w:t>(2) COORDENADORA DO CURSO DE MEDICINA DA UNIREDENTOR, ITAPERUNA, BRASIL.</w:t>
      </w: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Pr="006E19BE" w:rsidRDefault="003B30F0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BE">
        <w:rPr>
          <w:rFonts w:ascii="Times New Roman" w:hAnsi="Times New Roman" w:cs="Times New Roman"/>
          <w:sz w:val="24"/>
          <w:szCs w:val="24"/>
        </w:rPr>
        <w:t>Introdução: O diagnóstico e o tratamento d</w:t>
      </w:r>
      <w:r w:rsidR="007D22B2" w:rsidRPr="006E19BE">
        <w:rPr>
          <w:rFonts w:ascii="Times New Roman" w:hAnsi="Times New Roman" w:cs="Times New Roman"/>
          <w:sz w:val="24"/>
          <w:szCs w:val="24"/>
        </w:rPr>
        <w:t>as</w:t>
      </w:r>
      <w:r w:rsidR="006C27DD">
        <w:rPr>
          <w:rFonts w:ascii="Times New Roman" w:hAnsi="Times New Roman" w:cs="Times New Roman"/>
          <w:sz w:val="24"/>
          <w:szCs w:val="24"/>
        </w:rPr>
        <w:t xml:space="preserve"> </w:t>
      </w:r>
      <w:r w:rsidR="007D22B2" w:rsidRPr="006E19BE">
        <w:rPr>
          <w:rFonts w:ascii="Times New Roman" w:hAnsi="Times New Roman" w:cs="Times New Roman"/>
          <w:sz w:val="24"/>
          <w:szCs w:val="24"/>
        </w:rPr>
        <w:t xml:space="preserve">lesões </w:t>
      </w:r>
      <w:proofErr w:type="spellStart"/>
      <w:r w:rsidR="007D22B2" w:rsidRPr="006E19BE">
        <w:rPr>
          <w:rFonts w:ascii="Times New Roman" w:hAnsi="Times New Roman" w:cs="Times New Roman"/>
          <w:sz w:val="24"/>
          <w:szCs w:val="24"/>
        </w:rPr>
        <w:t>intraepiteliais</w:t>
      </w:r>
      <w:proofErr w:type="spellEnd"/>
      <w:r w:rsidR="007D22B2" w:rsidRPr="006E19BE">
        <w:rPr>
          <w:rFonts w:ascii="Times New Roman" w:hAnsi="Times New Roman" w:cs="Times New Roman"/>
          <w:sz w:val="24"/>
          <w:szCs w:val="24"/>
        </w:rPr>
        <w:t xml:space="preserve"> de alto grau (LIAG) do colo uterino são uma das principais </w:t>
      </w:r>
      <w:r w:rsidR="0072728F" w:rsidRPr="006E19BE">
        <w:rPr>
          <w:rFonts w:ascii="Times New Roman" w:hAnsi="Times New Roman" w:cs="Times New Roman"/>
          <w:sz w:val="24"/>
          <w:szCs w:val="24"/>
        </w:rPr>
        <w:t>oportunidade</w:t>
      </w:r>
      <w:r w:rsidR="007D22B2" w:rsidRPr="006E19BE">
        <w:rPr>
          <w:rFonts w:ascii="Times New Roman" w:hAnsi="Times New Roman" w:cs="Times New Roman"/>
          <w:sz w:val="24"/>
          <w:szCs w:val="24"/>
        </w:rPr>
        <w:t>s</w:t>
      </w:r>
      <w:r w:rsidR="0072728F" w:rsidRPr="006E19BE">
        <w:rPr>
          <w:rFonts w:ascii="Times New Roman" w:hAnsi="Times New Roman" w:cs="Times New Roman"/>
          <w:sz w:val="24"/>
          <w:szCs w:val="24"/>
        </w:rPr>
        <w:t xml:space="preserve"> para impedir a evolução para carcinoma invasor. </w:t>
      </w:r>
      <w:proofErr w:type="gramStart"/>
      <w:r w:rsidR="0072728F" w:rsidRPr="006E19BE">
        <w:rPr>
          <w:rFonts w:ascii="Times New Roman" w:hAnsi="Times New Roman" w:cs="Times New Roman"/>
          <w:sz w:val="24"/>
          <w:szCs w:val="24"/>
        </w:rPr>
        <w:t xml:space="preserve">O exame citológico, aliado à </w:t>
      </w:r>
      <w:proofErr w:type="spellStart"/>
      <w:r w:rsidR="0072728F" w:rsidRPr="006E19BE">
        <w:rPr>
          <w:rFonts w:ascii="Times New Roman" w:hAnsi="Times New Roman" w:cs="Times New Roman"/>
          <w:sz w:val="24"/>
          <w:szCs w:val="24"/>
        </w:rPr>
        <w:t>colposcopia</w:t>
      </w:r>
      <w:proofErr w:type="spellEnd"/>
      <w:r w:rsidR="0072728F" w:rsidRPr="006E19BE">
        <w:rPr>
          <w:rFonts w:ascii="Times New Roman" w:hAnsi="Times New Roman" w:cs="Times New Roman"/>
          <w:sz w:val="24"/>
          <w:szCs w:val="24"/>
        </w:rPr>
        <w:t xml:space="preserve"> e à biópsia permitem</w:t>
      </w:r>
      <w:proofErr w:type="gramEnd"/>
      <w:r w:rsidR="0072728F" w:rsidRPr="006E19BE">
        <w:rPr>
          <w:rFonts w:ascii="Times New Roman" w:hAnsi="Times New Roman" w:cs="Times New Roman"/>
          <w:sz w:val="24"/>
          <w:szCs w:val="24"/>
        </w:rPr>
        <w:t xml:space="preserve"> </w:t>
      </w:r>
      <w:r w:rsidR="007D22B2" w:rsidRPr="006E19BE">
        <w:rPr>
          <w:rFonts w:ascii="Times New Roman" w:hAnsi="Times New Roman" w:cs="Times New Roman"/>
          <w:sz w:val="24"/>
          <w:szCs w:val="24"/>
        </w:rPr>
        <w:t>o diagnóstico da LIAG e a excisão da zona de transformação (EZT) com alça de alta frequência é o tratamento padrão, e apresenta alta eficácia. As taxas de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persistência ou</w:t>
      </w:r>
      <w:r w:rsidR="007D22B2" w:rsidRPr="006E19BE">
        <w:rPr>
          <w:rFonts w:ascii="Times New Roman" w:hAnsi="Times New Roman" w:cs="Times New Roman"/>
          <w:sz w:val="24"/>
          <w:szCs w:val="24"/>
        </w:rPr>
        <w:t xml:space="preserve"> recidiva de LIAG </w:t>
      </w:r>
      <w:proofErr w:type="gramStart"/>
      <w:r w:rsidR="00611FC5" w:rsidRPr="006E19BE">
        <w:rPr>
          <w:rFonts w:ascii="Times New Roman" w:hAnsi="Times New Roman" w:cs="Times New Roman"/>
          <w:sz w:val="24"/>
          <w:szCs w:val="24"/>
        </w:rPr>
        <w:t>pôs</w:t>
      </w:r>
      <w:proofErr w:type="gramEnd"/>
      <w:r w:rsidR="007D22B2" w:rsidRPr="006E19BE">
        <w:rPr>
          <w:rFonts w:ascii="Times New Roman" w:hAnsi="Times New Roman" w:cs="Times New Roman"/>
          <w:sz w:val="24"/>
          <w:szCs w:val="24"/>
        </w:rPr>
        <w:t xml:space="preserve"> EZT variam </w:t>
      </w:r>
      <w:r w:rsidR="0072728F" w:rsidRPr="006E19BE">
        <w:rPr>
          <w:rFonts w:ascii="Times New Roman" w:hAnsi="Times New Roman" w:cs="Times New Roman"/>
          <w:sz w:val="24"/>
          <w:szCs w:val="24"/>
        </w:rPr>
        <w:t>de 5 a 64</w:t>
      </w:r>
      <w:r w:rsidR="007D22B2" w:rsidRPr="006E19BE">
        <w:rPr>
          <w:rFonts w:ascii="Times New Roman" w:hAnsi="Times New Roman" w:cs="Times New Roman"/>
          <w:sz w:val="24"/>
          <w:szCs w:val="24"/>
        </w:rPr>
        <w:t>% e entre</w:t>
      </w:r>
      <w:r w:rsidR="0072728F" w:rsidRPr="006E19BE">
        <w:rPr>
          <w:rFonts w:ascii="Times New Roman" w:hAnsi="Times New Roman" w:cs="Times New Roman"/>
          <w:sz w:val="24"/>
          <w:szCs w:val="24"/>
        </w:rPr>
        <w:t xml:space="preserve"> os fatores de risco associados à recidiva, destaca-se 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a margem cirúrgica. </w:t>
      </w:r>
      <w:r w:rsidR="0060102A" w:rsidRPr="006E19BE">
        <w:rPr>
          <w:rFonts w:ascii="Times New Roman" w:hAnsi="Times New Roman" w:cs="Times New Roman"/>
          <w:sz w:val="24"/>
          <w:szCs w:val="24"/>
        </w:rPr>
        <w:t xml:space="preserve">Objetivo: 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Avaliar a recidiva de </w:t>
      </w:r>
      <w:r w:rsidR="00611FC5" w:rsidRPr="006E19BE">
        <w:rPr>
          <w:rFonts w:ascii="Times New Roman" w:hAnsi="Times New Roman" w:cs="Times New Roman"/>
          <w:sz w:val="24"/>
          <w:szCs w:val="24"/>
        </w:rPr>
        <w:t>LIAG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 após </w:t>
      </w:r>
      <w:r w:rsidR="00611FC5" w:rsidRPr="006E19BE">
        <w:rPr>
          <w:rFonts w:ascii="Times New Roman" w:hAnsi="Times New Roman" w:cs="Times New Roman"/>
          <w:sz w:val="24"/>
          <w:szCs w:val="24"/>
        </w:rPr>
        <w:t>EZT em função das margens cirúrgicas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. </w:t>
      </w:r>
      <w:r w:rsidR="00611FC5" w:rsidRPr="006E19BE">
        <w:rPr>
          <w:rFonts w:ascii="Times New Roman" w:hAnsi="Times New Roman" w:cs="Times New Roman"/>
          <w:sz w:val="24"/>
          <w:szCs w:val="24"/>
        </w:rPr>
        <w:t>Sujeitos e m</w:t>
      </w:r>
      <w:r w:rsidR="0060102A" w:rsidRPr="006E19BE">
        <w:rPr>
          <w:rFonts w:ascii="Times New Roman" w:hAnsi="Times New Roman" w:cs="Times New Roman"/>
          <w:sz w:val="24"/>
          <w:szCs w:val="24"/>
        </w:rPr>
        <w:t xml:space="preserve">étodos: 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Foram avaliadas 131 pacientes </w:t>
      </w:r>
      <w:r w:rsidR="00611FC5" w:rsidRPr="006E19BE">
        <w:rPr>
          <w:rFonts w:ascii="Times New Roman" w:hAnsi="Times New Roman" w:cs="Times New Roman"/>
          <w:sz w:val="24"/>
          <w:szCs w:val="24"/>
        </w:rPr>
        <w:t>submetidas com EZT por LIAG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 no ambulatório de patologia do trato genital inferior e </w:t>
      </w:r>
      <w:proofErr w:type="spellStart"/>
      <w:r w:rsidR="00E542B5" w:rsidRPr="006E19BE">
        <w:rPr>
          <w:rFonts w:ascii="Times New Roman" w:hAnsi="Times New Roman" w:cs="Times New Roman"/>
          <w:sz w:val="24"/>
          <w:szCs w:val="24"/>
        </w:rPr>
        <w:t>colposcopia</w:t>
      </w:r>
      <w:proofErr w:type="spellEnd"/>
      <w:r w:rsidR="00E542B5" w:rsidRPr="006E19BE">
        <w:rPr>
          <w:rFonts w:ascii="Times New Roman" w:hAnsi="Times New Roman" w:cs="Times New Roman"/>
          <w:sz w:val="24"/>
          <w:szCs w:val="24"/>
        </w:rPr>
        <w:t xml:space="preserve"> do Centro de Saúde Raul Travassos, Itaperuna/RJ</w:t>
      </w:r>
      <w:r w:rsidR="00611FC5" w:rsidRPr="006E19BE">
        <w:rPr>
          <w:rFonts w:ascii="Times New Roman" w:hAnsi="Times New Roman" w:cs="Times New Roman"/>
          <w:sz w:val="24"/>
          <w:szCs w:val="24"/>
        </w:rPr>
        <w:t>. As mulheres foram tratadasde julho de 2020 a julho de 2021</w:t>
      </w:r>
      <w:r w:rsidR="0012185D" w:rsidRPr="006E19BE">
        <w:rPr>
          <w:rFonts w:ascii="Times New Roman" w:hAnsi="Times New Roman" w:cs="Times New Roman"/>
          <w:sz w:val="24"/>
          <w:szCs w:val="24"/>
        </w:rPr>
        <w:t>, com seguimento até o mês de janeiro de 2021 (06 meses) e julho de 2021 (12 meses</w:t>
      </w:r>
      <w:r w:rsidR="00611FC5" w:rsidRPr="006E19BE">
        <w:rPr>
          <w:rFonts w:ascii="Times New Roman" w:hAnsi="Times New Roman" w:cs="Times New Roman"/>
          <w:sz w:val="24"/>
          <w:szCs w:val="24"/>
        </w:rPr>
        <w:t>).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 A avaliação da recidiva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foi feita pelo resultado da </w:t>
      </w:r>
      <w:r w:rsidR="00E542B5" w:rsidRPr="006E19BE">
        <w:rPr>
          <w:rFonts w:ascii="Times New Roman" w:hAnsi="Times New Roman" w:cs="Times New Roman"/>
          <w:sz w:val="24"/>
          <w:szCs w:val="24"/>
        </w:rPr>
        <w:t>citol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ogia e </w:t>
      </w:r>
      <w:proofErr w:type="spellStart"/>
      <w:r w:rsidR="00611FC5" w:rsidRPr="006E19BE">
        <w:rPr>
          <w:rFonts w:ascii="Times New Roman" w:hAnsi="Times New Roman" w:cs="Times New Roman"/>
          <w:sz w:val="24"/>
          <w:szCs w:val="24"/>
        </w:rPr>
        <w:t>colposcopia</w:t>
      </w:r>
      <w:proofErr w:type="spellEnd"/>
      <w:r w:rsidR="006C27DD">
        <w:rPr>
          <w:rFonts w:ascii="Times New Roman" w:hAnsi="Times New Roman" w:cs="Times New Roman"/>
          <w:sz w:val="24"/>
          <w:szCs w:val="24"/>
        </w:rPr>
        <w:t xml:space="preserve"> 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após </w:t>
      </w:r>
      <w:proofErr w:type="gramStart"/>
      <w:r w:rsidR="00E542B5" w:rsidRPr="006E19B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E542B5" w:rsidRPr="006E19BE">
        <w:rPr>
          <w:rFonts w:ascii="Times New Roman" w:hAnsi="Times New Roman" w:cs="Times New Roman"/>
          <w:sz w:val="24"/>
          <w:szCs w:val="24"/>
        </w:rPr>
        <w:t xml:space="preserve"> meses da </w:t>
      </w:r>
      <w:r w:rsidR="00611FC5" w:rsidRPr="006E19BE">
        <w:rPr>
          <w:rFonts w:ascii="Times New Roman" w:hAnsi="Times New Roman" w:cs="Times New Roman"/>
          <w:sz w:val="24"/>
          <w:szCs w:val="24"/>
        </w:rPr>
        <w:t>EZT</w:t>
      </w:r>
      <w:r w:rsidR="00E542B5" w:rsidRPr="006E19BE">
        <w:rPr>
          <w:rFonts w:ascii="Times New Roman" w:hAnsi="Times New Roman" w:cs="Times New Roman"/>
          <w:sz w:val="24"/>
          <w:szCs w:val="24"/>
        </w:rPr>
        <w:t xml:space="preserve">. </w:t>
      </w:r>
      <w:r w:rsidR="0060102A" w:rsidRPr="006E19BE">
        <w:rPr>
          <w:rFonts w:ascii="Times New Roman" w:hAnsi="Times New Roman" w:cs="Times New Roman"/>
          <w:sz w:val="24"/>
          <w:szCs w:val="24"/>
        </w:rPr>
        <w:t>Resultados: Verificou-se que</w:t>
      </w:r>
      <w:r w:rsidR="00975C20" w:rsidRPr="006E19BE">
        <w:rPr>
          <w:rFonts w:ascii="Times New Roman" w:hAnsi="Times New Roman" w:cs="Times New Roman"/>
          <w:sz w:val="24"/>
          <w:szCs w:val="24"/>
        </w:rPr>
        <w:t xml:space="preserve">, das 131 mulheres submetidas à cirurgia de alta freqüência, 75 (57%) </w:t>
      </w:r>
      <w:r w:rsidR="00611FC5" w:rsidRPr="006E19BE">
        <w:rPr>
          <w:rFonts w:ascii="Times New Roman" w:hAnsi="Times New Roman" w:cs="Times New Roman"/>
          <w:sz w:val="24"/>
          <w:szCs w:val="24"/>
        </w:rPr>
        <w:t>apresentaram ambas as m</w:t>
      </w:r>
      <w:r w:rsidR="00975C20" w:rsidRPr="006E19BE">
        <w:rPr>
          <w:rFonts w:ascii="Times New Roman" w:hAnsi="Times New Roman" w:cs="Times New Roman"/>
          <w:sz w:val="24"/>
          <w:szCs w:val="24"/>
        </w:rPr>
        <w:t>argens livres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na avaliação histológica e </w:t>
      </w:r>
      <w:r w:rsidR="00975C20" w:rsidRPr="006E19BE">
        <w:rPr>
          <w:rFonts w:ascii="Times New Roman" w:hAnsi="Times New Roman" w:cs="Times New Roman"/>
          <w:sz w:val="24"/>
          <w:szCs w:val="24"/>
        </w:rPr>
        <w:t>56 (4</w:t>
      </w:r>
      <w:r w:rsidR="00611FC5" w:rsidRPr="006E19BE">
        <w:rPr>
          <w:rFonts w:ascii="Times New Roman" w:hAnsi="Times New Roman" w:cs="Times New Roman"/>
          <w:sz w:val="24"/>
          <w:szCs w:val="24"/>
        </w:rPr>
        <w:t>3%</w:t>
      </w:r>
      <w:r w:rsidR="00975C20" w:rsidRPr="006E19BE">
        <w:rPr>
          <w:rFonts w:ascii="Times New Roman" w:hAnsi="Times New Roman" w:cs="Times New Roman"/>
          <w:sz w:val="24"/>
          <w:szCs w:val="24"/>
        </w:rPr>
        <w:t xml:space="preserve">)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apresentaram margens </w:t>
      </w:r>
      <w:proofErr w:type="spellStart"/>
      <w:r w:rsidR="00611FC5" w:rsidRPr="006E19BE">
        <w:rPr>
          <w:rFonts w:ascii="Times New Roman" w:hAnsi="Times New Roman" w:cs="Times New Roman"/>
          <w:sz w:val="24"/>
          <w:szCs w:val="24"/>
        </w:rPr>
        <w:t>ectocervicais</w:t>
      </w:r>
      <w:proofErr w:type="spellEnd"/>
      <w:r w:rsidR="00611FC5" w:rsidRPr="006E1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FC5" w:rsidRPr="006E19BE">
        <w:rPr>
          <w:rFonts w:ascii="Times New Roman" w:hAnsi="Times New Roman" w:cs="Times New Roman"/>
          <w:sz w:val="24"/>
          <w:szCs w:val="24"/>
        </w:rPr>
        <w:t>endocervicais</w:t>
      </w:r>
      <w:proofErr w:type="spellEnd"/>
      <w:r w:rsidR="00611FC5" w:rsidRPr="006E19BE">
        <w:rPr>
          <w:rFonts w:ascii="Times New Roman" w:hAnsi="Times New Roman" w:cs="Times New Roman"/>
          <w:sz w:val="24"/>
          <w:szCs w:val="24"/>
        </w:rPr>
        <w:t xml:space="preserve"> ou ambas </w:t>
      </w:r>
      <w:r w:rsidR="00975C20" w:rsidRPr="006E19BE">
        <w:rPr>
          <w:rFonts w:ascii="Times New Roman" w:hAnsi="Times New Roman" w:cs="Times New Roman"/>
          <w:sz w:val="24"/>
          <w:szCs w:val="24"/>
        </w:rPr>
        <w:t>comprometidas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por algum grau de lesão </w:t>
      </w:r>
      <w:proofErr w:type="spellStart"/>
      <w:r w:rsidR="00611FC5" w:rsidRPr="006E19BE">
        <w:rPr>
          <w:rFonts w:ascii="Times New Roman" w:hAnsi="Times New Roman" w:cs="Times New Roman"/>
          <w:sz w:val="24"/>
          <w:szCs w:val="24"/>
        </w:rPr>
        <w:t>intraepitelial</w:t>
      </w:r>
      <w:proofErr w:type="spellEnd"/>
      <w:r w:rsidR="00975C20" w:rsidRPr="006E19BE">
        <w:rPr>
          <w:rFonts w:ascii="Times New Roman" w:hAnsi="Times New Roman" w:cs="Times New Roman"/>
          <w:sz w:val="24"/>
          <w:szCs w:val="24"/>
        </w:rPr>
        <w:t>. D</w:t>
      </w:r>
      <w:r w:rsidR="00611FC5" w:rsidRPr="006E19BE">
        <w:rPr>
          <w:rFonts w:ascii="Times New Roman" w:hAnsi="Times New Roman" w:cs="Times New Roman"/>
          <w:sz w:val="24"/>
          <w:szCs w:val="24"/>
        </w:rPr>
        <w:t>essas</w:t>
      </w:r>
      <w:r w:rsidR="00975C20" w:rsidRPr="006E19BE">
        <w:rPr>
          <w:rFonts w:ascii="Times New Roman" w:hAnsi="Times New Roman" w:cs="Times New Roman"/>
          <w:sz w:val="24"/>
          <w:szCs w:val="24"/>
        </w:rPr>
        <w:t xml:space="preserve"> 56 mulheres </w:t>
      </w:r>
      <w:r w:rsidR="00611FC5" w:rsidRPr="006E19BE">
        <w:rPr>
          <w:rFonts w:ascii="Times New Roman" w:hAnsi="Times New Roman" w:cs="Times New Roman"/>
          <w:sz w:val="24"/>
          <w:szCs w:val="24"/>
        </w:rPr>
        <w:t>com alguma</w:t>
      </w:r>
      <w:r w:rsidR="00975C20" w:rsidRPr="006E19BE">
        <w:rPr>
          <w:rFonts w:ascii="Times New Roman" w:hAnsi="Times New Roman" w:cs="Times New Roman"/>
          <w:sz w:val="24"/>
          <w:szCs w:val="24"/>
        </w:rPr>
        <w:t xml:space="preserve"> marge</w:t>
      </w:r>
      <w:r w:rsidR="00611FC5" w:rsidRPr="006E19BE">
        <w:rPr>
          <w:rFonts w:ascii="Times New Roman" w:hAnsi="Times New Roman" w:cs="Times New Roman"/>
          <w:sz w:val="24"/>
          <w:szCs w:val="24"/>
        </w:rPr>
        <w:t>m</w:t>
      </w:r>
      <w:r w:rsidR="00975C20" w:rsidRPr="006E19BE">
        <w:rPr>
          <w:rFonts w:ascii="Times New Roman" w:hAnsi="Times New Roman" w:cs="Times New Roman"/>
          <w:sz w:val="24"/>
          <w:szCs w:val="24"/>
        </w:rPr>
        <w:t xml:space="preserve"> comprometida, </w:t>
      </w:r>
      <w:proofErr w:type="gramStart"/>
      <w:r w:rsidR="00975C20" w:rsidRPr="006E19B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75C20" w:rsidRPr="006E19BE">
        <w:rPr>
          <w:rFonts w:ascii="Times New Roman" w:hAnsi="Times New Roman" w:cs="Times New Roman"/>
          <w:sz w:val="24"/>
          <w:szCs w:val="24"/>
        </w:rPr>
        <w:t xml:space="preserve"> (9%)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tiveram </w:t>
      </w:r>
      <w:r w:rsidR="00AD16CD" w:rsidRPr="006E19BE">
        <w:rPr>
          <w:rFonts w:ascii="Times New Roman" w:hAnsi="Times New Roman" w:cs="Times New Roman"/>
          <w:sz w:val="24"/>
          <w:szCs w:val="24"/>
        </w:rPr>
        <w:t>alterações citológicas compatíveis com LIAG na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avaliação em 6 meses pós tratamento, sendo submetidas </w:t>
      </w:r>
      <w:r w:rsidR="00AD16CD" w:rsidRPr="006E19BE">
        <w:rPr>
          <w:rFonts w:ascii="Times New Roman" w:hAnsi="Times New Roman" w:cs="Times New Roman"/>
          <w:sz w:val="24"/>
          <w:szCs w:val="24"/>
        </w:rPr>
        <w:t>a nova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EZT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; 27 (48%) mostraram ASC-US ou lesão </w:t>
      </w:r>
      <w:proofErr w:type="spellStart"/>
      <w:r w:rsidR="00AD16CD" w:rsidRPr="006E19BE">
        <w:rPr>
          <w:rFonts w:ascii="Times New Roman" w:hAnsi="Times New Roman" w:cs="Times New Roman"/>
          <w:sz w:val="24"/>
          <w:szCs w:val="24"/>
        </w:rPr>
        <w:t>intraepiteli</w:t>
      </w:r>
      <w:r w:rsidR="006C27DD">
        <w:rPr>
          <w:rFonts w:ascii="Times New Roman" w:hAnsi="Times New Roman" w:cs="Times New Roman"/>
          <w:sz w:val="24"/>
          <w:szCs w:val="24"/>
        </w:rPr>
        <w:t>a</w:t>
      </w:r>
      <w:r w:rsidR="00AD16CD" w:rsidRPr="006E19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D16CD" w:rsidRPr="006E19BE">
        <w:rPr>
          <w:rFonts w:ascii="Times New Roman" w:hAnsi="Times New Roman" w:cs="Times New Roman"/>
          <w:sz w:val="24"/>
          <w:szCs w:val="24"/>
        </w:rPr>
        <w:t xml:space="preserve"> de baixo grau (LIBG) na citologia em 6 meses com resultado da citologia de 12 meses negativo para lesão </w:t>
      </w:r>
      <w:proofErr w:type="spellStart"/>
      <w:r w:rsidR="00AD16CD" w:rsidRPr="006E19BE">
        <w:rPr>
          <w:rFonts w:ascii="Times New Roman" w:hAnsi="Times New Roman" w:cs="Times New Roman"/>
          <w:sz w:val="24"/>
          <w:szCs w:val="24"/>
        </w:rPr>
        <w:t>intraepitelial</w:t>
      </w:r>
      <w:proofErr w:type="spellEnd"/>
      <w:r w:rsidR="00AD16CD" w:rsidRPr="006E19BE">
        <w:rPr>
          <w:rFonts w:ascii="Times New Roman" w:hAnsi="Times New Roman" w:cs="Times New Roman"/>
          <w:sz w:val="24"/>
          <w:szCs w:val="24"/>
        </w:rPr>
        <w:t xml:space="preserve"> ou malignidade </w:t>
      </w:r>
      <w:r w:rsidR="0012185D" w:rsidRPr="006E19BE">
        <w:rPr>
          <w:rFonts w:ascii="Times New Roman" w:hAnsi="Times New Roman" w:cs="Times New Roman"/>
          <w:sz w:val="24"/>
          <w:szCs w:val="24"/>
        </w:rPr>
        <w:t>(NILM), e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 24</w:t>
      </w:r>
      <w:r w:rsidR="00110068" w:rsidRPr="006E19BE">
        <w:rPr>
          <w:rFonts w:ascii="Times New Roman" w:hAnsi="Times New Roman" w:cs="Times New Roman"/>
          <w:sz w:val="24"/>
          <w:szCs w:val="24"/>
        </w:rPr>
        <w:t>(4</w:t>
      </w:r>
      <w:r w:rsidR="00611FC5" w:rsidRPr="006E19BE">
        <w:rPr>
          <w:rFonts w:ascii="Times New Roman" w:hAnsi="Times New Roman" w:cs="Times New Roman"/>
          <w:sz w:val="24"/>
          <w:szCs w:val="24"/>
        </w:rPr>
        <w:t>3</w:t>
      </w:r>
      <w:r w:rsidR="00110068" w:rsidRPr="006E19BE">
        <w:rPr>
          <w:rFonts w:ascii="Times New Roman" w:hAnsi="Times New Roman" w:cs="Times New Roman"/>
          <w:sz w:val="24"/>
          <w:szCs w:val="24"/>
        </w:rPr>
        <w:t xml:space="preserve">%) 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mulheres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apresentaram 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resultado de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citologia 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NILM 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em 6 e 12 meses </w:t>
      </w:r>
      <w:r w:rsidR="00AD16CD" w:rsidRPr="006E19BE">
        <w:rPr>
          <w:rFonts w:ascii="Times New Roman" w:hAnsi="Times New Roman" w:cs="Times New Roman"/>
          <w:sz w:val="24"/>
          <w:szCs w:val="24"/>
        </w:rPr>
        <w:t>pós</w:t>
      </w:r>
      <w:r w:rsidR="00611FC5" w:rsidRPr="006E19BE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110068" w:rsidRPr="006E19BE">
        <w:rPr>
          <w:rFonts w:ascii="Times New Roman" w:hAnsi="Times New Roman" w:cs="Times New Roman"/>
          <w:sz w:val="24"/>
          <w:szCs w:val="24"/>
        </w:rPr>
        <w:t>.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 Entre as 75 mulheres com ambas as margens</w:t>
      </w:r>
      <w:r w:rsidR="00110068" w:rsidRPr="006E19BE">
        <w:rPr>
          <w:rFonts w:ascii="Times New Roman" w:hAnsi="Times New Roman" w:cs="Times New Roman"/>
          <w:sz w:val="24"/>
          <w:szCs w:val="24"/>
        </w:rPr>
        <w:t xml:space="preserve"> livres, </w:t>
      </w:r>
      <w:proofErr w:type="gramStart"/>
      <w:r w:rsidR="00AD16CD" w:rsidRPr="006E19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10068" w:rsidRPr="006E19BE">
        <w:rPr>
          <w:rFonts w:ascii="Times New Roman" w:hAnsi="Times New Roman" w:cs="Times New Roman"/>
          <w:sz w:val="24"/>
          <w:szCs w:val="24"/>
        </w:rPr>
        <w:t xml:space="preserve"> (1%) 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apresentou persistência/recidiva de LIAG em 6 meses sendo submetida a nova EZT; 19 (25%) apresentaram ASC-US/LIBG na citologia em 6 meses com </w:t>
      </w:r>
      <w:r w:rsidR="00AC0270" w:rsidRPr="006E19BE">
        <w:rPr>
          <w:rFonts w:ascii="Times New Roman" w:hAnsi="Times New Roman" w:cs="Times New Roman"/>
          <w:sz w:val="24"/>
          <w:szCs w:val="24"/>
        </w:rPr>
        <w:t>NILM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 em 12 meses e </w:t>
      </w:r>
      <w:r w:rsidR="00110068" w:rsidRPr="006E19BE">
        <w:rPr>
          <w:rFonts w:ascii="Times New Roman" w:hAnsi="Times New Roman" w:cs="Times New Roman"/>
          <w:sz w:val="24"/>
          <w:szCs w:val="24"/>
        </w:rPr>
        <w:t xml:space="preserve">55 (73%) </w:t>
      </w:r>
      <w:r w:rsidR="00AD16CD" w:rsidRPr="006E19BE">
        <w:rPr>
          <w:rFonts w:ascii="Times New Roman" w:hAnsi="Times New Roman" w:cs="Times New Roman"/>
          <w:sz w:val="24"/>
          <w:szCs w:val="24"/>
        </w:rPr>
        <w:t xml:space="preserve">mulheres tiveram citologia de 6 e 12 meses </w:t>
      </w:r>
      <w:r w:rsidR="00AC0270" w:rsidRPr="006E19BE">
        <w:rPr>
          <w:rFonts w:ascii="Times New Roman" w:hAnsi="Times New Roman" w:cs="Times New Roman"/>
          <w:sz w:val="24"/>
          <w:szCs w:val="24"/>
        </w:rPr>
        <w:t>com resultado NILM</w:t>
      </w:r>
      <w:bookmarkStart w:id="0" w:name="_GoBack"/>
      <w:bookmarkEnd w:id="0"/>
      <w:r w:rsidR="00110068" w:rsidRPr="006E19BE">
        <w:rPr>
          <w:rFonts w:ascii="Times New Roman" w:hAnsi="Times New Roman" w:cs="Times New Roman"/>
          <w:sz w:val="24"/>
          <w:szCs w:val="24"/>
        </w:rPr>
        <w:t xml:space="preserve">. </w:t>
      </w:r>
      <w:r w:rsidR="0060102A" w:rsidRPr="006E19BE">
        <w:rPr>
          <w:rFonts w:ascii="Times New Roman" w:hAnsi="Times New Roman" w:cs="Times New Roman"/>
          <w:sz w:val="24"/>
          <w:szCs w:val="24"/>
        </w:rPr>
        <w:t>Conclusões</w:t>
      </w:r>
      <w:r w:rsidR="00975C20" w:rsidRPr="006E19BE">
        <w:rPr>
          <w:rFonts w:ascii="Times New Roman" w:hAnsi="Times New Roman" w:cs="Times New Roman"/>
          <w:sz w:val="24"/>
          <w:szCs w:val="24"/>
        </w:rPr>
        <w:t>:</w:t>
      </w:r>
      <w:r w:rsidR="0012185D" w:rsidRPr="006E19BE">
        <w:rPr>
          <w:rFonts w:ascii="Times New Roman" w:hAnsi="Times New Roman" w:cs="Times New Roman"/>
          <w:sz w:val="24"/>
          <w:szCs w:val="24"/>
        </w:rPr>
        <w:t xml:space="preserve"> A margem comprometida está relacionada com maior taxa de recidiva. As citologias do grupo de margens livres com resultado ASC-US, de 06 meses, se normalizavam em 12 meses. </w:t>
      </w:r>
    </w:p>
    <w:p w:rsidR="00E542B5" w:rsidRPr="006E19BE" w:rsidRDefault="00E542B5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Pr="006E19BE" w:rsidRDefault="00932A7E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Pr="006E19BE" w:rsidRDefault="0060102A" w:rsidP="006E19BE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9BE">
        <w:rPr>
          <w:rFonts w:ascii="Times New Roman" w:hAnsi="Times New Roman" w:cs="Times New Roman"/>
          <w:sz w:val="24"/>
          <w:szCs w:val="24"/>
        </w:rPr>
        <w:t>Palavras-chave</w:t>
      </w:r>
      <w:proofErr w:type="spellEnd"/>
      <w:r w:rsidRPr="006E19BE">
        <w:rPr>
          <w:rFonts w:ascii="Times New Roman" w:hAnsi="Times New Roman" w:cs="Times New Roman"/>
          <w:sz w:val="24"/>
          <w:szCs w:val="24"/>
        </w:rPr>
        <w:t xml:space="preserve">: </w:t>
      </w:r>
      <w:r w:rsidR="00975C20" w:rsidRPr="006E19BE">
        <w:rPr>
          <w:rFonts w:ascii="Times New Roman" w:hAnsi="Times New Roman" w:cs="Times New Roman"/>
          <w:sz w:val="24"/>
          <w:szCs w:val="24"/>
        </w:rPr>
        <w:t>Neoplas</w:t>
      </w:r>
      <w:r w:rsidR="006C27DD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6C27DD">
        <w:rPr>
          <w:rFonts w:ascii="Times New Roman" w:hAnsi="Times New Roman" w:cs="Times New Roman"/>
          <w:sz w:val="24"/>
          <w:szCs w:val="24"/>
        </w:rPr>
        <w:t>Intraepitelial</w:t>
      </w:r>
      <w:proofErr w:type="spellEnd"/>
      <w:r w:rsidR="006C27DD">
        <w:rPr>
          <w:rFonts w:ascii="Times New Roman" w:hAnsi="Times New Roman" w:cs="Times New Roman"/>
          <w:sz w:val="24"/>
          <w:szCs w:val="24"/>
        </w:rPr>
        <w:t xml:space="preserve"> Cervical,</w:t>
      </w:r>
      <w:r w:rsidRPr="006E19BE">
        <w:rPr>
          <w:rFonts w:ascii="Times New Roman" w:hAnsi="Times New Roman" w:cs="Times New Roman"/>
          <w:sz w:val="24"/>
          <w:szCs w:val="24"/>
        </w:rPr>
        <w:t xml:space="preserve"> </w:t>
      </w:r>
      <w:r w:rsidR="006C27DD">
        <w:rPr>
          <w:rFonts w:ascii="Times New Roman" w:hAnsi="Times New Roman" w:cs="Times New Roman"/>
          <w:sz w:val="24"/>
          <w:szCs w:val="24"/>
        </w:rPr>
        <w:t xml:space="preserve">Cirurgia Ambulatorial, Recidiva. </w:t>
      </w:r>
    </w:p>
    <w:sectPr w:rsidR="00932A7E" w:rsidRPr="006E19BE" w:rsidSect="006E19BE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2A7E"/>
    <w:rsid w:val="00110068"/>
    <w:rsid w:val="0012185D"/>
    <w:rsid w:val="002B11FF"/>
    <w:rsid w:val="002E0042"/>
    <w:rsid w:val="003B30F0"/>
    <w:rsid w:val="0051479A"/>
    <w:rsid w:val="0060102A"/>
    <w:rsid w:val="00611FC5"/>
    <w:rsid w:val="006C27DD"/>
    <w:rsid w:val="006E19BE"/>
    <w:rsid w:val="006E67F4"/>
    <w:rsid w:val="0072728F"/>
    <w:rsid w:val="007D22B2"/>
    <w:rsid w:val="00853E76"/>
    <w:rsid w:val="00932A7E"/>
    <w:rsid w:val="00975C20"/>
    <w:rsid w:val="009B04B1"/>
    <w:rsid w:val="00A5635E"/>
    <w:rsid w:val="00AC0270"/>
    <w:rsid w:val="00AD16CD"/>
    <w:rsid w:val="00B33821"/>
    <w:rsid w:val="00E5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42"/>
  </w:style>
  <w:style w:type="paragraph" w:styleId="Ttulo1">
    <w:name w:val="heading 1"/>
    <w:basedOn w:val="Normal1"/>
    <w:next w:val="Normal1"/>
    <w:rsid w:val="00932A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32A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32A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32A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32A7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32A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2A7E"/>
  </w:style>
  <w:style w:type="table" w:customStyle="1" w:styleId="TableNormal">
    <w:name w:val="Table Normal"/>
    <w:rsid w:val="00932A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2A7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932A7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IZANEA</dc:creator>
  <cp:lastModifiedBy>IZANEA</cp:lastModifiedBy>
  <cp:revision>2</cp:revision>
  <dcterms:created xsi:type="dcterms:W3CDTF">2022-08-18T22:25:00Z</dcterms:created>
  <dcterms:modified xsi:type="dcterms:W3CDTF">2022-08-18T22:25:00Z</dcterms:modified>
</cp:coreProperties>
</file>