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FORMAÇÃO ONLINE DE LEDORES E TRANSCRITORES: AVALIAÇÃO DOS CURSISTAS</w:t>
      </w:r>
    </w:p>
    <w:p w:rsidR="00000000" w:rsidDel="00000000" w:rsidP="00000000" w:rsidRDefault="00000000" w:rsidRPr="00000000" w14:paraId="00000002">
      <w:pPr>
        <w:jc w:val="center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Luciana Tavares Perdigão</w:t>
      </w:r>
      <w:r w:rsidDel="00000000" w:rsidR="00000000" w:rsidRPr="00000000">
        <w:rPr>
          <w:sz w:val="20"/>
          <w:szCs w:val="20"/>
          <w:rtl w:val="0"/>
        </w:rPr>
        <w:t xml:space="preserve">, Fundação Cecierj (doutora),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lperdigao@cecierj.edu.br</w:t>
        </w:r>
      </w:hyperlink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sz w:val="20"/>
          <w:szCs w:val="20"/>
          <w:rtl w:val="0"/>
        </w:rPr>
        <w:t xml:space="preserve">Alessandro Câmara de Souza, Universidade Federal Fluminense (doutorando),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camarasouza@gmail.com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pStyle w:val="Heading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PALAVRAS-CHAVE: Ledor, Transcritor, Formação, EaD, Acessibilidade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INTRODUÇÃO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A atuação de ledores e transcritores é central para garantir o direito à acessibilidade de pessoas com deficiência visual (PcDV), especialmente no contexto educacional. Estudos recentes apontam lacunas críticas nessa formação, como carga horária reduzida, ausência de regulamentação legal e escassez de práticas por área de conhecimento (AGUIRRE, 2019; PEREIRA; MARTINS, 2021). Em resposta a esse cenário, a Fundação Cecierj, por meio da Diretoria de Extensão e do Programa de Formação Continuada de Professores, ofertou em 2025.1 a disciplina “Ledor e Transcritor”, com 30 horas de carga horária, voltada à Educação Especial e Inclusiva. Este trabalho apresenta os resultados da avaliação aplicada aos cursistas ao final da formação. </w:t>
      </w:r>
    </w:p>
    <w:p w:rsidR="00000000" w:rsidDel="00000000" w:rsidP="00000000" w:rsidRDefault="00000000" w:rsidRPr="00000000" w14:paraId="00000007">
      <w:pPr>
        <w:pStyle w:val="Heading1"/>
        <w:rPr/>
      </w:pPr>
      <w:r w:rsidDel="00000000" w:rsidR="00000000" w:rsidRPr="00000000">
        <w:rPr>
          <w:rtl w:val="0"/>
        </w:rPr>
        <w:t xml:space="preserve">METODOLOGIA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Foi utilizado um questionário online, aplicado via Moodle, para avaliar a percepção dos cursistas sobre a formação recebida. A amostra contou com 14 participantes. As perguntas abordaram aspectos como a sensação de preparo, adequação da carga horária e sugestões para melhoria do curso. As respostas abertas foram analisadas por categorização temática qualitativa.</w:t>
      </w:r>
    </w:p>
    <w:p w:rsidR="00000000" w:rsidDel="00000000" w:rsidP="00000000" w:rsidRDefault="00000000" w:rsidRPr="00000000" w14:paraId="00000009">
      <w:pPr>
        <w:pStyle w:val="Heading1"/>
        <w:rPr/>
      </w:pPr>
      <w:r w:rsidDel="00000000" w:rsidR="00000000" w:rsidRPr="00000000">
        <w:rPr>
          <w:rtl w:val="0"/>
        </w:rPr>
        <w:t xml:space="preserve">RESULTADOS E DISCUSSÃO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Dos 14 participantes que responderam ao questionário de avaliação, 12 (86%) afirmaram sentir-se preparados para atuar como ledores e transcritores após a formação, enquanto 2 (14%) declararam ainda não se considerarem plenamente aptos. Embora o índice de aprovação seja alto, a existência de uma parcela que não se sente segura aponta para limitações que merecem atenção, especialmente no que diz respeito à profundidade do conteúdo e à carga horária do curso.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Em relação à carga horária ideal para uma formação de qualidade, 9 cursistas (64%) consideraram que seriam necessárias mais de 30 horas, enquanto 5 (36%) julgaram que as 30 horas oferecidas foram suficientes. Esse resultado dialoga com os achados da literatura, que destacam a necessidade de práticas mais extensas, com simulações por área de conhecimento e aprofundamento técnico, como leitura de gráficos, fórmulas e descrição de imagens (AGUIRRE, 2019; JUNQUEIRA et al., 2017; ADERALDO et al., 2020).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Nas respostas abertas, os participantes elogiaram a estrutura do curso, o material didático e a proposta pedagógica. No entanto, muitas das sugestões de melhoria convergiram para a ampliação da carga horária, inclusão de feedbacks mais detalhados nas atividades e a criação de espaços de interação, como fóruns ativos ou encontros síncronos com os tutores. Essas observações reforçam o que apontam Leria et al. (2023) e Pereira e Martins (2021): a formação de ledores e transcritores demanda não apenas conteúdo, mas também escuta, prática e acompanhamento qualificado.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A avaliação evidencia, portanto, que o curso ofertado cumpre um papel relevante na formação inicial desses profissionais, mas que ainda há desafios estruturais a serem enfrentados. A diferença entre os que se sentiram plenamente preparados e aqueles que não, bem como a maioria indicando a necessidade de maior carga horária, reforça a importância de investir em formações continuadas, práticas supervisionadas e diretrizes nacionais que estabeleçam padrões mínimos para a atuação do ledor e do transcritor no campo da educação inclusiva.</w:t>
      </w:r>
    </w:p>
    <w:p w:rsidR="00000000" w:rsidDel="00000000" w:rsidP="00000000" w:rsidRDefault="00000000" w:rsidRPr="00000000" w14:paraId="00000011">
      <w:pPr>
        <w:pStyle w:val="Heading1"/>
        <w:rPr/>
      </w:pPr>
      <w:r w:rsidDel="00000000" w:rsidR="00000000" w:rsidRPr="00000000">
        <w:rPr>
          <w:rtl w:val="0"/>
        </w:rPr>
        <w:t xml:space="preserve">CONSIDERAÇÕES FINAIS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Os resultados da avaliação da disciplina indicam que a formação ofertada contribuiu significativamente para a preparação dos cursistas, mas também revelam pontos de aprimoramento que dialogam diretamente com as críticas identificadas na revisão de literatura. A ampliação da carga horária, o aprofundamento prático por áreas específicas e a regulamentação normativa são medidas urgentes para fortalecer a atuação dos ledores e transcritores. A experiência analisada reforça a importância de investir em políticas públicas de formação continuada que combinem fundamentos pedagógicos e domínio técnico, promovendo uma acessibilidade que seja, de fato, sinônimo de equidade.</w:t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tl w:val="0"/>
        </w:rPr>
        <w:t xml:space="preserve">REFERÊNCIAS BIBLIOGRÁFICAS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AGUIRRE, D. Á. As capacitações de ledores e transcritores para inclusão e acesso em processos seletivos à educação superior: a percepção dos egressos. Dissertação (Mestrado) – Universidade Católica de Brasília, 2019.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ADERALDO, A. L. M.; FRANCO, E. A. B.; OLIVEIRA, M. S. C. Introdução à formação de audiodescritores: descrição de imagens em provas do ENEM. Linguagem em (Dis)curso, v. 20, n. 1, p. 99–118, 2020.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JUNQUEIRA, S. R. A.; MARTINS, M. B. G.; LACERDA, C. B. F. Política de acessibilidade e Exame Nacional do Ensino Médio (ENEM). Revista Brasileira de Educação Especial, v. 23, n. 3, p. 457–472, 2017.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LERIA, C. G. et al. Perspectivas de pessoas com deficiência visual sobre a acessibilidade no Exame Nacional do Ensino Médio (ENEM). Revista Educação Especial, v. 36, e84416, 2023.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PEREIRA, M. M.; MARTINS, V. L. A importância do ledor/transcritor como mediador da leitura e da escrita para pessoas com deficiência visual no contexto do ENEM. Educação em Perspectiva, v. 12, p. 128–141, 2021.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RETORTA, M. S. Prova de inglês do ENEM: desafios para candidatos com deficiência visual. PACK Educacional, v. 16, n. 1116, p. 58–74, 2021.</w:t>
      </w:r>
    </w:p>
    <w:sectPr>
      <w:headerReference r:id="rId9" w:type="default"/>
      <w:footerReference r:id="rId10" w:type="default"/>
      <w:pgSz w:h="16838" w:w="11906" w:orient="portrait"/>
      <w:pgMar w:bottom="1417" w:top="1417" w:left="1701" w:right="1701" w:header="1701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2223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-874393</wp:posOffset>
          </wp:positionV>
          <wp:extent cx="7537556" cy="1021080"/>
          <wp:effectExtent b="0" l="0" r="0" t="0"/>
          <wp:wrapSquare wrapText="bothSides" distB="0" distT="0" distL="114300" distR="114300"/>
          <wp:docPr id="87141824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86471" l="0" r="0" t="3689"/>
                  <a:stretch>
                    <a:fillRect/>
                  </a:stretch>
                </pic:blipFill>
                <pic:spPr>
                  <a:xfrm>
                    <a:off x="0" y="0"/>
                    <a:ext cx="7537556" cy="10210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widowControl w:val="1"/>
      <w:spacing w:after="80" w:lineRule="auto"/>
    </w:pPr>
    <w:rPr>
      <w:rFonts w:ascii="Play" w:cs="Play" w:eastAsia="Play" w:hAnsi="Play"/>
      <w:sz w:val="56"/>
      <w:szCs w:val="5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884EFD"/>
    <w:pPr>
      <w:keepNext w:val="1"/>
      <w:keepLines w:val="1"/>
      <w:widowControl w:val="1"/>
      <w:autoSpaceDE w:val="1"/>
      <w:autoSpaceDN w:val="1"/>
      <w:spacing w:before="40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  <w:szCs w:val="24"/>
      <w:lang w:bidi="ar-SA" w:eastAsia="en-US" w:val="pt-BR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884EFD"/>
    <w:pPr>
      <w:keepNext w:val="1"/>
      <w:keepLines w:val="1"/>
      <w:widowControl w:val="1"/>
      <w:autoSpaceDE w:val="1"/>
      <w:autoSpaceDN w:val="1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  <w:szCs w:val="24"/>
      <w:lang w:bidi="ar-SA" w:eastAsia="en-US" w:val="pt-BR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884EFD"/>
    <w:pPr>
      <w:keepNext w:val="1"/>
      <w:keepLines w:val="1"/>
      <w:widowControl w:val="1"/>
      <w:autoSpaceDE w:val="1"/>
      <w:autoSpaceDN w:val="1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  <w:szCs w:val="24"/>
      <w:lang w:bidi="ar-SA" w:eastAsia="en-US" w:val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1"/>
    <w:rsid w:val="00884EF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884EF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884EF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884EF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884EFD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884EFD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884EFD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884EFD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884EFD"/>
    <w:rPr>
      <w:rFonts w:cstheme="majorBidi" w:eastAsiaTheme="majorEastAsia"/>
      <w:color w:val="272727" w:themeColor="text1" w:themeTint="0000D8"/>
    </w:rPr>
  </w:style>
  <w:style w:type="character" w:styleId="TtuloChar" w:customStyle="1">
    <w:name w:val="Título Char"/>
    <w:basedOn w:val="Fontepargpadro"/>
    <w:link w:val="Ttulo"/>
    <w:uiPriority w:val="10"/>
    <w:rsid w:val="00884EF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tuloChar" w:customStyle="1">
    <w:name w:val="Subtítulo Char"/>
    <w:basedOn w:val="Fontepargpadro"/>
    <w:link w:val="Subttulo"/>
    <w:uiPriority w:val="11"/>
    <w:rsid w:val="00884EF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884EFD"/>
    <w:pPr>
      <w:widowControl w:val="1"/>
      <w:autoSpaceDE w:val="1"/>
      <w:autoSpaceDN w:val="1"/>
      <w:spacing w:after="160" w:before="160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:szCs w:val="24"/>
      <w:lang w:bidi="ar-SA" w:eastAsia="en-US" w:val="pt-BR"/>
    </w:rPr>
  </w:style>
  <w:style w:type="character" w:styleId="CitaoChar" w:customStyle="1">
    <w:name w:val="Citação Char"/>
    <w:basedOn w:val="Fontepargpadro"/>
    <w:link w:val="Citao"/>
    <w:uiPriority w:val="29"/>
    <w:rsid w:val="00884EFD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884EFD"/>
    <w:pPr>
      <w:widowControl w:val="1"/>
      <w:autoSpaceDE w:val="1"/>
      <w:autoSpaceDN w:val="1"/>
      <w:ind w:left="720"/>
      <w:contextualSpacing w:val="1"/>
    </w:pPr>
    <w:rPr>
      <w:rFonts w:asciiTheme="minorHAnsi" w:cstheme="minorBidi" w:eastAsiaTheme="minorHAnsi" w:hAnsiTheme="minorHAnsi"/>
      <w:kern w:val="2"/>
      <w:szCs w:val="24"/>
      <w:lang w:bidi="ar-SA" w:eastAsia="en-US" w:val="pt-BR"/>
    </w:rPr>
  </w:style>
  <w:style w:type="character" w:styleId="nfaseIntensa">
    <w:name w:val="Intense Emphasis"/>
    <w:basedOn w:val="Fontepargpadro"/>
    <w:uiPriority w:val="21"/>
    <w:qFormat w:val="1"/>
    <w:rsid w:val="00884EFD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884EFD"/>
    <w:pPr>
      <w:widowControl w:val="1"/>
      <w:pBdr>
        <w:top w:color="0f4761" w:space="10" w:sz="4" w:themeColor="accent1" w:themeShade="0000BF" w:val="single"/>
        <w:bottom w:color="0f4761" w:space="10" w:sz="4" w:themeColor="accent1" w:themeShade="0000BF" w:val="single"/>
      </w:pBdr>
      <w:autoSpaceDE w:val="1"/>
      <w:autoSpaceDN w:val="1"/>
      <w:spacing w:after="360" w:before="360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0f4761" w:themeColor="accent1" w:themeShade="0000BF"/>
      <w:kern w:val="2"/>
      <w:szCs w:val="24"/>
      <w:lang w:bidi="ar-SA" w:eastAsia="en-US" w:val="pt-BR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884EFD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884EFD"/>
    <w:rPr>
      <w:b w:val="1"/>
      <w:bCs w:val="1"/>
      <w:smallCaps w:val="1"/>
      <w:color w:val="0f4761" w:themeColor="accent1" w:themeShade="0000BF"/>
      <w:spacing w:val="5"/>
    </w:rPr>
  </w:style>
  <w:style w:type="paragraph" w:styleId="Cabealho">
    <w:name w:val="header"/>
    <w:basedOn w:val="Normal"/>
    <w:link w:val="CabealhoChar"/>
    <w:uiPriority w:val="99"/>
    <w:unhideWhenUsed w:val="1"/>
    <w:rsid w:val="00884EFD"/>
    <w:pPr>
      <w:widowControl w:val="1"/>
      <w:tabs>
        <w:tab w:val="center" w:pos="4252"/>
        <w:tab w:val="right" w:pos="8504"/>
      </w:tabs>
      <w:autoSpaceDE w:val="1"/>
      <w:autoSpaceDN w:val="1"/>
    </w:pPr>
    <w:rPr>
      <w:rFonts w:asciiTheme="minorHAnsi" w:cstheme="minorBidi" w:eastAsiaTheme="minorHAnsi" w:hAnsiTheme="minorHAnsi"/>
      <w:lang w:bidi="ar-SA" w:eastAsia="en-US" w:val="pt-BR"/>
    </w:rPr>
  </w:style>
  <w:style w:type="character" w:styleId="CabealhoChar" w:customStyle="1">
    <w:name w:val="Cabeçalho Char"/>
    <w:basedOn w:val="Fontepargpadro"/>
    <w:link w:val="Cabealho"/>
    <w:uiPriority w:val="99"/>
    <w:rsid w:val="00884EFD"/>
    <w:rPr>
      <w:kern w:val="0"/>
      <w:szCs w:val="22"/>
    </w:rPr>
  </w:style>
  <w:style w:type="paragraph" w:styleId="Rodap">
    <w:name w:val="footer"/>
    <w:basedOn w:val="Normal"/>
    <w:link w:val="RodapChar"/>
    <w:uiPriority w:val="99"/>
    <w:unhideWhenUsed w:val="1"/>
    <w:rsid w:val="00884EFD"/>
    <w:pPr>
      <w:widowControl w:val="1"/>
      <w:tabs>
        <w:tab w:val="center" w:pos="4252"/>
        <w:tab w:val="right" w:pos="8504"/>
      </w:tabs>
      <w:autoSpaceDE w:val="1"/>
      <w:autoSpaceDN w:val="1"/>
    </w:pPr>
    <w:rPr>
      <w:rFonts w:asciiTheme="minorHAnsi" w:cstheme="minorBidi" w:eastAsiaTheme="minorHAnsi" w:hAnsiTheme="minorHAnsi"/>
      <w:lang w:bidi="ar-SA" w:eastAsia="en-US" w:val="pt-BR"/>
    </w:rPr>
  </w:style>
  <w:style w:type="character" w:styleId="RodapChar" w:customStyle="1">
    <w:name w:val="Rodapé Char"/>
    <w:basedOn w:val="Fontepargpadro"/>
    <w:link w:val="Rodap"/>
    <w:uiPriority w:val="99"/>
    <w:rsid w:val="00884EFD"/>
    <w:rPr>
      <w:kern w:val="0"/>
      <w:szCs w:val="22"/>
    </w:rPr>
  </w:style>
  <w:style w:type="paragraph" w:styleId="Subtitle">
    <w:name w:val="Subtitle"/>
    <w:basedOn w:val="Normal"/>
    <w:next w:val="Normal"/>
    <w:pPr>
      <w:widowControl w:val="1"/>
      <w:spacing w:after="160" w:lineRule="auto"/>
    </w:pPr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perdigao@cecierj.edu.br" TargetMode="External"/><Relationship Id="rId8" Type="http://schemas.openxmlformats.org/officeDocument/2006/relationships/hyperlink" Target="mailto:camarasouza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J7Lnyv0ZJ2/ycPDD1W+XM8udqw==">CgMxLjA4AHIhMUNoVHF5eVNxaVlOa29CdWtPeHQ0WlRtTWtzUTZ2ekRB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2025-07-10T17:40:00Z</dcterms:created>
  <dc:creator>Luiz Andrade</dc:creator>
</cp:coreProperties>
</file>