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5CBA3F7" w14:textId="77777777" w:rsidR="003E539B" w:rsidRPr="003E539B" w:rsidRDefault="003E539B" w:rsidP="003E539B">
      <w:pPr>
        <w:spacing w:line="360" w:lineRule="auto"/>
        <w:ind w:firstLine="708"/>
        <w:jc w:val="center"/>
        <w:rPr>
          <w:rFonts w:eastAsia="Times New Roman"/>
          <w:b/>
          <w:bCs/>
          <w:sz w:val="24"/>
          <w:shd w:val="clear" w:color="auto" w:fill="FFFFFF"/>
        </w:rPr>
      </w:pPr>
      <w:r w:rsidRPr="003E539B">
        <w:rPr>
          <w:rFonts w:eastAsia="Times New Roman"/>
          <w:b/>
          <w:bCs/>
          <w:sz w:val="24"/>
          <w:shd w:val="clear" w:color="auto" w:fill="FFFFFF"/>
        </w:rPr>
        <w:t>CÂNCER GÁSTRICO E IMUNOTERAPIA: O PAPEL DA NUTRIÇÃO E MICROBIOTA HUMANA</w:t>
      </w:r>
    </w:p>
    <w:p w14:paraId="2CB6A081" w14:textId="77777777" w:rsidR="00DB1935" w:rsidRDefault="00DB1935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14:paraId="271E8EAA" w14:textId="39214536" w:rsidR="004071DD" w:rsidRPr="004071DD" w:rsidRDefault="00C208F6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Késia</w:t>
      </w:r>
      <w:r w:rsidR="00FC36FC">
        <w:rPr>
          <w:rFonts w:eastAsia="Times New Roman"/>
          <w:sz w:val="24"/>
          <w:szCs w:val="24"/>
        </w:rPr>
        <w:t xml:space="preserve"> de Oliveira Araújo</w:t>
      </w:r>
      <w:r w:rsidR="004071DD" w:rsidRPr="004071DD">
        <w:rPr>
          <w:rFonts w:eastAsia="Times New Roman"/>
          <w:sz w:val="24"/>
          <w:szCs w:val="24"/>
        </w:rPr>
        <w:t>:</w:t>
      </w:r>
      <w:r w:rsidR="002577B6">
        <w:rPr>
          <w:rFonts w:eastAsia="Times New Roman"/>
          <w:sz w:val="24"/>
          <w:szCs w:val="24"/>
        </w:rPr>
        <w:t>¹</w:t>
      </w:r>
    </w:p>
    <w:p w14:paraId="6F219C3B" w14:textId="5CB272AD" w:rsidR="004071DD" w:rsidRPr="004071DD" w:rsidRDefault="00C208F6" w:rsidP="004071D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Fernanda</w:t>
      </w:r>
      <w:r w:rsidR="00FC36FC">
        <w:rPr>
          <w:rFonts w:eastAsia="Times New Roman"/>
          <w:sz w:val="24"/>
          <w:szCs w:val="24"/>
        </w:rPr>
        <w:t xml:space="preserve"> de Sousa Fortes</w:t>
      </w:r>
      <w:r w:rsidR="004071DD" w:rsidRPr="004071DD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¹</w:t>
      </w:r>
    </w:p>
    <w:p w14:paraId="43C6EE22" w14:textId="58A53C1E" w:rsidR="004071DD" w:rsidRPr="004071DD" w:rsidRDefault="00C208F6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Lauana</w:t>
      </w:r>
      <w:r w:rsidR="000B36AA">
        <w:rPr>
          <w:rFonts w:eastAsia="Times New Roman"/>
          <w:sz w:val="24"/>
          <w:szCs w:val="24"/>
        </w:rPr>
        <w:t xml:space="preserve"> Xavier</w:t>
      </w:r>
      <w:r w:rsidR="008B351A">
        <w:rPr>
          <w:rFonts w:eastAsia="Times New Roman"/>
          <w:sz w:val="24"/>
          <w:szCs w:val="24"/>
        </w:rPr>
        <w:t xml:space="preserve"> Sousa</w:t>
      </w:r>
      <w:r w:rsidR="004071DD" w:rsidRPr="004071DD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¹</w:t>
      </w:r>
    </w:p>
    <w:p w14:paraId="6AF28F2C" w14:textId="0F7D6E54" w:rsidR="004071DD" w:rsidRPr="004071DD" w:rsidRDefault="00C208F6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Taís</w:t>
      </w:r>
      <w:r w:rsidR="008B351A">
        <w:rPr>
          <w:rFonts w:eastAsia="Times New Roman"/>
          <w:sz w:val="24"/>
          <w:szCs w:val="24"/>
        </w:rPr>
        <w:t xml:space="preserve"> Cardoso Ribeiro</w:t>
      </w:r>
      <w:r w:rsidR="004071DD" w:rsidRPr="004071DD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¹</w:t>
      </w:r>
    </w:p>
    <w:p w14:paraId="59291068" w14:textId="59FCA3CB" w:rsidR="004071DD" w:rsidRDefault="002577B6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Camilla de Jesús Pires</w:t>
      </w:r>
      <w:r w:rsidR="004071DD" w:rsidRPr="004071DD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²</w:t>
      </w:r>
    </w:p>
    <w:p w14:paraId="2B6831DA" w14:textId="77777777" w:rsidR="009140D1" w:rsidRPr="004071DD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44FD97E7" w14:textId="21E1DACA" w:rsidR="004071DD" w:rsidRPr="007A5928" w:rsidRDefault="004071DD" w:rsidP="007A5928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46F4C728" w14:textId="4B554F93" w:rsidR="00C97566" w:rsidRDefault="00C97566" w:rsidP="00C9756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 câncer gástrico é uma das neoplasias malignas de maior prevalência </w:t>
      </w:r>
      <w:r w:rsidR="00DF7CED">
        <w:rPr>
          <w:rFonts w:eastAsia="Times New Roman"/>
          <w:sz w:val="24"/>
          <w:szCs w:val="24"/>
        </w:rPr>
        <w:t xml:space="preserve">e mortalidade no mundo, sendo </w:t>
      </w:r>
      <w:r>
        <w:rPr>
          <w:rFonts w:eastAsia="Times New Roman"/>
          <w:sz w:val="24"/>
          <w:szCs w:val="24"/>
        </w:rPr>
        <w:t>a terceira principal causa de óbito oncológico.</w:t>
      </w:r>
      <w:r w:rsidR="007A5928">
        <w:rPr>
          <w:rFonts w:eastAsia="Times New Roman"/>
          <w:sz w:val="24"/>
          <w:szCs w:val="24"/>
        </w:rPr>
        <w:t xml:space="preserve"> Nesse</w:t>
      </w:r>
      <w:r>
        <w:rPr>
          <w:rFonts w:eastAsia="Times New Roman"/>
          <w:sz w:val="24"/>
          <w:szCs w:val="24"/>
        </w:rPr>
        <w:t xml:space="preserve"> contexto</w:t>
      </w:r>
      <w:r w:rsidR="007A5928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a imunoterapia surge como alternativa moderna, pois utiliza o próprio si</w:t>
      </w:r>
      <w:r w:rsidR="00DF7CED">
        <w:rPr>
          <w:rFonts w:eastAsia="Times New Roman"/>
          <w:sz w:val="24"/>
          <w:szCs w:val="24"/>
        </w:rPr>
        <w:t xml:space="preserve">stema imunológico para combater </w:t>
      </w:r>
      <w:r>
        <w:rPr>
          <w:rFonts w:eastAsia="Times New Roman"/>
          <w:sz w:val="24"/>
          <w:szCs w:val="24"/>
        </w:rPr>
        <w:t xml:space="preserve">células neoplásicas, com menor toxicidade. Entretanto, a microbiota intestinal tem papel determinante nesse processo, visto que seu desequilíbrio, caracterizado como disbiose, pode favorecer inflamação, </w:t>
      </w:r>
      <w:proofErr w:type="spellStart"/>
      <w:r>
        <w:rPr>
          <w:rFonts w:eastAsia="Times New Roman"/>
          <w:sz w:val="24"/>
          <w:szCs w:val="24"/>
        </w:rPr>
        <w:t>tumorigênese</w:t>
      </w:r>
      <w:proofErr w:type="spellEnd"/>
      <w:r>
        <w:rPr>
          <w:rFonts w:eastAsia="Times New Roman"/>
          <w:sz w:val="24"/>
          <w:szCs w:val="24"/>
        </w:rPr>
        <w:t xml:space="preserve"> e reduzir a eficácia terapêutica. Diante disso, o</w:t>
      </w:r>
      <w:r w:rsidR="00F0187A">
        <w:rPr>
          <w:rFonts w:eastAsia="Times New Roman"/>
          <w:sz w:val="24"/>
          <w:szCs w:val="24"/>
        </w:rPr>
        <w:t xml:space="preserve"> estudo tem como objetivo e</w:t>
      </w:r>
      <w:r>
        <w:rPr>
          <w:rFonts w:eastAsia="Times New Roman"/>
          <w:sz w:val="24"/>
          <w:szCs w:val="24"/>
        </w:rPr>
        <w:t xml:space="preserve">videnciar as relações entre nutrição, microbiota intestinal e resultados da imunoterapia no câncer gástrico, destacando estratégias dietéticas no manejo da disbiose. </w:t>
      </w:r>
      <w:r w:rsidR="00DF7CED">
        <w:rPr>
          <w:rFonts w:eastAsia="Times New Roman"/>
          <w:sz w:val="24"/>
          <w:szCs w:val="24"/>
        </w:rPr>
        <w:t>Trata-</w:t>
      </w:r>
      <w:r>
        <w:rPr>
          <w:rFonts w:eastAsia="Times New Roman"/>
          <w:sz w:val="24"/>
          <w:szCs w:val="24"/>
        </w:rPr>
        <w:t xml:space="preserve">se </w:t>
      </w:r>
      <w:r w:rsidR="00DF7CED">
        <w:rPr>
          <w:rFonts w:eastAsia="Times New Roman"/>
          <w:sz w:val="24"/>
          <w:szCs w:val="24"/>
        </w:rPr>
        <w:t xml:space="preserve">de </w:t>
      </w:r>
      <w:r>
        <w:rPr>
          <w:rFonts w:eastAsia="Times New Roman"/>
          <w:sz w:val="24"/>
          <w:szCs w:val="24"/>
        </w:rPr>
        <w:t>uma revisão integrativa de literatura</w:t>
      </w:r>
      <w:r w:rsidR="00DF7CED">
        <w:rPr>
          <w:rFonts w:eastAsia="Times New Roman"/>
          <w:sz w:val="24"/>
          <w:szCs w:val="24"/>
        </w:rPr>
        <w:t>, onde foram utilizad</w:t>
      </w:r>
      <w:r>
        <w:rPr>
          <w:rFonts w:eastAsia="Times New Roman"/>
          <w:sz w:val="24"/>
          <w:szCs w:val="24"/>
        </w:rPr>
        <w:t xml:space="preserve">as </w:t>
      </w:r>
      <w:r w:rsidR="00DF7CED">
        <w:rPr>
          <w:rFonts w:eastAsia="Times New Roman"/>
          <w:sz w:val="24"/>
          <w:szCs w:val="24"/>
        </w:rPr>
        <w:t xml:space="preserve">as </w:t>
      </w:r>
      <w:r>
        <w:rPr>
          <w:rFonts w:eastAsia="Times New Roman"/>
          <w:sz w:val="24"/>
          <w:szCs w:val="24"/>
        </w:rPr>
        <w:t xml:space="preserve">bases Scientific Eletronic Library Online (SciELO), U.S. Nacional Library </w:t>
      </w:r>
      <w:proofErr w:type="spellStart"/>
      <w:r>
        <w:rPr>
          <w:rFonts w:eastAsia="Times New Roman"/>
          <w:sz w:val="24"/>
          <w:szCs w:val="24"/>
        </w:rPr>
        <w:t>of</w:t>
      </w:r>
      <w:proofErr w:type="spellEnd"/>
      <w:r>
        <w:rPr>
          <w:rFonts w:eastAsia="Times New Roman"/>
          <w:sz w:val="24"/>
          <w:szCs w:val="24"/>
        </w:rPr>
        <w:t xml:space="preserve"> Medicine (</w:t>
      </w:r>
      <w:proofErr w:type="spellStart"/>
      <w:r>
        <w:rPr>
          <w:rFonts w:eastAsia="Times New Roman"/>
          <w:sz w:val="24"/>
          <w:szCs w:val="24"/>
        </w:rPr>
        <w:t>PubMed</w:t>
      </w:r>
      <w:proofErr w:type="spellEnd"/>
      <w:r>
        <w:rPr>
          <w:rFonts w:eastAsia="Times New Roman"/>
          <w:sz w:val="24"/>
          <w:szCs w:val="24"/>
        </w:rPr>
        <w:t xml:space="preserve">) e Biblioteca Virtual em Saúde (BVS). Os resultados evidenciaram que pacientes com câncer gástrico são </w:t>
      </w:r>
      <w:r w:rsidR="008056EE">
        <w:rPr>
          <w:rFonts w:eastAsia="Times New Roman"/>
          <w:sz w:val="24"/>
          <w:szCs w:val="24"/>
        </w:rPr>
        <w:t>susceptíveis</w:t>
      </w:r>
      <w:r>
        <w:rPr>
          <w:rFonts w:eastAsia="Times New Roman"/>
          <w:sz w:val="24"/>
          <w:szCs w:val="24"/>
        </w:rPr>
        <w:t xml:space="preserve"> ao desenvolvimento de comorbidades, </w:t>
      </w:r>
      <w:r w:rsidR="00DF7CED">
        <w:rPr>
          <w:rFonts w:eastAsia="Times New Roman"/>
          <w:sz w:val="24"/>
          <w:szCs w:val="24"/>
        </w:rPr>
        <w:t xml:space="preserve">tais como </w:t>
      </w:r>
      <w:r>
        <w:rPr>
          <w:rFonts w:eastAsia="Times New Roman"/>
          <w:sz w:val="24"/>
          <w:szCs w:val="24"/>
        </w:rPr>
        <w:t>desnutrição, carência de ferro e vitamina B12</w:t>
      </w:r>
      <w:r w:rsidR="00DF7CED">
        <w:rPr>
          <w:rFonts w:eastAsia="Times New Roman"/>
          <w:sz w:val="24"/>
          <w:szCs w:val="24"/>
        </w:rPr>
        <w:t xml:space="preserve"> e</w:t>
      </w:r>
      <w:r>
        <w:rPr>
          <w:rFonts w:eastAsia="Times New Roman"/>
          <w:sz w:val="24"/>
          <w:szCs w:val="24"/>
        </w:rPr>
        <w:t xml:space="preserve"> </w:t>
      </w:r>
      <w:r w:rsidR="00DF7CED">
        <w:rPr>
          <w:rFonts w:eastAsia="Times New Roman"/>
          <w:sz w:val="24"/>
          <w:szCs w:val="24"/>
        </w:rPr>
        <w:t>inflamação associada à disbiose.</w:t>
      </w:r>
      <w:r>
        <w:rPr>
          <w:rFonts w:eastAsia="Times New Roman"/>
          <w:sz w:val="24"/>
          <w:szCs w:val="24"/>
        </w:rPr>
        <w:t xml:space="preserve"> </w:t>
      </w:r>
      <w:r w:rsidR="00DF7CED">
        <w:rPr>
          <w:rFonts w:eastAsia="Times New Roman"/>
          <w:sz w:val="24"/>
          <w:szCs w:val="24"/>
        </w:rPr>
        <w:t>Estas comorbidades</w:t>
      </w:r>
      <w:r>
        <w:rPr>
          <w:rFonts w:eastAsia="Times New Roman"/>
          <w:sz w:val="24"/>
          <w:szCs w:val="24"/>
        </w:rPr>
        <w:t xml:space="preserve"> comprometem a resposta imunológica e reduzem a eficácia da imunoterapia. </w:t>
      </w:r>
      <w:r w:rsidR="002B3FCE">
        <w:rPr>
          <w:rFonts w:eastAsia="Times New Roman"/>
          <w:sz w:val="24"/>
          <w:szCs w:val="24"/>
        </w:rPr>
        <w:t>Porém</w:t>
      </w:r>
      <w:r>
        <w:rPr>
          <w:rFonts w:eastAsia="Times New Roman"/>
          <w:sz w:val="24"/>
          <w:szCs w:val="24"/>
        </w:rPr>
        <w:t>, verificou</w:t>
      </w:r>
      <w:r w:rsidR="00DF7CED">
        <w:rPr>
          <w:rFonts w:eastAsia="Times New Roman"/>
          <w:sz w:val="24"/>
          <w:szCs w:val="24"/>
        </w:rPr>
        <w:t xml:space="preserve">-se que </w:t>
      </w:r>
      <w:r>
        <w:rPr>
          <w:rFonts w:eastAsia="Times New Roman"/>
          <w:sz w:val="24"/>
          <w:szCs w:val="24"/>
        </w:rPr>
        <w:t>probióticos</w:t>
      </w:r>
      <w:r w:rsidR="00DF7CED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como </w:t>
      </w:r>
      <w:r w:rsidRPr="00DF7CED">
        <w:rPr>
          <w:rFonts w:eastAsia="Times New Roman"/>
          <w:i/>
          <w:sz w:val="24"/>
          <w:szCs w:val="24"/>
        </w:rPr>
        <w:t>Lactobacillus</w:t>
      </w:r>
      <w:r>
        <w:rPr>
          <w:rFonts w:eastAsia="Times New Roman"/>
          <w:sz w:val="24"/>
          <w:szCs w:val="24"/>
        </w:rPr>
        <w:t xml:space="preserve"> e </w:t>
      </w:r>
      <w:r w:rsidRPr="00DF7CED">
        <w:rPr>
          <w:rFonts w:eastAsia="Times New Roman"/>
          <w:i/>
          <w:sz w:val="24"/>
          <w:szCs w:val="24"/>
        </w:rPr>
        <w:t>Bifidobacterium</w:t>
      </w:r>
      <w:r w:rsidR="00DF7CED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demonstraram capacidade de restaurar o </w:t>
      </w:r>
      <w:proofErr w:type="spellStart"/>
      <w:r>
        <w:rPr>
          <w:rFonts w:eastAsia="Times New Roman"/>
          <w:sz w:val="24"/>
          <w:szCs w:val="24"/>
        </w:rPr>
        <w:t>microbioma</w:t>
      </w:r>
      <w:proofErr w:type="spellEnd"/>
      <w:r>
        <w:rPr>
          <w:rFonts w:eastAsia="Times New Roman"/>
          <w:sz w:val="24"/>
          <w:szCs w:val="24"/>
        </w:rPr>
        <w:t xml:space="preserve">, regular o </w:t>
      </w:r>
      <w:r w:rsidR="00363B7C">
        <w:rPr>
          <w:rFonts w:eastAsia="Times New Roman"/>
          <w:sz w:val="24"/>
          <w:szCs w:val="24"/>
        </w:rPr>
        <w:t>pH</w:t>
      </w:r>
      <w:r>
        <w:rPr>
          <w:rFonts w:eastAsia="Times New Roman"/>
          <w:sz w:val="24"/>
          <w:szCs w:val="24"/>
        </w:rPr>
        <w:t xml:space="preserve"> intestinal e melhorar a resposta antitumo</w:t>
      </w:r>
      <w:r w:rsidR="00DF7CED">
        <w:rPr>
          <w:rFonts w:eastAsia="Times New Roman"/>
          <w:sz w:val="24"/>
          <w:szCs w:val="24"/>
        </w:rPr>
        <w:t xml:space="preserve">ral. Do mesmo modo, a vitamina </w:t>
      </w:r>
      <w:r>
        <w:rPr>
          <w:rFonts w:eastAsia="Times New Roman"/>
          <w:sz w:val="24"/>
          <w:szCs w:val="24"/>
        </w:rPr>
        <w:t>D pode aumentar a eficácia da terapia com inibidores do ponto de controle imunológico</w:t>
      </w:r>
      <w:r w:rsidR="002B3FCE">
        <w:rPr>
          <w:rFonts w:eastAsia="Times New Roman"/>
          <w:sz w:val="24"/>
          <w:szCs w:val="24"/>
        </w:rPr>
        <w:t xml:space="preserve">. Por outro lado, </w:t>
      </w:r>
      <w:r w:rsidR="00DD54CA">
        <w:rPr>
          <w:rFonts w:eastAsia="Times New Roman"/>
          <w:sz w:val="24"/>
          <w:szCs w:val="24"/>
        </w:rPr>
        <w:t>também é possível realizar um</w:t>
      </w:r>
      <w:r>
        <w:rPr>
          <w:rFonts w:eastAsia="Times New Roman"/>
          <w:sz w:val="24"/>
          <w:szCs w:val="24"/>
        </w:rPr>
        <w:t xml:space="preserve"> transplante de microbiota fecal </w:t>
      </w:r>
      <w:r w:rsidR="00DD54CA">
        <w:rPr>
          <w:rFonts w:eastAsia="Times New Roman"/>
          <w:sz w:val="24"/>
          <w:szCs w:val="24"/>
        </w:rPr>
        <w:t xml:space="preserve">para </w:t>
      </w:r>
      <w:r>
        <w:rPr>
          <w:rFonts w:eastAsia="Times New Roman"/>
          <w:sz w:val="24"/>
          <w:szCs w:val="24"/>
        </w:rPr>
        <w:t>resultados promissores em pacientes resistentes a outros tratamentos. Conclui</w:t>
      </w:r>
      <w:r w:rsidR="005457B2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se, portanto</w:t>
      </w:r>
      <w:r w:rsidR="006E49CD">
        <w:rPr>
          <w:rFonts w:eastAsia="Times New Roman"/>
          <w:sz w:val="24"/>
          <w:szCs w:val="24"/>
        </w:rPr>
        <w:t>,</w:t>
      </w:r>
      <w:r w:rsidR="00361C9C">
        <w:rPr>
          <w:rFonts w:eastAsia="Times New Roman"/>
          <w:sz w:val="24"/>
          <w:szCs w:val="24"/>
        </w:rPr>
        <w:t xml:space="preserve"> a</w:t>
      </w:r>
      <w:r>
        <w:rPr>
          <w:rFonts w:eastAsia="Times New Roman"/>
          <w:sz w:val="24"/>
          <w:szCs w:val="24"/>
        </w:rPr>
        <w:t xml:space="preserve"> </w:t>
      </w:r>
      <w:r w:rsidR="00361C9C">
        <w:rPr>
          <w:rFonts w:eastAsia="Times New Roman"/>
          <w:sz w:val="24"/>
          <w:szCs w:val="24"/>
        </w:rPr>
        <w:t xml:space="preserve">relevância de uma boa alimentação e bem estar fisiológico no que diz respeito ao </w:t>
      </w:r>
      <w:proofErr w:type="spellStart"/>
      <w:r w:rsidR="00361C9C">
        <w:rPr>
          <w:rFonts w:eastAsia="Times New Roman"/>
          <w:sz w:val="24"/>
          <w:szCs w:val="24"/>
        </w:rPr>
        <w:t>microbioma</w:t>
      </w:r>
      <w:proofErr w:type="spellEnd"/>
      <w:r w:rsidR="00361C9C">
        <w:rPr>
          <w:rFonts w:eastAsia="Times New Roman"/>
          <w:sz w:val="24"/>
          <w:szCs w:val="24"/>
        </w:rPr>
        <w:t xml:space="preserve"> humano, resultando em um bom tratamento do câncer gástrico ou até mesmo na prevenção da doença.</w:t>
      </w:r>
    </w:p>
    <w:p w14:paraId="3789265E" w14:textId="77777777" w:rsidR="00C97566" w:rsidRDefault="00C97566" w:rsidP="00C97566">
      <w:pPr>
        <w:jc w:val="both"/>
        <w:rPr>
          <w:sz w:val="24"/>
          <w:szCs w:val="24"/>
        </w:rPr>
      </w:pPr>
    </w:p>
    <w:p w14:paraId="11FA9B91" w14:textId="418E5E86" w:rsidR="004071DD" w:rsidRPr="00084BB2" w:rsidRDefault="004071DD" w:rsidP="004071DD">
      <w:pPr>
        <w:spacing w:line="360" w:lineRule="auto"/>
        <w:rPr>
          <w:i/>
          <w:i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 xml:space="preserve">Palavras-chave: </w:t>
      </w:r>
      <w:r w:rsidR="00084BB2">
        <w:rPr>
          <w:rFonts w:eastAsia="Times New Roman"/>
          <w:sz w:val="24"/>
          <w:szCs w:val="24"/>
        </w:rPr>
        <w:t>Câncer gástrico. Imunoterapia. Microbiota. Nutrição</w:t>
      </w:r>
      <w:r w:rsidR="00DF7CED">
        <w:rPr>
          <w:rFonts w:eastAsia="Times New Roman"/>
          <w:sz w:val="24"/>
          <w:szCs w:val="24"/>
        </w:rPr>
        <w:t xml:space="preserve">. </w:t>
      </w:r>
      <w:r w:rsidR="00084BB2">
        <w:rPr>
          <w:rFonts w:eastAsia="Times New Roman"/>
          <w:sz w:val="24"/>
          <w:szCs w:val="24"/>
        </w:rPr>
        <w:t xml:space="preserve">Disbiose.  </w:t>
      </w:r>
    </w:p>
    <w:p w14:paraId="562ECBD6" w14:textId="4A4D05E3" w:rsidR="004071DD" w:rsidRDefault="004071DD" w:rsidP="004071DD">
      <w:pPr>
        <w:spacing w:line="360" w:lineRule="auto"/>
        <w:rPr>
          <w:sz w:val="24"/>
          <w:szCs w:val="24"/>
        </w:rPr>
      </w:pPr>
    </w:p>
    <w:p w14:paraId="33B79254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bookmarkStart w:id="0" w:name="page2"/>
      <w:bookmarkEnd w:id="0"/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6F166991" w14:textId="77777777" w:rsidR="00374F99" w:rsidRPr="004071DD" w:rsidRDefault="00374F99" w:rsidP="004071DD">
      <w:pPr>
        <w:spacing w:line="360" w:lineRule="auto"/>
        <w:rPr>
          <w:sz w:val="24"/>
          <w:szCs w:val="24"/>
        </w:rPr>
      </w:pPr>
    </w:p>
    <w:p w14:paraId="5E0F729E" w14:textId="77777777" w:rsidR="003E539B" w:rsidRPr="003E539B" w:rsidRDefault="003E539B" w:rsidP="003E539B">
      <w:pPr>
        <w:spacing w:line="360" w:lineRule="auto"/>
        <w:ind w:firstLine="708"/>
        <w:jc w:val="both"/>
        <w:rPr>
          <w:sz w:val="24"/>
        </w:rPr>
      </w:pPr>
      <w:r w:rsidRPr="003E539B">
        <w:rPr>
          <w:sz w:val="24"/>
        </w:rPr>
        <w:t xml:space="preserve">O câncer gástrico é uma das neoplasias malignas com maior prevalência e mortalidade em todo o mundo. Atualmente, ocupa a quinta posição entre os tipos de câncer mais comuns e </w:t>
      </w:r>
      <w:r w:rsidRPr="003E539B">
        <w:rPr>
          <w:sz w:val="24"/>
        </w:rPr>
        <w:lastRenderedPageBreak/>
        <w:t xml:space="preserve">representa a terceira principal causa de morte relacionada à patologia no mundo inteiro. A cada ano, estima-se que 980.000 novos casos sejam identificados e 660.000 mortes relacionadas ocorram globalmente (Mendonza; García; </w:t>
      </w:r>
      <w:proofErr w:type="spellStart"/>
      <w:r w:rsidRPr="003E539B">
        <w:rPr>
          <w:sz w:val="24"/>
        </w:rPr>
        <w:t>Tejada</w:t>
      </w:r>
      <w:proofErr w:type="spellEnd"/>
      <w:r w:rsidRPr="003E539B">
        <w:rPr>
          <w:sz w:val="24"/>
        </w:rPr>
        <w:t>, 2025).</w:t>
      </w:r>
    </w:p>
    <w:p w14:paraId="11ACEF25" w14:textId="5D7231B0" w:rsidR="003E539B" w:rsidRPr="003E539B" w:rsidRDefault="003E539B" w:rsidP="003E539B">
      <w:pPr>
        <w:spacing w:line="360" w:lineRule="auto"/>
        <w:ind w:firstLine="708"/>
        <w:jc w:val="both"/>
        <w:rPr>
          <w:sz w:val="24"/>
        </w:rPr>
      </w:pPr>
      <w:r w:rsidRPr="003E539B">
        <w:rPr>
          <w:sz w:val="24"/>
        </w:rPr>
        <w:t>No Brasil, o Instituto Nacional de Câncer (INCA) estimou que, entre 2023 e 2025, seriam diagnosticados cerca de 21.480 casos de câncer de estômago para ca</w:t>
      </w:r>
      <w:r w:rsidR="00954671">
        <w:rPr>
          <w:sz w:val="24"/>
        </w:rPr>
        <w:t xml:space="preserve">da ano. Destes casos, 13.340 </w:t>
      </w:r>
      <w:r w:rsidR="00151F9F">
        <w:rPr>
          <w:sz w:val="24"/>
        </w:rPr>
        <w:t>em</w:t>
      </w:r>
      <w:r w:rsidR="00DA2F60">
        <w:rPr>
          <w:sz w:val="24"/>
        </w:rPr>
        <w:t xml:space="preserve"> homens e 8.140 em</w:t>
      </w:r>
      <w:r w:rsidRPr="003E539B">
        <w:rPr>
          <w:sz w:val="24"/>
        </w:rPr>
        <w:t xml:space="preserve"> mulheres. Em 2021, o câncer gástrico foi responsável por 14.259 óbitos entre os brasileiros, o que representa 12,2% das mortes por câncer (Brasil, 2022).</w:t>
      </w:r>
    </w:p>
    <w:p w14:paraId="325F0674" w14:textId="13FD4F6D" w:rsidR="003E539B" w:rsidRPr="003E539B" w:rsidRDefault="00993964" w:rsidP="003E539B">
      <w:pPr>
        <w:spacing w:line="360" w:lineRule="auto"/>
        <w:ind w:firstLine="708"/>
        <w:jc w:val="both"/>
        <w:rPr>
          <w:rFonts w:eastAsia="Times New Roman"/>
          <w:i/>
          <w:iCs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>Vale ressaltar que a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imunoterapia contra o câncer tornou-se um elemento básico da oncologia moderna. As abordagens </w:t>
      </w:r>
      <w:proofErr w:type="spellStart"/>
      <w:r w:rsidR="003E539B" w:rsidRPr="003E539B">
        <w:rPr>
          <w:rFonts w:eastAsia="Times New Roman"/>
          <w:sz w:val="24"/>
          <w:shd w:val="clear" w:color="auto" w:fill="FFFFFF"/>
        </w:rPr>
        <w:t>imunoterapêuticas</w:t>
      </w:r>
      <w:proofErr w:type="spellEnd"/>
      <w:r w:rsidR="003E539B" w:rsidRPr="003E539B">
        <w:rPr>
          <w:rFonts w:eastAsia="Times New Roman"/>
          <w:sz w:val="24"/>
          <w:shd w:val="clear" w:color="auto" w:fill="FFFFFF"/>
        </w:rPr>
        <w:t xml:space="preserve"> usam componentes do próprio sistema imunológico do paciente para atingir seletivamente as células cancerígenas, amenizando muitos dos efeitos colaterais associados às opções de tratamento tradicionais (</w:t>
      </w:r>
      <w:proofErr w:type="spellStart"/>
      <w:r w:rsidR="003E539B" w:rsidRPr="003E539B">
        <w:rPr>
          <w:rFonts w:eastAsia="Times New Roman"/>
          <w:sz w:val="24"/>
          <w:shd w:val="clear" w:color="auto" w:fill="FFFFFF"/>
        </w:rPr>
        <w:t>Koury</w:t>
      </w:r>
      <w:proofErr w:type="spellEnd"/>
      <w:r w:rsidR="003E539B" w:rsidRPr="003E539B">
        <w:rPr>
          <w:rFonts w:eastAsia="Times New Roman"/>
          <w:sz w:val="24"/>
          <w:shd w:val="clear" w:color="auto" w:fill="FFFFFF"/>
        </w:rPr>
        <w:t xml:space="preserve"> </w:t>
      </w:r>
      <w:r w:rsidR="003E539B" w:rsidRPr="003E539B">
        <w:rPr>
          <w:rFonts w:eastAsia="Times New Roman"/>
          <w:i/>
          <w:iCs/>
          <w:sz w:val="24"/>
          <w:shd w:val="clear" w:color="auto" w:fill="FFFFFF"/>
        </w:rPr>
        <w:t>et al.,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2018).</w:t>
      </w:r>
    </w:p>
    <w:p w14:paraId="028769D5" w14:textId="4F36D1E7" w:rsidR="003E539B" w:rsidRPr="003E539B" w:rsidRDefault="00D859C1" w:rsidP="003E539B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>Esta técnica de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imunoterapia aborda o combate à maioria das células cancerígenas por meio de: "aceleração" (aumento da imunidade) do sistema imunológico com "marcação" das células cancerígenas para que este sistema possa detectá-las e destruí-las. Isso impede que estas células se escondam, além de auxiliar o sistema imunológico do corpo a localizá-las e fornecer terapias como radiação, quimioterapia ou até mesmo células T diretamente às células neoplásicas (</w:t>
      </w:r>
      <w:proofErr w:type="spellStart"/>
      <w:r w:rsidR="003E539B" w:rsidRPr="003E539B">
        <w:rPr>
          <w:rFonts w:eastAsia="Times New Roman"/>
          <w:sz w:val="24"/>
          <w:shd w:val="clear" w:color="auto" w:fill="FFFFFF"/>
        </w:rPr>
        <w:t>Kumar</w:t>
      </w:r>
      <w:proofErr w:type="spellEnd"/>
      <w:r w:rsidR="003E539B" w:rsidRPr="003E539B">
        <w:rPr>
          <w:rFonts w:eastAsia="Times New Roman"/>
          <w:sz w:val="24"/>
          <w:shd w:val="clear" w:color="auto" w:fill="FFFFFF"/>
        </w:rPr>
        <w:t xml:space="preserve"> </w:t>
      </w:r>
      <w:r w:rsidR="003E539B" w:rsidRPr="003E539B">
        <w:rPr>
          <w:rFonts w:eastAsia="Times New Roman"/>
          <w:i/>
          <w:iCs/>
          <w:sz w:val="24"/>
          <w:shd w:val="clear" w:color="auto" w:fill="FFFFFF"/>
        </w:rPr>
        <w:t xml:space="preserve">et al., </w:t>
      </w:r>
      <w:r w:rsidR="003E539B" w:rsidRPr="003E539B">
        <w:rPr>
          <w:rFonts w:eastAsia="Times New Roman"/>
          <w:sz w:val="24"/>
          <w:shd w:val="clear" w:color="auto" w:fill="FFFFFF"/>
        </w:rPr>
        <w:t>2021).</w:t>
      </w:r>
    </w:p>
    <w:p w14:paraId="1FF3D41E" w14:textId="20E2FECF" w:rsidR="003E539B" w:rsidRPr="003E539B" w:rsidRDefault="00D859C1" w:rsidP="003E539B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>Por outro lado, é importante destacar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que a microbiota saudável e estável inibe o desenvolvimento do câncer, enquanto uma microbiota </w:t>
      </w:r>
      <w:proofErr w:type="spellStart"/>
      <w:r w:rsidR="003E539B" w:rsidRPr="003E539B">
        <w:rPr>
          <w:rFonts w:eastAsia="Times New Roman"/>
          <w:sz w:val="24"/>
          <w:shd w:val="clear" w:color="auto" w:fill="FFFFFF"/>
        </w:rPr>
        <w:t>disbiótica</w:t>
      </w:r>
      <w:proofErr w:type="spellEnd"/>
      <w:r w:rsidR="003E539B" w:rsidRPr="003E539B">
        <w:rPr>
          <w:rFonts w:eastAsia="Times New Roman"/>
          <w:sz w:val="24"/>
          <w:shd w:val="clear" w:color="auto" w:fill="FFFFFF"/>
        </w:rPr>
        <w:t xml:space="preserve"> tem um efeito protetor limitado no hospedeiro e promove o desenvolvimento desta patologia. A microbiota no corpo humano corresponde aos vírus, fungos e bactérias (</w:t>
      </w:r>
      <w:r w:rsidR="003E539B" w:rsidRPr="003135C0">
        <w:rPr>
          <w:rFonts w:eastAsia="Times New Roman"/>
          <w:sz w:val="24"/>
          <w:shd w:val="clear" w:color="auto" w:fill="FFFFFF"/>
        </w:rPr>
        <w:t>Wang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</w:t>
      </w:r>
      <w:r w:rsidR="003E539B" w:rsidRPr="003E539B">
        <w:rPr>
          <w:rFonts w:eastAsia="Times New Roman"/>
          <w:i/>
          <w:iCs/>
          <w:sz w:val="24"/>
          <w:shd w:val="clear" w:color="auto" w:fill="FFFFFF"/>
        </w:rPr>
        <w:t xml:space="preserve">et al., </w:t>
      </w:r>
      <w:r w:rsidR="003E539B" w:rsidRPr="003E539B">
        <w:rPr>
          <w:rFonts w:eastAsia="Times New Roman"/>
          <w:sz w:val="24"/>
          <w:shd w:val="clear" w:color="auto" w:fill="FFFFFF"/>
        </w:rPr>
        <w:t>2023).</w:t>
      </w:r>
    </w:p>
    <w:p w14:paraId="681D3E2B" w14:textId="14E468C9" w:rsidR="003E539B" w:rsidRPr="003E539B" w:rsidRDefault="003E539B" w:rsidP="003E539B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3E539B">
        <w:rPr>
          <w:rFonts w:eastAsia="Times New Roman"/>
          <w:sz w:val="24"/>
          <w:shd w:val="clear" w:color="auto" w:fill="FFFFFF"/>
        </w:rPr>
        <w:t xml:space="preserve">Em condições normais, a microbiota intestinal desempenha um papel crítico na manutenção da homeostase intestinal e da saúde geral do hospedeiro. Ela colabora para vários processos fisiológicos, incluindo metabolismo de nutrientes, regulação do sistema imunológico e proteção contra invasores patogênicos. No entanto, quando essa microbiota intestinal está instável, pode desencadear inflamação crônica, afetando o sistema imunológico e, assim, aumentar o risco de desenvolvimento de câncer gástrico (Wu </w:t>
      </w:r>
      <w:r w:rsidRPr="003E539B">
        <w:rPr>
          <w:rFonts w:eastAsia="Times New Roman"/>
          <w:i/>
          <w:iCs/>
          <w:sz w:val="24"/>
          <w:shd w:val="clear" w:color="auto" w:fill="FFFFFF"/>
        </w:rPr>
        <w:t xml:space="preserve">et al., </w:t>
      </w:r>
      <w:r w:rsidRPr="003E539B">
        <w:rPr>
          <w:rFonts w:eastAsia="Times New Roman"/>
          <w:sz w:val="24"/>
          <w:shd w:val="clear" w:color="auto" w:fill="FFFFFF"/>
        </w:rPr>
        <w:t>2024).</w:t>
      </w:r>
    </w:p>
    <w:p w14:paraId="44E6DC1A" w14:textId="44B0A307" w:rsidR="003E539B" w:rsidRPr="003E539B" w:rsidRDefault="003E539B" w:rsidP="003E539B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3E539B">
        <w:rPr>
          <w:rFonts w:eastAsia="Times New Roman"/>
          <w:sz w:val="24"/>
          <w:shd w:val="clear" w:color="auto" w:fill="FFFFFF"/>
        </w:rPr>
        <w:t>A</w:t>
      </w:r>
      <w:r w:rsidR="009D52F7">
        <w:rPr>
          <w:rFonts w:eastAsia="Times New Roman"/>
          <w:sz w:val="24"/>
          <w:shd w:val="clear" w:color="auto" w:fill="FFFFFF"/>
        </w:rPr>
        <w:t>ssim, a</w:t>
      </w:r>
      <w:r w:rsidRPr="003E539B">
        <w:rPr>
          <w:rFonts w:eastAsia="Times New Roman"/>
          <w:sz w:val="24"/>
          <w:shd w:val="clear" w:color="auto" w:fill="FFFFFF"/>
        </w:rPr>
        <w:t xml:space="preserve"> dieta e a nutrição são fatores essenciais para a prevenção e tratamento do câncer, visto que uma dieta desequilibrada aumenta o risco de desenvolvimento da doença. Pacientes oncológicos e sobreviventes precisam de suporte nutricional adequado, além do tratamento cirúrgico ou farmacológico. Isso pode melhorar não apenas a qualidade de vida, mas também os resultados do tratamento, mesmo para cânceres com prognóstico desfavorável (</w:t>
      </w:r>
      <w:proofErr w:type="spellStart"/>
      <w:r w:rsidRPr="003E539B">
        <w:rPr>
          <w:rFonts w:eastAsia="Times New Roman"/>
          <w:sz w:val="24"/>
          <w:shd w:val="clear" w:color="auto" w:fill="FFFFFF"/>
        </w:rPr>
        <w:t>Narimatsu</w:t>
      </w:r>
      <w:proofErr w:type="spellEnd"/>
      <w:r w:rsidRPr="003E539B">
        <w:rPr>
          <w:rFonts w:eastAsia="Times New Roman"/>
          <w:sz w:val="24"/>
          <w:shd w:val="clear" w:color="auto" w:fill="FFFFFF"/>
        </w:rPr>
        <w:t xml:space="preserve">; </w:t>
      </w:r>
      <w:proofErr w:type="spellStart"/>
      <w:r w:rsidRPr="003E539B">
        <w:rPr>
          <w:rFonts w:eastAsia="Times New Roman"/>
          <w:sz w:val="24"/>
          <w:shd w:val="clear" w:color="auto" w:fill="FFFFFF"/>
        </w:rPr>
        <w:t>Yaguchi</w:t>
      </w:r>
      <w:proofErr w:type="spellEnd"/>
      <w:r w:rsidRPr="003E539B">
        <w:rPr>
          <w:rFonts w:eastAsia="Times New Roman"/>
          <w:sz w:val="24"/>
          <w:shd w:val="clear" w:color="auto" w:fill="FFFFFF"/>
        </w:rPr>
        <w:t>, 2022).</w:t>
      </w:r>
    </w:p>
    <w:p w14:paraId="67969B2C" w14:textId="0B63AB72" w:rsidR="003E539B" w:rsidRPr="003E539B" w:rsidRDefault="00D35409" w:rsidP="003E539B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 xml:space="preserve">A presente pesquisa se justifica com base na importância 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da nutrição em pacientes com câncer gástrico, trabalhando principalmente a microbiota humana para enviar ou conter a disbiose, resultando </w:t>
      </w:r>
      <w:r w:rsidR="00D97637">
        <w:rPr>
          <w:rFonts w:eastAsia="Times New Roman"/>
          <w:sz w:val="24"/>
          <w:shd w:val="clear" w:color="auto" w:fill="FFFFFF"/>
        </w:rPr>
        <w:t xml:space="preserve">em 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efeito positivo no processo de imunoterapia. </w:t>
      </w:r>
      <w:r w:rsidR="00D97637">
        <w:rPr>
          <w:rFonts w:eastAsia="Times New Roman"/>
          <w:sz w:val="24"/>
          <w:shd w:val="clear" w:color="auto" w:fill="FFFFFF"/>
        </w:rPr>
        <w:t>Sabe-se que a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nutrição do paciente tem total relevância dentro do tratamento do câncer gástrico, e a relação entre imunoterapia, nutrição e disbiose tem sido cada vez</w:t>
      </w:r>
      <w:r w:rsidR="00AA21F5">
        <w:rPr>
          <w:rFonts w:eastAsia="Times New Roman"/>
          <w:sz w:val="24"/>
          <w:shd w:val="clear" w:color="auto" w:fill="FFFFFF"/>
        </w:rPr>
        <w:t xml:space="preserve"> mais notada no meio científico.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</w:t>
      </w:r>
      <w:r w:rsidR="00AA21F5" w:rsidRPr="003E539B">
        <w:rPr>
          <w:rFonts w:eastAsia="Times New Roman"/>
          <w:sz w:val="24"/>
          <w:shd w:val="clear" w:color="auto" w:fill="FFFFFF"/>
        </w:rPr>
        <w:t>C</w:t>
      </w:r>
      <w:r w:rsidR="00AA21F5">
        <w:rPr>
          <w:rFonts w:eastAsia="Times New Roman"/>
          <w:sz w:val="24"/>
          <w:shd w:val="clear" w:color="auto" w:fill="FFFFFF"/>
        </w:rPr>
        <w:t xml:space="preserve">om isso, </w:t>
      </w:r>
      <w:r w:rsidR="003E539B" w:rsidRPr="003E539B">
        <w:rPr>
          <w:rFonts w:eastAsia="Times New Roman"/>
          <w:sz w:val="24"/>
          <w:shd w:val="clear" w:color="auto" w:fill="FFFFFF"/>
        </w:rPr>
        <w:t>faz</w:t>
      </w:r>
      <w:r w:rsidR="00AA21F5">
        <w:rPr>
          <w:rFonts w:eastAsia="Times New Roman"/>
          <w:sz w:val="24"/>
          <w:shd w:val="clear" w:color="auto" w:fill="FFFFFF"/>
        </w:rPr>
        <w:t>-se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necessário seu estudo e abordagem para melhor c</w:t>
      </w:r>
      <w:r w:rsidR="00D97637">
        <w:rPr>
          <w:rFonts w:eastAsia="Times New Roman"/>
          <w:sz w:val="24"/>
          <w:shd w:val="clear" w:color="auto" w:fill="FFFFFF"/>
        </w:rPr>
        <w:t>ompreensão da relação existente</w:t>
      </w:r>
      <w:r w:rsidR="003E539B" w:rsidRPr="003E539B">
        <w:rPr>
          <w:rFonts w:eastAsia="Times New Roman"/>
          <w:sz w:val="24"/>
          <w:shd w:val="clear" w:color="auto" w:fill="FFFFFF"/>
        </w:rPr>
        <w:t xml:space="preserve"> entre estes parâmetros</w:t>
      </w:r>
      <w:r w:rsidR="00AA21F5">
        <w:rPr>
          <w:rFonts w:eastAsia="Times New Roman"/>
          <w:sz w:val="24"/>
          <w:shd w:val="clear" w:color="auto" w:fill="FFFFFF"/>
        </w:rPr>
        <w:t>, a fim de esclarecer a população</w:t>
      </w:r>
      <w:r w:rsidR="003E539B" w:rsidRPr="003E539B">
        <w:rPr>
          <w:rFonts w:eastAsia="Times New Roman"/>
          <w:sz w:val="24"/>
          <w:shd w:val="clear" w:color="auto" w:fill="FFFFFF"/>
        </w:rPr>
        <w:t>.</w:t>
      </w:r>
    </w:p>
    <w:p w14:paraId="22799712" w14:textId="77777777" w:rsidR="004071DD" w:rsidRPr="003E539B" w:rsidRDefault="004071DD" w:rsidP="004071DD">
      <w:pPr>
        <w:spacing w:line="360" w:lineRule="auto"/>
        <w:rPr>
          <w:rFonts w:eastAsia="Times New Roman"/>
          <w:b/>
          <w:bCs/>
          <w:sz w:val="28"/>
          <w:szCs w:val="24"/>
        </w:rPr>
      </w:pPr>
    </w:p>
    <w:p w14:paraId="44B950EC" w14:textId="0B324479" w:rsidR="004071DD" w:rsidRPr="004071DD" w:rsidRDefault="004071DD" w:rsidP="004071DD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14:paraId="3C98B021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B4F7711" w14:textId="77777777" w:rsidR="00374F99" w:rsidRPr="003E539B" w:rsidRDefault="00374F99" w:rsidP="00374F99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3E539B">
        <w:rPr>
          <w:rFonts w:eastAsia="Times New Roman"/>
          <w:sz w:val="24"/>
          <w:shd w:val="clear" w:color="auto" w:fill="FFFFFF"/>
        </w:rPr>
        <w:t>O estudo tem como objetivo destacar possíveis relações entre nutrição, microbiota humana e resultados provenientes da imunoterapia no câncer gástrico, a fim de evidenciar estratégias dietéticas que possam combater a disbiose melhorando, assim, os resultados clínicos de pacientes nesse estado.</w:t>
      </w:r>
    </w:p>
    <w:p w14:paraId="2440216F" w14:textId="77777777" w:rsidR="00374F99" w:rsidRDefault="00374F99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0221F63" w14:textId="19007AF7" w:rsidR="004071DD" w:rsidRPr="004071DD" w:rsidRDefault="004071DD" w:rsidP="004071DD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2F92487A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3B52007" w14:textId="5BA1544D" w:rsidR="00374F99" w:rsidRPr="00374F99" w:rsidRDefault="00374F99" w:rsidP="00374F99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374F99">
        <w:rPr>
          <w:rFonts w:eastAsia="Times New Roman"/>
          <w:sz w:val="24"/>
          <w:shd w:val="clear" w:color="auto" w:fill="FFFFFF"/>
        </w:rPr>
        <w:t>Trata-se de uma revisão integrativa de literatura, que faz uso para composição de sua base uma síntese de conhecimentos, resultados e evidências de estudos já realizados a</w:t>
      </w:r>
      <w:r w:rsidR="008401DA">
        <w:rPr>
          <w:rFonts w:eastAsia="Times New Roman"/>
          <w:sz w:val="24"/>
          <w:shd w:val="clear" w:color="auto" w:fill="FFFFFF"/>
        </w:rPr>
        <w:t>cerca do tema proposto (Danta</w:t>
      </w:r>
      <w:r w:rsidRPr="00374F99">
        <w:rPr>
          <w:rFonts w:eastAsia="Times New Roman"/>
          <w:sz w:val="24"/>
          <w:shd w:val="clear" w:color="auto" w:fill="FFFFFF"/>
        </w:rPr>
        <w:t xml:space="preserve">s </w:t>
      </w:r>
      <w:r w:rsidRPr="00374F99">
        <w:rPr>
          <w:rFonts w:eastAsia="Times New Roman"/>
          <w:i/>
          <w:iCs/>
          <w:sz w:val="24"/>
          <w:shd w:val="clear" w:color="auto" w:fill="FFFFFF"/>
        </w:rPr>
        <w:t xml:space="preserve">et al., </w:t>
      </w:r>
      <w:r w:rsidRPr="00374F99">
        <w:rPr>
          <w:rFonts w:eastAsia="Times New Roman"/>
          <w:sz w:val="24"/>
          <w:shd w:val="clear" w:color="auto" w:fill="FFFFFF"/>
        </w:rPr>
        <w:t xml:space="preserve">2022). </w:t>
      </w:r>
    </w:p>
    <w:p w14:paraId="069A9A04" w14:textId="38D99CAF" w:rsidR="00374F99" w:rsidRPr="00374F99" w:rsidRDefault="00374F99" w:rsidP="00374F99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374F99">
        <w:rPr>
          <w:rFonts w:eastAsia="Times New Roman"/>
          <w:sz w:val="24"/>
          <w:shd w:val="clear" w:color="auto" w:fill="FFFFFF"/>
        </w:rPr>
        <w:t>A pesquisa foi realizada nas bases de dados Scientific Eletronic Library Online (SciELO), U.S. Nacional Library of Medicine (Pubmed) e Biblioteca Virtual em Saúde (BVS), utilizando os descritores: c</w:t>
      </w:r>
      <w:r w:rsidR="0080579D">
        <w:rPr>
          <w:rFonts w:eastAsia="Times New Roman"/>
          <w:sz w:val="24"/>
          <w:shd w:val="clear" w:color="auto" w:fill="FFFFFF"/>
        </w:rPr>
        <w:t>âncer gástrico,</w:t>
      </w:r>
      <w:r w:rsidRPr="00374F99">
        <w:rPr>
          <w:rFonts w:eastAsia="Times New Roman"/>
          <w:sz w:val="24"/>
          <w:shd w:val="clear" w:color="auto" w:fill="FFFFFF"/>
        </w:rPr>
        <w:t xml:space="preserve"> imunoterapia</w:t>
      </w:r>
      <w:r w:rsidR="0080579D">
        <w:rPr>
          <w:rFonts w:eastAsia="Times New Roman"/>
          <w:sz w:val="24"/>
          <w:shd w:val="clear" w:color="auto" w:fill="FFFFFF"/>
        </w:rPr>
        <w:t>, microbiota,</w:t>
      </w:r>
      <w:r w:rsidRPr="00374F99">
        <w:rPr>
          <w:rFonts w:eastAsia="Times New Roman"/>
          <w:sz w:val="24"/>
          <w:shd w:val="clear" w:color="auto" w:fill="FFFFFF"/>
        </w:rPr>
        <w:t xml:space="preserve"> nutrição e disbiose.  </w:t>
      </w:r>
    </w:p>
    <w:p w14:paraId="74134D76" w14:textId="77777777" w:rsidR="00374F99" w:rsidRPr="00374F99" w:rsidRDefault="00374F99" w:rsidP="00374F99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374F99">
        <w:rPr>
          <w:rFonts w:eastAsia="Times New Roman"/>
          <w:sz w:val="24"/>
          <w:shd w:val="clear" w:color="auto" w:fill="FFFFFF"/>
        </w:rPr>
        <w:t>Os critérios de inclusão utilizados foram artigos de estudos de caso, estudos randomizados, estudos pilotos, duplo-cegos, revisões bibliográficas, artigos completos e com acesso gratuito, publicados entre 2018 e 2025 nas línguas portuguesa, inglesa e espanhola, e que abordassem o tema proposto. Para a exclusão dos artigos, os critérios adotados foram estudos incompletos, fora do período estabelecido, artigos duplicados nas bases de dados, em outros idiomas fora do padrão estabelecido, estudos pagos e que tangenciassem ao tema.</w:t>
      </w:r>
    </w:p>
    <w:p w14:paraId="238FA90C" w14:textId="7D984C5C" w:rsidR="00374F99" w:rsidRPr="00374F99" w:rsidRDefault="00374F99" w:rsidP="00374F99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374F99">
        <w:rPr>
          <w:rFonts w:eastAsia="Times New Roman"/>
          <w:sz w:val="24"/>
          <w:shd w:val="clear" w:color="auto" w:fill="FFFFFF"/>
        </w:rPr>
        <w:t>Inicialmente</w:t>
      </w:r>
      <w:r w:rsidR="0000287C">
        <w:rPr>
          <w:rFonts w:eastAsia="Times New Roman"/>
          <w:sz w:val="24"/>
          <w:shd w:val="clear" w:color="auto" w:fill="FFFFFF"/>
        </w:rPr>
        <w:t>,</w:t>
      </w:r>
      <w:r w:rsidRPr="00374F99">
        <w:rPr>
          <w:rFonts w:eastAsia="Times New Roman"/>
          <w:sz w:val="24"/>
          <w:shd w:val="clear" w:color="auto" w:fill="FFFFFF"/>
        </w:rPr>
        <w:t xml:space="preserve"> foram identificados 46 artigos, sendo excluídos 36</w:t>
      </w:r>
      <w:r w:rsidR="0000287C">
        <w:rPr>
          <w:rFonts w:eastAsia="Times New Roman"/>
          <w:sz w:val="24"/>
          <w:shd w:val="clear" w:color="auto" w:fill="FFFFFF"/>
        </w:rPr>
        <w:t xml:space="preserve"> por não atenderem os critérios de elegibilidade. Ao final, </w:t>
      </w:r>
      <w:r w:rsidRPr="00374F99">
        <w:rPr>
          <w:rFonts w:eastAsia="Times New Roman"/>
          <w:sz w:val="24"/>
          <w:shd w:val="clear" w:color="auto" w:fill="FFFFFF"/>
        </w:rPr>
        <w:t>resta</w:t>
      </w:r>
      <w:r w:rsidR="0000287C">
        <w:rPr>
          <w:rFonts w:eastAsia="Times New Roman"/>
          <w:sz w:val="24"/>
          <w:shd w:val="clear" w:color="auto" w:fill="FFFFFF"/>
        </w:rPr>
        <w:t>ram</w:t>
      </w:r>
      <w:r w:rsidRPr="00374F99">
        <w:rPr>
          <w:rFonts w:eastAsia="Times New Roman"/>
          <w:sz w:val="24"/>
          <w:shd w:val="clear" w:color="auto" w:fill="FFFFFF"/>
        </w:rPr>
        <w:t xml:space="preserve"> 10 estudos</w:t>
      </w:r>
      <w:r w:rsidR="0000287C">
        <w:rPr>
          <w:rFonts w:eastAsia="Times New Roman"/>
          <w:sz w:val="24"/>
          <w:shd w:val="clear" w:color="auto" w:fill="FFFFFF"/>
        </w:rPr>
        <w:t xml:space="preserve">, sendo 9 da Pubmed </w:t>
      </w:r>
      <w:r w:rsidRPr="00374F99">
        <w:rPr>
          <w:rFonts w:eastAsia="Times New Roman"/>
          <w:sz w:val="24"/>
          <w:shd w:val="clear" w:color="auto" w:fill="FFFFFF"/>
        </w:rPr>
        <w:t xml:space="preserve">e 1 </w:t>
      </w:r>
      <w:r w:rsidR="0000287C">
        <w:rPr>
          <w:rFonts w:eastAsia="Times New Roman"/>
          <w:sz w:val="24"/>
          <w:shd w:val="clear" w:color="auto" w:fill="FFFFFF"/>
        </w:rPr>
        <w:t>da SciELO</w:t>
      </w:r>
      <w:r w:rsidR="004630B6">
        <w:rPr>
          <w:rFonts w:eastAsia="Times New Roman"/>
          <w:sz w:val="24"/>
          <w:shd w:val="clear" w:color="auto" w:fill="FFFFFF"/>
        </w:rPr>
        <w:t>.</w:t>
      </w:r>
      <w:r w:rsidRPr="00374F99">
        <w:rPr>
          <w:rFonts w:eastAsia="Times New Roman"/>
          <w:sz w:val="24"/>
          <w:shd w:val="clear" w:color="auto" w:fill="FFFFFF"/>
        </w:rPr>
        <w:t xml:space="preserve"> </w:t>
      </w:r>
      <w:r w:rsidR="004630B6" w:rsidRPr="00374F99">
        <w:rPr>
          <w:rFonts w:eastAsia="Times New Roman"/>
          <w:sz w:val="24"/>
          <w:shd w:val="clear" w:color="auto" w:fill="FFFFFF"/>
        </w:rPr>
        <w:t>O</w:t>
      </w:r>
      <w:r w:rsidRPr="00374F99">
        <w:rPr>
          <w:rFonts w:eastAsia="Times New Roman"/>
          <w:sz w:val="24"/>
          <w:shd w:val="clear" w:color="auto" w:fill="FFFFFF"/>
        </w:rPr>
        <w:t xml:space="preserve">s artigos encontrados na </w:t>
      </w:r>
      <w:r w:rsidR="004630B6">
        <w:rPr>
          <w:rFonts w:eastAsia="Times New Roman"/>
          <w:sz w:val="24"/>
          <w:shd w:val="clear" w:color="auto" w:fill="FFFFFF"/>
        </w:rPr>
        <w:t>BVS</w:t>
      </w:r>
      <w:r w:rsidRPr="00374F99">
        <w:rPr>
          <w:rFonts w:eastAsia="Times New Roman"/>
          <w:sz w:val="24"/>
          <w:shd w:val="clear" w:color="auto" w:fill="FFFFFF"/>
        </w:rPr>
        <w:t xml:space="preserve"> foram todos descartados pelos critérios de exclusão. </w:t>
      </w:r>
    </w:p>
    <w:p w14:paraId="5954EA87" w14:textId="77777777" w:rsidR="00374F99" w:rsidRPr="005E2993" w:rsidRDefault="00374F99" w:rsidP="00374F99">
      <w:pPr>
        <w:spacing w:line="360" w:lineRule="auto"/>
        <w:jc w:val="both"/>
        <w:rPr>
          <w:rFonts w:eastAsia="Times New Roman"/>
          <w:shd w:val="clear" w:color="auto" w:fill="FFFFFF"/>
        </w:rPr>
      </w:pPr>
    </w:p>
    <w:p w14:paraId="0E4875B5" w14:textId="48A9A7AC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</w:p>
    <w:p w14:paraId="24C74033" w14:textId="04E3DF5B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BF9E36B" w14:textId="0284A484" w:rsidR="00C46E72" w:rsidRPr="00C46E72" w:rsidRDefault="0066039E" w:rsidP="00DF7CED">
      <w:pPr>
        <w:spacing w:line="360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Após as análises </w:t>
      </w:r>
      <w:r w:rsidR="000F63EC">
        <w:rPr>
          <w:rFonts w:eastAsia="Times New Roman"/>
          <w:bCs/>
          <w:sz w:val="24"/>
          <w:szCs w:val="24"/>
        </w:rPr>
        <w:t>dos artigos nas bases de dados</w:t>
      </w:r>
      <w:r w:rsidR="008A52F1">
        <w:rPr>
          <w:rFonts w:eastAsia="Times New Roman"/>
          <w:bCs/>
          <w:sz w:val="24"/>
          <w:szCs w:val="24"/>
        </w:rPr>
        <w:t>, seguida da utilização dos critérios de</w:t>
      </w:r>
      <w:r w:rsidR="00475069">
        <w:rPr>
          <w:rFonts w:eastAsia="Times New Roman"/>
          <w:bCs/>
          <w:sz w:val="24"/>
          <w:szCs w:val="24"/>
        </w:rPr>
        <w:t xml:space="preserve"> </w:t>
      </w:r>
      <w:r w:rsidR="006628FA">
        <w:rPr>
          <w:rFonts w:eastAsia="Times New Roman"/>
          <w:bCs/>
          <w:sz w:val="24"/>
          <w:szCs w:val="24"/>
        </w:rPr>
        <w:t>i</w:t>
      </w:r>
      <w:r w:rsidR="00475069">
        <w:rPr>
          <w:rFonts w:eastAsia="Times New Roman"/>
          <w:bCs/>
          <w:sz w:val="24"/>
          <w:szCs w:val="24"/>
        </w:rPr>
        <w:t>nclusão</w:t>
      </w:r>
      <w:r w:rsidR="006628FA">
        <w:rPr>
          <w:rFonts w:eastAsia="Times New Roman"/>
          <w:bCs/>
          <w:sz w:val="24"/>
          <w:szCs w:val="24"/>
        </w:rPr>
        <w:t xml:space="preserve"> e exclusão</w:t>
      </w:r>
      <w:r w:rsidR="00475069">
        <w:rPr>
          <w:rFonts w:eastAsia="Times New Roman"/>
          <w:bCs/>
          <w:sz w:val="24"/>
          <w:szCs w:val="24"/>
        </w:rPr>
        <w:t xml:space="preserve">, </w:t>
      </w:r>
      <w:r w:rsidR="008E460E">
        <w:rPr>
          <w:rFonts w:eastAsia="Times New Roman"/>
          <w:bCs/>
          <w:sz w:val="24"/>
          <w:szCs w:val="24"/>
        </w:rPr>
        <w:t xml:space="preserve">selecionou-se 10 artigos presentes na Tabela 1 </w:t>
      </w:r>
      <w:r w:rsidR="002A641D">
        <w:rPr>
          <w:rFonts w:eastAsia="Times New Roman"/>
          <w:bCs/>
          <w:sz w:val="24"/>
          <w:szCs w:val="24"/>
        </w:rPr>
        <w:t xml:space="preserve">para </w:t>
      </w:r>
      <w:r w:rsidR="00BF15FE">
        <w:rPr>
          <w:rFonts w:eastAsia="Times New Roman"/>
          <w:bCs/>
          <w:sz w:val="24"/>
          <w:szCs w:val="24"/>
        </w:rPr>
        <w:t xml:space="preserve">composição </w:t>
      </w:r>
      <w:r w:rsidR="002A641D">
        <w:rPr>
          <w:rFonts w:eastAsia="Times New Roman"/>
          <w:bCs/>
          <w:sz w:val="24"/>
          <w:szCs w:val="24"/>
        </w:rPr>
        <w:t>da</w:t>
      </w:r>
      <w:r w:rsidR="00BF15FE">
        <w:rPr>
          <w:rFonts w:eastAsia="Times New Roman"/>
          <w:bCs/>
          <w:sz w:val="24"/>
          <w:szCs w:val="24"/>
        </w:rPr>
        <w:t xml:space="preserve"> </w:t>
      </w:r>
      <w:r w:rsidR="002A641D">
        <w:rPr>
          <w:rFonts w:eastAsia="Times New Roman"/>
          <w:bCs/>
          <w:sz w:val="24"/>
          <w:szCs w:val="24"/>
        </w:rPr>
        <w:t xml:space="preserve">revisão integrativa. </w:t>
      </w:r>
    </w:p>
    <w:p w14:paraId="443088A5" w14:textId="77777777" w:rsidR="00C46E72" w:rsidRDefault="00C46E72" w:rsidP="00C46E72">
      <w:pPr>
        <w:spacing w:line="360" w:lineRule="auto"/>
        <w:ind w:firstLine="709"/>
        <w:rPr>
          <w:rFonts w:eastAsia="Times New Roman"/>
          <w:b/>
          <w:bCs/>
          <w:sz w:val="24"/>
          <w:szCs w:val="24"/>
        </w:rPr>
      </w:pPr>
    </w:p>
    <w:p w14:paraId="11FB3720" w14:textId="0884572D" w:rsidR="00D26C95" w:rsidRPr="00597442" w:rsidRDefault="008E4217" w:rsidP="004071DD"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Tabela 1.</w:t>
      </w:r>
      <w:r w:rsidR="00597442">
        <w:rPr>
          <w:rFonts w:eastAsia="Times New Roman"/>
          <w:b/>
          <w:bCs/>
          <w:sz w:val="24"/>
          <w:szCs w:val="24"/>
        </w:rPr>
        <w:t xml:space="preserve"> </w:t>
      </w:r>
      <w:r w:rsidR="00155BCB">
        <w:rPr>
          <w:rFonts w:eastAsia="Times New Roman"/>
          <w:sz w:val="24"/>
          <w:szCs w:val="24"/>
        </w:rPr>
        <w:t xml:space="preserve">Descrição detalhada de todos os estudos selecionados. 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1559"/>
        <w:gridCol w:w="2410"/>
        <w:gridCol w:w="4110"/>
      </w:tblGrid>
      <w:tr w:rsidR="00D26C95" w:rsidRPr="005E2993" w14:paraId="66C5520C" w14:textId="77777777" w:rsidTr="00337290">
        <w:tc>
          <w:tcPr>
            <w:tcW w:w="993" w:type="dxa"/>
          </w:tcPr>
          <w:p w14:paraId="2B01C7E2" w14:textId="77777777" w:rsidR="00D26C95" w:rsidRPr="005E2993" w:rsidRDefault="00D26C95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5E2993">
              <w:rPr>
                <w:rFonts w:eastAsia="Times New Roman"/>
                <w:b/>
                <w:bCs/>
                <w:shd w:val="clear" w:color="auto" w:fill="FFFFFF"/>
              </w:rPr>
              <w:t>Artigo</w:t>
            </w:r>
          </w:p>
        </w:tc>
        <w:tc>
          <w:tcPr>
            <w:tcW w:w="1559" w:type="dxa"/>
          </w:tcPr>
          <w:p w14:paraId="7E5DEB43" w14:textId="77777777" w:rsidR="00D26C95" w:rsidRPr="005E2993" w:rsidRDefault="00D26C95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5E2993">
              <w:rPr>
                <w:rFonts w:eastAsia="Times New Roman"/>
                <w:b/>
                <w:bCs/>
                <w:shd w:val="clear" w:color="auto" w:fill="FFFFFF"/>
              </w:rPr>
              <w:t>Autor/ano</w:t>
            </w:r>
          </w:p>
        </w:tc>
        <w:tc>
          <w:tcPr>
            <w:tcW w:w="2410" w:type="dxa"/>
          </w:tcPr>
          <w:p w14:paraId="74175216" w14:textId="77777777" w:rsidR="00D26C95" w:rsidRPr="005E2993" w:rsidRDefault="00D26C95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5E2993">
              <w:rPr>
                <w:rFonts w:eastAsia="Times New Roman"/>
                <w:b/>
                <w:bCs/>
                <w:shd w:val="clear" w:color="auto" w:fill="FFFFFF"/>
              </w:rPr>
              <w:t>Título</w:t>
            </w:r>
          </w:p>
        </w:tc>
        <w:tc>
          <w:tcPr>
            <w:tcW w:w="4110" w:type="dxa"/>
          </w:tcPr>
          <w:p w14:paraId="3DB513CC" w14:textId="308579EF" w:rsidR="00D26C95" w:rsidRPr="005E2993" w:rsidRDefault="00D26C95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5E2993">
              <w:rPr>
                <w:rFonts w:eastAsia="Times New Roman"/>
                <w:b/>
                <w:bCs/>
                <w:shd w:val="clear" w:color="auto" w:fill="FFFFFF"/>
              </w:rPr>
              <w:t>Principais achados</w:t>
            </w:r>
          </w:p>
        </w:tc>
      </w:tr>
      <w:tr w:rsidR="008E4217" w:rsidRPr="005E2993" w14:paraId="516B2563" w14:textId="77777777" w:rsidTr="00337290">
        <w:tc>
          <w:tcPr>
            <w:tcW w:w="993" w:type="dxa"/>
          </w:tcPr>
          <w:p w14:paraId="7EB278B6" w14:textId="7D47E7CB" w:rsidR="008E4217" w:rsidRPr="005E2993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01</w:t>
            </w:r>
          </w:p>
        </w:tc>
        <w:tc>
          <w:tcPr>
            <w:tcW w:w="1559" w:type="dxa"/>
          </w:tcPr>
          <w:p w14:paraId="1FCDDB79" w14:textId="2E4FA7AE" w:rsidR="008E4217" w:rsidRPr="005E2993" w:rsidRDefault="0015217F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proofErr w:type="spellStart"/>
            <w:r w:rsidRPr="00D26C95">
              <w:rPr>
                <w:rFonts w:eastAsia="Times New Roman"/>
                <w:shd w:val="clear" w:color="auto" w:fill="FFFFFF"/>
              </w:rPr>
              <w:t>Mizukami</w:t>
            </w:r>
            <w:proofErr w:type="spellEnd"/>
            <w:r w:rsidRPr="00D26C95">
              <w:rPr>
                <w:rFonts w:eastAsia="Times New Roman"/>
                <w:shd w:val="clear" w:color="auto" w:fill="FFFFFF"/>
              </w:rPr>
              <w:t xml:space="preserve">; </w:t>
            </w:r>
            <w:proofErr w:type="spellStart"/>
            <w:r w:rsidRPr="00D26C95">
              <w:rPr>
                <w:rFonts w:eastAsia="Times New Roman"/>
                <w:shd w:val="clear" w:color="auto" w:fill="FFFFFF"/>
              </w:rPr>
              <w:t>Piao</w:t>
            </w:r>
            <w:proofErr w:type="spellEnd"/>
            <w:r w:rsidRPr="00D26C95">
              <w:rPr>
                <w:rFonts w:eastAsia="Times New Roman"/>
                <w:shd w:val="clear" w:color="auto" w:fill="FFFFFF"/>
              </w:rPr>
              <w:t>, 2021</w:t>
            </w:r>
            <w:r w:rsidR="008B39DE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37698673" w14:textId="4791D09D" w:rsidR="008E4217" w:rsidRPr="00CB26AC" w:rsidRDefault="00D44900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 w:rsidRPr="00D44900">
              <w:rPr>
                <w:rFonts w:eastAsia="Times New Roman"/>
                <w:shd w:val="clear" w:color="auto" w:fill="FFFFFF"/>
              </w:rPr>
              <w:t xml:space="preserve">Role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of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nutritional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care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and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general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guidance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for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patients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with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advanced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or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metastatic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 w:rsidRPr="00D44900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D44900"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 w:rsidR="00CB26AC">
              <w:rPr>
                <w:rFonts w:eastAsia="Times New Roman"/>
                <w:shd w:val="clear" w:color="auto" w:fill="FFFFFF"/>
              </w:rPr>
              <w:t xml:space="preserve">. </w:t>
            </w:r>
          </w:p>
        </w:tc>
        <w:tc>
          <w:tcPr>
            <w:tcW w:w="4110" w:type="dxa"/>
          </w:tcPr>
          <w:p w14:paraId="6657CD48" w14:textId="61AE083E" w:rsidR="008E4217" w:rsidRPr="00412598" w:rsidRDefault="00D13585" w:rsidP="00A95EB7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A</w:t>
            </w:r>
            <w:r w:rsidR="001B7AC8">
              <w:rPr>
                <w:rFonts w:eastAsia="Times New Roman"/>
                <w:shd w:val="clear" w:color="auto" w:fill="FFFFFF"/>
              </w:rPr>
              <w:t xml:space="preserve"> desnutrição por conta da ingestão alimentar dificultada</w:t>
            </w:r>
            <w:r w:rsidR="00F73CDA">
              <w:rPr>
                <w:rFonts w:eastAsia="Times New Roman"/>
                <w:shd w:val="clear" w:color="auto" w:fill="FFFFFF"/>
              </w:rPr>
              <w:t xml:space="preserve"> foi</w:t>
            </w:r>
            <w:r>
              <w:rPr>
                <w:rFonts w:eastAsia="Times New Roman"/>
                <w:shd w:val="clear" w:color="auto" w:fill="FFFFFF"/>
              </w:rPr>
              <w:t xml:space="preserve"> notada em pacientes com câncer gástrico. </w:t>
            </w:r>
            <w:r w:rsidR="00A95EB7">
              <w:rPr>
                <w:rFonts w:eastAsia="Times New Roman"/>
                <w:shd w:val="clear" w:color="auto" w:fill="FFFFFF"/>
              </w:rPr>
              <w:t>Tornando-se um f</w:t>
            </w:r>
            <w:r w:rsidR="003636C7">
              <w:rPr>
                <w:rFonts w:eastAsia="Times New Roman"/>
                <w:shd w:val="clear" w:color="auto" w:fill="FFFFFF"/>
              </w:rPr>
              <w:t xml:space="preserve">ator de impacto negativo </w:t>
            </w:r>
            <w:r w:rsidR="001B7AC8">
              <w:rPr>
                <w:rFonts w:eastAsia="Times New Roman"/>
                <w:shd w:val="clear" w:color="auto" w:fill="FFFFFF"/>
              </w:rPr>
              <w:t>sobre a microbiota e</w:t>
            </w:r>
            <w:r w:rsidR="00A95EB7">
              <w:rPr>
                <w:rFonts w:eastAsia="Times New Roman"/>
                <w:shd w:val="clear" w:color="auto" w:fill="FFFFFF"/>
              </w:rPr>
              <w:t xml:space="preserve"> a defesa imunológica </w:t>
            </w:r>
            <w:r w:rsidR="001B7AC8">
              <w:rPr>
                <w:rFonts w:eastAsia="Times New Roman"/>
                <w:shd w:val="clear" w:color="auto" w:fill="FFFFFF"/>
              </w:rPr>
              <w:t>antes e durante o câncer</w:t>
            </w:r>
            <w:r w:rsidR="003636C7">
              <w:rPr>
                <w:rFonts w:eastAsia="Times New Roman"/>
                <w:shd w:val="clear" w:color="auto" w:fill="FFFFFF"/>
              </w:rPr>
              <w:t xml:space="preserve">. </w:t>
            </w:r>
          </w:p>
        </w:tc>
      </w:tr>
      <w:tr w:rsidR="008E4217" w:rsidRPr="005E2993" w14:paraId="7E015A6E" w14:textId="77777777" w:rsidTr="00337290">
        <w:tc>
          <w:tcPr>
            <w:tcW w:w="993" w:type="dxa"/>
          </w:tcPr>
          <w:p w14:paraId="07E0569B" w14:textId="1EDA8C89" w:rsidR="008E4217" w:rsidRPr="005E2993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02</w:t>
            </w:r>
          </w:p>
        </w:tc>
        <w:tc>
          <w:tcPr>
            <w:tcW w:w="1559" w:type="dxa"/>
          </w:tcPr>
          <w:p w14:paraId="44671E72" w14:textId="3C4B8FD4" w:rsidR="008E4217" w:rsidRPr="005E2993" w:rsidRDefault="008B39D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8B39DE">
              <w:rPr>
                <w:rFonts w:eastAsia="Times New Roman"/>
                <w:shd w:val="clear" w:color="auto" w:fill="FFFFFF"/>
              </w:rPr>
              <w:t xml:space="preserve">Zhang </w:t>
            </w:r>
            <w:r w:rsidRPr="006D0F25">
              <w:rPr>
                <w:rFonts w:eastAsia="Times New Roman"/>
                <w:i/>
                <w:iCs/>
                <w:shd w:val="clear" w:color="auto" w:fill="FFFFFF"/>
              </w:rPr>
              <w:t>et</w:t>
            </w:r>
            <w:r w:rsidRPr="008B39DE">
              <w:rPr>
                <w:rFonts w:eastAsia="Times New Roman"/>
                <w:shd w:val="clear" w:color="auto" w:fill="FFFFFF"/>
              </w:rPr>
              <w:t xml:space="preserve"> </w:t>
            </w:r>
            <w:r w:rsidRPr="006D0F25">
              <w:rPr>
                <w:rFonts w:eastAsia="Times New Roman"/>
                <w:i/>
                <w:iCs/>
                <w:shd w:val="clear" w:color="auto" w:fill="FFFFFF"/>
              </w:rPr>
              <w:t>al.</w:t>
            </w:r>
            <w:r w:rsidR="006D0F25">
              <w:rPr>
                <w:rFonts w:eastAsia="Times New Roman"/>
                <w:i/>
                <w:iCs/>
                <w:shd w:val="clear" w:color="auto" w:fill="FFFFFF"/>
              </w:rPr>
              <w:t xml:space="preserve"> </w:t>
            </w:r>
            <w:r w:rsidRPr="008B39DE">
              <w:rPr>
                <w:rFonts w:eastAsia="Times New Roman"/>
                <w:shd w:val="clear" w:color="auto" w:fill="FFFFFF"/>
              </w:rPr>
              <w:t>2022</w:t>
            </w:r>
            <w:r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307E6B6" w14:textId="016A00D3" w:rsidR="008E4217" w:rsidRPr="006E2D4A" w:rsidRDefault="00AD63EF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proofErr w:type="spellStart"/>
            <w:r w:rsidRPr="00AD63EF">
              <w:rPr>
                <w:rFonts w:eastAsia="Times New Roman"/>
                <w:shd w:val="clear" w:color="auto" w:fill="FFFFFF"/>
              </w:rPr>
              <w:t>Dysbiosis</w:t>
            </w:r>
            <w:proofErr w:type="spellEnd"/>
            <w:r w:rsidRPr="00AD63EF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AD63EF">
              <w:rPr>
                <w:rFonts w:eastAsia="Times New Roman"/>
                <w:shd w:val="clear" w:color="auto" w:fill="FFFFFF"/>
              </w:rPr>
              <w:t>of</w:t>
            </w:r>
            <w:proofErr w:type="spellEnd"/>
            <w:r w:rsidRPr="00AD63EF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AD63EF"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 w:rsidRPr="00AD63EF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AD63EF">
              <w:rPr>
                <w:rFonts w:eastAsia="Times New Roman"/>
                <w:shd w:val="clear" w:color="auto" w:fill="FFFFFF"/>
              </w:rPr>
              <w:t>Mucosal</w:t>
            </w:r>
            <w:proofErr w:type="spellEnd"/>
            <w:r w:rsidRPr="00AD63EF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AD63EF">
              <w:rPr>
                <w:rFonts w:eastAsia="Times New Roman"/>
                <w:shd w:val="clear" w:color="auto" w:fill="FFFFFF"/>
              </w:rPr>
              <w:t>Fungal</w:t>
            </w:r>
            <w:proofErr w:type="spellEnd"/>
            <w:r w:rsidRPr="00AD63EF">
              <w:rPr>
                <w:rFonts w:eastAsia="Times New Roman"/>
                <w:shd w:val="clear" w:color="auto" w:fill="FFFFFF"/>
              </w:rPr>
              <w:t xml:space="preserve"> Microbiota in </w:t>
            </w:r>
            <w:proofErr w:type="spellStart"/>
            <w:r w:rsidRPr="00AD63EF">
              <w:rPr>
                <w:rFonts w:eastAsia="Times New Roman"/>
                <w:shd w:val="clear" w:color="auto" w:fill="FFFFFF"/>
              </w:rPr>
              <w:t>the</w:t>
            </w:r>
            <w:proofErr w:type="spellEnd"/>
            <w:r w:rsidRPr="00AD63EF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AD63EF"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 w:rsidRPr="00AD63EF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AD63EF"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 w:rsidRPr="00AD63EF"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 w:rsidRPr="00AD63EF">
              <w:rPr>
                <w:rFonts w:eastAsia="Times New Roman"/>
                <w:shd w:val="clear" w:color="auto" w:fill="FFFFFF"/>
              </w:rPr>
              <w:t>Microenvironment</w:t>
            </w:r>
            <w:proofErr w:type="spellEnd"/>
            <w:r w:rsidR="006E2D4A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4110" w:type="dxa"/>
          </w:tcPr>
          <w:p w14:paraId="212AB228" w14:textId="4D0717A6" w:rsidR="008E4217" w:rsidRPr="00B64AAD" w:rsidRDefault="00B64AAD" w:rsidP="00F73CDA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Foi possível observar através de análises</w:t>
            </w:r>
            <w:r w:rsidR="00C50D1D">
              <w:rPr>
                <w:rFonts w:eastAsia="Times New Roman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hd w:val="clear" w:color="auto" w:fill="FFFFFF"/>
              </w:rPr>
              <w:t>que</w:t>
            </w:r>
            <w:r w:rsidR="00F73CDA">
              <w:rPr>
                <w:rFonts w:eastAsia="Times New Roman"/>
                <w:shd w:val="clear" w:color="auto" w:fill="FFFFFF"/>
              </w:rPr>
              <w:t>,</w:t>
            </w:r>
            <w:r>
              <w:rPr>
                <w:rFonts w:eastAsia="Times New Roman"/>
                <w:shd w:val="clear" w:color="auto" w:fill="FFFFFF"/>
              </w:rPr>
              <w:t xml:space="preserve"> em pacientes gástricos</w:t>
            </w:r>
            <w:r w:rsidR="00F73CDA">
              <w:rPr>
                <w:rFonts w:eastAsia="Times New Roman"/>
                <w:shd w:val="clear" w:color="auto" w:fill="FFFFFF"/>
              </w:rPr>
              <w:t>,</w:t>
            </w:r>
            <w:r w:rsidR="00210C74">
              <w:rPr>
                <w:rFonts w:eastAsia="Times New Roman"/>
                <w:shd w:val="clear" w:color="auto" w:fill="FFFFFF"/>
              </w:rPr>
              <w:t xml:space="preserve"> a microbiota fúngica estava em abundância</w:t>
            </w:r>
            <w:r w:rsidR="00461259">
              <w:rPr>
                <w:rFonts w:eastAsia="Times New Roman"/>
                <w:shd w:val="clear" w:color="auto" w:fill="FFFFFF"/>
              </w:rPr>
              <w:t xml:space="preserve">, resultando em uma </w:t>
            </w:r>
            <w:r w:rsidR="00F928E1">
              <w:rPr>
                <w:rFonts w:eastAsia="Times New Roman"/>
                <w:shd w:val="clear" w:color="auto" w:fill="FFFFFF"/>
              </w:rPr>
              <w:t>disbiose</w:t>
            </w:r>
            <w:r w:rsidR="00461259">
              <w:rPr>
                <w:rFonts w:eastAsia="Times New Roman"/>
                <w:shd w:val="clear" w:color="auto" w:fill="FFFFFF"/>
              </w:rPr>
              <w:t xml:space="preserve"> grave. </w:t>
            </w:r>
          </w:p>
        </w:tc>
      </w:tr>
      <w:tr w:rsidR="008E4217" w:rsidRPr="005E2993" w14:paraId="45075898" w14:textId="77777777" w:rsidTr="00337290">
        <w:tc>
          <w:tcPr>
            <w:tcW w:w="993" w:type="dxa"/>
          </w:tcPr>
          <w:p w14:paraId="22746E07" w14:textId="6F1A784F" w:rsidR="008E4217" w:rsidRPr="005E2993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03</w:t>
            </w:r>
          </w:p>
        </w:tc>
        <w:tc>
          <w:tcPr>
            <w:tcW w:w="1559" w:type="dxa"/>
          </w:tcPr>
          <w:p w14:paraId="67ADB890" w14:textId="32B3FE6D" w:rsidR="008E4217" w:rsidRPr="005E2993" w:rsidRDefault="00A80D8A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proofErr w:type="spellStart"/>
            <w:r w:rsidRPr="00A80D8A">
              <w:rPr>
                <w:rFonts w:eastAsia="Times New Roman"/>
                <w:shd w:val="clear" w:color="auto" w:fill="FFFFFF"/>
              </w:rPr>
              <w:t>Zaramella</w:t>
            </w:r>
            <w:proofErr w:type="spellEnd"/>
            <w:r>
              <w:rPr>
                <w:rFonts w:eastAsia="Times New Roman"/>
                <w:b/>
                <w:bCs/>
                <w:shd w:val="clear" w:color="auto" w:fill="FFFFFF"/>
              </w:rPr>
              <w:t xml:space="preserve"> </w:t>
            </w:r>
            <w:r w:rsidRPr="00A80D8A">
              <w:rPr>
                <w:rFonts w:eastAsia="Times New Roman"/>
                <w:i/>
                <w:iCs/>
                <w:shd w:val="clear" w:color="auto" w:fill="FFFFFF"/>
              </w:rPr>
              <w:t xml:space="preserve">et al. </w:t>
            </w:r>
            <w:r w:rsidRPr="00A80D8A">
              <w:rPr>
                <w:rFonts w:eastAsia="Times New Roman"/>
                <w:shd w:val="clear" w:color="auto" w:fill="FFFFFF"/>
              </w:rPr>
              <w:t>2024</w:t>
            </w:r>
            <w:r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0E8E6B18" w14:textId="0A6CB201" w:rsidR="008E4217" w:rsidRPr="006E2D4A" w:rsidRDefault="0032440C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Predictive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Value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of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Microbiota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Dysbiosis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Test for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Stratifying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Risk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Atrophic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Gastritis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Patients</w:t>
            </w:r>
            <w:proofErr w:type="spellEnd"/>
            <w:r w:rsidR="006E2D4A">
              <w:rPr>
                <w:rFonts w:eastAsia="Times New Roman"/>
                <w:shd w:val="clear" w:color="auto" w:fill="FFFFFF"/>
              </w:rPr>
              <w:t xml:space="preserve">. </w:t>
            </w:r>
          </w:p>
        </w:tc>
        <w:tc>
          <w:tcPr>
            <w:tcW w:w="4110" w:type="dxa"/>
          </w:tcPr>
          <w:p w14:paraId="08AF3816" w14:textId="19005ABC" w:rsidR="008E4217" w:rsidRPr="001D4BED" w:rsidRDefault="00C56097" w:rsidP="00535729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Algu</w:t>
            </w:r>
            <w:r w:rsidR="00535729">
              <w:rPr>
                <w:rFonts w:eastAsia="Times New Roman"/>
                <w:shd w:val="clear" w:color="auto" w:fill="FFFFFF"/>
              </w:rPr>
              <w:t xml:space="preserve">ns </w:t>
            </w:r>
            <w:r w:rsidR="006E5E90">
              <w:rPr>
                <w:rFonts w:eastAsia="Times New Roman"/>
                <w:shd w:val="clear" w:color="auto" w:fill="FFFFFF"/>
              </w:rPr>
              <w:t xml:space="preserve">pacientes gástricos </w:t>
            </w:r>
            <w:r w:rsidR="007A2A64">
              <w:rPr>
                <w:rFonts w:eastAsia="Times New Roman"/>
                <w:shd w:val="clear" w:color="auto" w:fill="FFFFFF"/>
              </w:rPr>
              <w:t>apresentaram</w:t>
            </w:r>
            <w:r w:rsidR="00022FCE">
              <w:rPr>
                <w:rFonts w:eastAsia="Times New Roman"/>
                <w:shd w:val="clear" w:color="auto" w:fill="FFFFFF"/>
              </w:rPr>
              <w:t xml:space="preserve"> gêneros</w:t>
            </w:r>
            <w:r w:rsidR="00F73CDA">
              <w:rPr>
                <w:rFonts w:eastAsia="Times New Roman"/>
                <w:shd w:val="clear" w:color="auto" w:fill="FFFFFF"/>
              </w:rPr>
              <w:t>,</w:t>
            </w:r>
            <w:r w:rsidR="00022FCE">
              <w:rPr>
                <w:rFonts w:eastAsia="Times New Roman"/>
                <w:shd w:val="clear" w:color="auto" w:fill="FFFFFF"/>
              </w:rPr>
              <w:t xml:space="preserve"> como </w:t>
            </w:r>
            <w:proofErr w:type="spellStart"/>
            <w:r w:rsidR="00022FCE">
              <w:rPr>
                <w:rFonts w:eastAsia="Times New Roman"/>
                <w:i/>
                <w:iCs/>
                <w:shd w:val="clear" w:color="auto" w:fill="FFFFFF"/>
              </w:rPr>
              <w:t>Enterobactereceae</w:t>
            </w:r>
            <w:proofErr w:type="spellEnd"/>
            <w:r w:rsidR="00022FCE">
              <w:rPr>
                <w:rFonts w:eastAsia="Times New Roman"/>
                <w:i/>
                <w:iCs/>
                <w:shd w:val="clear" w:color="auto" w:fill="FFFFFF"/>
              </w:rPr>
              <w:t xml:space="preserve"> e </w:t>
            </w:r>
            <w:proofErr w:type="spellStart"/>
            <w:r w:rsidR="00022FCE">
              <w:rPr>
                <w:rFonts w:eastAsia="Times New Roman"/>
                <w:i/>
                <w:iCs/>
                <w:shd w:val="clear" w:color="auto" w:fill="FFFFFF"/>
              </w:rPr>
              <w:t>Berkholderiaceae</w:t>
            </w:r>
            <w:proofErr w:type="spellEnd"/>
            <w:r w:rsidR="007A2A64">
              <w:rPr>
                <w:rFonts w:eastAsia="Times New Roman"/>
                <w:i/>
                <w:iCs/>
                <w:shd w:val="clear" w:color="auto" w:fill="FFFFFF"/>
              </w:rPr>
              <w:t xml:space="preserve">, </w:t>
            </w:r>
            <w:r w:rsidR="001D4BED">
              <w:rPr>
                <w:rFonts w:eastAsia="Times New Roman"/>
                <w:shd w:val="clear" w:color="auto" w:fill="FFFFFF"/>
              </w:rPr>
              <w:t xml:space="preserve">identificados e </w:t>
            </w:r>
            <w:r w:rsidR="001D4BED" w:rsidRPr="00D26C95">
              <w:rPr>
                <w:rFonts w:eastAsia="Times New Roman"/>
                <w:shd w:val="clear" w:color="auto" w:fill="FFFFFF"/>
              </w:rPr>
              <w:t>relacionad</w:t>
            </w:r>
            <w:r w:rsidR="00F73CDA">
              <w:rPr>
                <w:rFonts w:eastAsia="Times New Roman"/>
                <w:shd w:val="clear" w:color="auto" w:fill="FFFFFF"/>
              </w:rPr>
              <w:t>o</w:t>
            </w:r>
            <w:r w:rsidR="001D4BED" w:rsidRPr="00D26C95">
              <w:rPr>
                <w:rFonts w:eastAsia="Times New Roman"/>
                <w:shd w:val="clear" w:color="auto" w:fill="FFFFFF"/>
              </w:rPr>
              <w:t>s ao desenvolvimento do</w:t>
            </w:r>
            <w:r w:rsidR="001D4BED">
              <w:rPr>
                <w:rFonts w:eastAsia="Times New Roman"/>
                <w:shd w:val="clear" w:color="auto" w:fill="FFFFFF"/>
              </w:rPr>
              <w:t xml:space="preserve"> câncer e aumento</w:t>
            </w:r>
            <w:r w:rsidR="001D4BED" w:rsidRPr="00D26C95">
              <w:rPr>
                <w:rFonts w:eastAsia="Times New Roman"/>
                <w:shd w:val="clear" w:color="auto" w:fill="FFFFFF"/>
              </w:rPr>
              <w:t xml:space="preserve"> da proliferação celular, migração e inibição de apoptose durante os estágios da doença</w:t>
            </w:r>
            <w:r w:rsidR="00640652">
              <w:rPr>
                <w:rFonts w:eastAsia="Times New Roman"/>
                <w:shd w:val="clear" w:color="auto" w:fill="FFFFFF"/>
              </w:rPr>
              <w:t xml:space="preserve">. </w:t>
            </w:r>
            <w:proofErr w:type="spellStart"/>
            <w:r w:rsidR="00640652" w:rsidRPr="00F73CDA">
              <w:rPr>
                <w:rFonts w:eastAsia="Times New Roman"/>
                <w:i/>
                <w:shd w:val="clear" w:color="auto" w:fill="FFFFFF"/>
              </w:rPr>
              <w:t>Enterobactereceae</w:t>
            </w:r>
            <w:proofErr w:type="spellEnd"/>
            <w:r w:rsidR="00640652">
              <w:rPr>
                <w:rFonts w:eastAsia="Times New Roman"/>
                <w:shd w:val="clear" w:color="auto" w:fill="FFFFFF"/>
              </w:rPr>
              <w:t xml:space="preserve"> está relacionada principalmente a inflamação e seu aumento foi observado tanto no estágio gástrico </w:t>
            </w:r>
            <w:proofErr w:type="spellStart"/>
            <w:r w:rsidR="00640652">
              <w:rPr>
                <w:rFonts w:eastAsia="Times New Roman"/>
                <w:shd w:val="clear" w:color="auto" w:fill="FFFFFF"/>
              </w:rPr>
              <w:t>pré-maligno</w:t>
            </w:r>
            <w:proofErr w:type="spellEnd"/>
            <w:r w:rsidR="00640652">
              <w:rPr>
                <w:rFonts w:eastAsia="Times New Roman"/>
                <w:shd w:val="clear" w:color="auto" w:fill="FFFFFF"/>
              </w:rPr>
              <w:t xml:space="preserve"> quanto no desenvolvimento do câncer em si.</w:t>
            </w:r>
            <w:r w:rsidR="00253FAB">
              <w:rPr>
                <w:rFonts w:eastAsia="Times New Roman"/>
                <w:shd w:val="clear" w:color="auto" w:fill="FFFFFF"/>
              </w:rPr>
              <w:t xml:space="preserve"> Isso também caracteriza quadro de </w:t>
            </w:r>
            <w:r w:rsidR="00F928E1">
              <w:rPr>
                <w:rFonts w:eastAsia="Times New Roman"/>
                <w:shd w:val="clear" w:color="auto" w:fill="FFFFFF"/>
              </w:rPr>
              <w:t>disbiose</w:t>
            </w:r>
            <w:r w:rsidR="00253FAB">
              <w:rPr>
                <w:rFonts w:eastAsia="Times New Roman"/>
                <w:shd w:val="clear" w:color="auto" w:fill="FFFFFF"/>
              </w:rPr>
              <w:t xml:space="preserve">. </w:t>
            </w:r>
          </w:p>
        </w:tc>
      </w:tr>
      <w:tr w:rsidR="00F2148E" w:rsidRPr="005E2993" w14:paraId="71068346" w14:textId="77777777" w:rsidTr="00337290">
        <w:tc>
          <w:tcPr>
            <w:tcW w:w="993" w:type="dxa"/>
          </w:tcPr>
          <w:p w14:paraId="68AD8A2F" w14:textId="71A4224D" w:rsidR="00F2148E" w:rsidRPr="005E2993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04</w:t>
            </w:r>
          </w:p>
        </w:tc>
        <w:tc>
          <w:tcPr>
            <w:tcW w:w="1559" w:type="dxa"/>
          </w:tcPr>
          <w:p w14:paraId="649B14A0" w14:textId="47E0A882" w:rsidR="00F2148E" w:rsidRPr="005E2993" w:rsidRDefault="00277E9C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490ADF">
              <w:rPr>
                <w:rFonts w:eastAsia="Times New Roman"/>
                <w:shd w:val="clear" w:color="auto" w:fill="FFFFFF"/>
              </w:rPr>
              <w:t xml:space="preserve">Li </w:t>
            </w:r>
            <w:r w:rsidRPr="006D0F25">
              <w:rPr>
                <w:rFonts w:eastAsia="Times New Roman"/>
                <w:i/>
                <w:iCs/>
                <w:shd w:val="clear" w:color="auto" w:fill="FFFFFF"/>
              </w:rPr>
              <w:t>et</w:t>
            </w:r>
            <w:r w:rsidRPr="00490ADF">
              <w:rPr>
                <w:rFonts w:eastAsia="Times New Roman"/>
                <w:shd w:val="clear" w:color="auto" w:fill="FFFFFF"/>
              </w:rPr>
              <w:t xml:space="preserve"> </w:t>
            </w:r>
            <w:r w:rsidRPr="006D0F25">
              <w:rPr>
                <w:rFonts w:eastAsia="Times New Roman"/>
                <w:i/>
                <w:iCs/>
                <w:shd w:val="clear" w:color="auto" w:fill="FFFFFF"/>
              </w:rPr>
              <w:t xml:space="preserve">al. </w:t>
            </w:r>
            <w:r w:rsidRPr="00490ADF">
              <w:rPr>
                <w:rFonts w:eastAsia="Times New Roman"/>
                <w:shd w:val="clear" w:color="auto" w:fill="FFFFFF"/>
              </w:rPr>
              <w:t>2022</w:t>
            </w:r>
            <w:r w:rsidR="00490ADF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C731904" w14:textId="0CC5CA1D" w:rsidR="00F2148E" w:rsidRPr="004E2546" w:rsidRDefault="00634095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Relationships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among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microbiota,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and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immunotherapy</w:t>
            </w:r>
            <w:proofErr w:type="spellEnd"/>
            <w:r>
              <w:rPr>
                <w:rFonts w:eastAsia="Times New Roman"/>
                <w:shd w:val="clear" w:color="auto" w:fill="FFFFFF"/>
              </w:rPr>
              <w:t>. Front Microbiol</w:t>
            </w:r>
            <w:r w:rsidR="004E2546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4110" w:type="dxa"/>
          </w:tcPr>
          <w:p w14:paraId="56936E97" w14:textId="020F0BC5" w:rsidR="00F2148E" w:rsidRPr="00043970" w:rsidRDefault="00043970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A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inosina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, um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nucleosídeo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purínico produzido por bactérias intestinais, pode ativar células imunes e aumentar a resposta em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imunoterapia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, promovendo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imunogenicidade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das células tumorais. </w:t>
            </w:r>
            <w:r w:rsidR="003826A1">
              <w:rPr>
                <w:rFonts w:eastAsia="Times New Roman"/>
                <w:shd w:val="clear" w:color="auto" w:fill="FFFFFF"/>
              </w:rPr>
              <w:t>Ela</w:t>
            </w:r>
            <w:r>
              <w:rPr>
                <w:rFonts w:eastAsia="Times New Roman"/>
                <w:shd w:val="clear" w:color="auto" w:fill="FFFFFF"/>
              </w:rPr>
              <w:t xml:space="preserve"> aumenta a capacidade das células tumorais de apresentar antígenos tumorais, de modo que as células imunes citotóxicas podem facilmente reconhecer e matar células neoplásicas. Portanto, um estado de disbiose pode inibir a produção de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inosina</w:t>
            </w:r>
            <w:proofErr w:type="spellEnd"/>
            <w:r>
              <w:rPr>
                <w:rFonts w:eastAsia="Times New Roman"/>
                <w:shd w:val="clear" w:color="auto" w:fill="FFFFFF"/>
              </w:rPr>
              <w:t>.</w:t>
            </w:r>
          </w:p>
        </w:tc>
      </w:tr>
      <w:tr w:rsidR="00F2148E" w:rsidRPr="005E2993" w14:paraId="48D66900" w14:textId="77777777" w:rsidTr="00337290">
        <w:tc>
          <w:tcPr>
            <w:tcW w:w="993" w:type="dxa"/>
          </w:tcPr>
          <w:p w14:paraId="3546E338" w14:textId="748683D6" w:rsidR="00F2148E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05</w:t>
            </w:r>
          </w:p>
        </w:tc>
        <w:tc>
          <w:tcPr>
            <w:tcW w:w="1559" w:type="dxa"/>
          </w:tcPr>
          <w:p w14:paraId="7B87B67E" w14:textId="6B8C46EB" w:rsidR="00F2148E" w:rsidRPr="00490ADF" w:rsidRDefault="00490ADF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Raoul </w:t>
            </w:r>
            <w:r w:rsidRPr="006D0F25">
              <w:rPr>
                <w:rFonts w:eastAsia="Times New Roman"/>
                <w:i/>
                <w:iCs/>
                <w:shd w:val="clear" w:color="auto" w:fill="FFFFFF"/>
              </w:rPr>
              <w:t>et al.</w:t>
            </w:r>
            <w:r>
              <w:rPr>
                <w:rFonts w:eastAsia="Times New Roman"/>
                <w:shd w:val="clear" w:color="auto" w:fill="FFFFFF"/>
              </w:rPr>
              <w:t xml:space="preserve"> 2024</w:t>
            </w:r>
            <w:r w:rsidR="006D0F25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2070EB7C" w14:textId="7207722E" w:rsidR="00F2148E" w:rsidRPr="00227528" w:rsidRDefault="0099668B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immunotherapy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and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nutrition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: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the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role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of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microbiota.</w:t>
            </w:r>
          </w:p>
        </w:tc>
        <w:tc>
          <w:tcPr>
            <w:tcW w:w="4110" w:type="dxa"/>
          </w:tcPr>
          <w:p w14:paraId="2706BEE7" w14:textId="2B2570DB" w:rsidR="00F2148E" w:rsidRPr="000145A4" w:rsidRDefault="000145A4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A dieta ocidental</w:t>
            </w:r>
            <w:r w:rsidR="00D20085">
              <w:rPr>
                <w:rFonts w:eastAsia="Times New Roman"/>
                <w:shd w:val="clear" w:color="auto" w:fill="FFFFFF"/>
              </w:rPr>
              <w:t xml:space="preserve"> pode </w:t>
            </w:r>
            <w:r>
              <w:rPr>
                <w:rFonts w:eastAsia="Times New Roman"/>
                <w:shd w:val="clear" w:color="auto" w:fill="FFFFFF"/>
              </w:rPr>
              <w:t xml:space="preserve">causar um aumento de bactérias maléficas e diminuição no número de bactérias benéficas, tais como </w:t>
            </w:r>
            <w:proofErr w:type="spellStart"/>
            <w:r w:rsidRPr="00F73CDA">
              <w:rPr>
                <w:rFonts w:eastAsia="Times New Roman"/>
                <w:i/>
                <w:shd w:val="clear" w:color="auto" w:fill="FFFFFF"/>
              </w:rPr>
              <w:t>Bacteroidetes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, </w:t>
            </w:r>
            <w:proofErr w:type="spellStart"/>
            <w:r w:rsidRPr="00F73CDA">
              <w:rPr>
                <w:rFonts w:eastAsia="Times New Roman"/>
                <w:i/>
                <w:shd w:val="clear" w:color="auto" w:fill="FFFFFF"/>
              </w:rPr>
              <w:t>Prevotella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e </w:t>
            </w:r>
            <w:proofErr w:type="spellStart"/>
            <w:r w:rsidRPr="00F73CDA">
              <w:rPr>
                <w:rFonts w:eastAsia="Times New Roman"/>
                <w:i/>
                <w:shd w:val="clear" w:color="auto" w:fill="FFFFFF"/>
              </w:rPr>
              <w:t>Lactobacillus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, causando processos inflamatórios. </w:t>
            </w:r>
            <w:r w:rsidR="00E8399D">
              <w:rPr>
                <w:rFonts w:eastAsia="Times New Roman"/>
                <w:shd w:val="clear" w:color="auto" w:fill="FFFFFF"/>
              </w:rPr>
              <w:t>Uma</w:t>
            </w:r>
            <w:r>
              <w:rPr>
                <w:rFonts w:eastAsia="Times New Roman"/>
                <w:shd w:val="clear" w:color="auto" w:fill="FFFFFF"/>
              </w:rPr>
              <w:t xml:space="preserve"> dieta rica em gordura reduz os ácidos graxos de cadeia curta que são importantes par</w:t>
            </w:r>
            <w:r w:rsidR="00F73CDA">
              <w:rPr>
                <w:rFonts w:eastAsia="Times New Roman"/>
                <w:shd w:val="clear" w:color="auto" w:fill="FFFFFF"/>
              </w:rPr>
              <w:t>a regular o sistema imunológico.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="00F73CDA">
              <w:rPr>
                <w:rFonts w:eastAsia="Times New Roman"/>
                <w:shd w:val="clear" w:color="auto" w:fill="FFFFFF"/>
              </w:rPr>
              <w:t>J</w:t>
            </w:r>
            <w:r>
              <w:rPr>
                <w:rFonts w:eastAsia="Times New Roman"/>
                <w:shd w:val="clear" w:color="auto" w:fill="FFFFFF"/>
              </w:rPr>
              <w:t>á a ingestão de fibras pode aumentar a produção destes ácidos graxos de cadeia curta</w:t>
            </w:r>
            <w:r w:rsidR="00F73CDA">
              <w:rPr>
                <w:rFonts w:eastAsia="Times New Roman"/>
                <w:shd w:val="clear" w:color="auto" w:fill="FFFFFF"/>
              </w:rPr>
              <w:t>,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="002D0344">
              <w:rPr>
                <w:rFonts w:eastAsia="Times New Roman"/>
                <w:shd w:val="clear" w:color="auto" w:fill="FFFFFF"/>
              </w:rPr>
              <w:t xml:space="preserve">aumentando </w:t>
            </w:r>
            <w:r>
              <w:rPr>
                <w:rFonts w:eastAsia="Times New Roman"/>
                <w:shd w:val="clear" w:color="auto" w:fill="FFFFFF"/>
              </w:rPr>
              <w:t xml:space="preserve">espécies benéficas, como a </w:t>
            </w:r>
            <w:proofErr w:type="spellStart"/>
            <w:r w:rsidRPr="00F73CDA">
              <w:rPr>
                <w:rFonts w:eastAsia="Times New Roman"/>
                <w:i/>
                <w:shd w:val="clear" w:color="auto" w:fill="FFFFFF"/>
              </w:rPr>
              <w:t>Faecalibacterium</w:t>
            </w:r>
            <w:proofErr w:type="spellEnd"/>
            <w:r w:rsidR="00F73CDA">
              <w:rPr>
                <w:rFonts w:eastAsia="Times New Roman"/>
                <w:i/>
                <w:shd w:val="clear" w:color="auto" w:fill="FFFFFF"/>
              </w:rPr>
              <w:t>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</w:p>
        </w:tc>
      </w:tr>
      <w:tr w:rsidR="00F2148E" w:rsidRPr="005E2993" w14:paraId="471398D3" w14:textId="77777777" w:rsidTr="00337290">
        <w:tc>
          <w:tcPr>
            <w:tcW w:w="993" w:type="dxa"/>
          </w:tcPr>
          <w:p w14:paraId="357E7487" w14:textId="3305ADB3" w:rsidR="00F2148E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06</w:t>
            </w:r>
          </w:p>
        </w:tc>
        <w:tc>
          <w:tcPr>
            <w:tcW w:w="1559" w:type="dxa"/>
          </w:tcPr>
          <w:p w14:paraId="4F491C67" w14:textId="7F8988F2" w:rsidR="00F2148E" w:rsidRPr="00490ADF" w:rsidRDefault="00490ADF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Boyle; Elliott, 2025</w:t>
            </w:r>
            <w:r w:rsidR="006D0F25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2D37F73" w14:textId="5CE364C5" w:rsidR="00F2148E" w:rsidRPr="00227528" w:rsidRDefault="007475D6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Novel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nutrition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strategies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and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esophageal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 w:rsidR="00227528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4110" w:type="dxa"/>
          </w:tcPr>
          <w:p w14:paraId="46CD250F" w14:textId="5D9612CD" w:rsidR="00F2148E" w:rsidRPr="00D710AB" w:rsidRDefault="00D710AB" w:rsidP="00F73CDA">
            <w:pPr>
              <w:jc w:val="center"/>
              <w:rPr>
                <w:rFonts w:eastAsia="Times New Roman"/>
                <w:shd w:val="clear" w:color="auto" w:fill="FFFFFF"/>
              </w:rPr>
            </w:pPr>
            <w:r w:rsidRPr="00D26C95">
              <w:rPr>
                <w:rFonts w:eastAsia="Times New Roman"/>
                <w:shd w:val="clear" w:color="auto" w:fill="FFFFFF"/>
              </w:rPr>
              <w:t xml:space="preserve">A </w:t>
            </w:r>
            <w:proofErr w:type="spellStart"/>
            <w:r w:rsidRPr="00D26C95">
              <w:rPr>
                <w:rFonts w:eastAsia="Times New Roman"/>
                <w:shd w:val="clear" w:color="auto" w:fill="FFFFFF"/>
              </w:rPr>
              <w:t>imunomodulaçã</w:t>
            </w:r>
            <w:r>
              <w:rPr>
                <w:rFonts w:eastAsia="Times New Roman"/>
                <w:shd w:val="clear" w:color="auto" w:fill="FFFFFF"/>
              </w:rPr>
              <w:t>o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D26C95">
              <w:rPr>
                <w:rFonts w:eastAsia="Times New Roman"/>
                <w:shd w:val="clear" w:color="auto" w:fill="FFFFFF"/>
              </w:rPr>
              <w:t xml:space="preserve">utilizando alimentos funcionais e nutrição farmacológica pode ser uma boa opção </w:t>
            </w:r>
            <w:r w:rsidR="00F73CDA">
              <w:rPr>
                <w:rFonts w:eastAsia="Times New Roman"/>
                <w:shd w:val="clear" w:color="auto" w:fill="FFFFFF"/>
              </w:rPr>
              <w:t>em pacientes oncológicos</w:t>
            </w:r>
            <w:r w:rsidRPr="00D26C95">
              <w:rPr>
                <w:rFonts w:eastAsia="Times New Roman"/>
                <w:shd w:val="clear" w:color="auto" w:fill="FFFFFF"/>
              </w:rPr>
              <w:t>. É importante manter um suprimento nutriciona</w:t>
            </w:r>
            <w:r>
              <w:rPr>
                <w:rFonts w:eastAsia="Times New Roman"/>
                <w:shd w:val="clear" w:color="auto" w:fill="FFFFFF"/>
              </w:rPr>
              <w:t xml:space="preserve">l </w:t>
            </w:r>
            <w:r w:rsidR="00A6264A">
              <w:rPr>
                <w:rFonts w:eastAsia="Times New Roman"/>
                <w:shd w:val="clear" w:color="auto" w:fill="FFFFFF"/>
              </w:rPr>
              <w:t>d</w:t>
            </w:r>
            <w:r>
              <w:rPr>
                <w:rFonts w:eastAsia="Times New Roman"/>
                <w:shd w:val="clear" w:color="auto" w:fill="FFFFFF"/>
              </w:rPr>
              <w:t xml:space="preserve">o </w:t>
            </w:r>
            <w:r w:rsidRPr="00D26C95">
              <w:rPr>
                <w:rFonts w:eastAsia="Times New Roman"/>
                <w:shd w:val="clear" w:color="auto" w:fill="FFFFFF"/>
              </w:rPr>
              <w:t>ferro e vitamina B12, já que pacientes gástricos possuem facilidade em desenvolver anemia e desnutrição pelo estado de saúde agravado.</w:t>
            </w:r>
            <w:r w:rsidR="009D31AB">
              <w:rPr>
                <w:rFonts w:eastAsia="Times New Roman"/>
                <w:shd w:val="clear" w:color="auto" w:fill="FFFFFF"/>
              </w:rPr>
              <w:t xml:space="preserve"> Fatores que podem alterar os resultados da imunoterapia. </w:t>
            </w:r>
          </w:p>
        </w:tc>
      </w:tr>
      <w:tr w:rsidR="00F2148E" w:rsidRPr="005E2993" w14:paraId="52A49668" w14:textId="77777777" w:rsidTr="00337290">
        <w:tc>
          <w:tcPr>
            <w:tcW w:w="993" w:type="dxa"/>
          </w:tcPr>
          <w:p w14:paraId="29CC0770" w14:textId="2C5F2913" w:rsidR="00F2148E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07</w:t>
            </w:r>
          </w:p>
        </w:tc>
        <w:tc>
          <w:tcPr>
            <w:tcW w:w="1559" w:type="dxa"/>
          </w:tcPr>
          <w:p w14:paraId="1346274F" w14:textId="14F6221C" w:rsidR="00F2148E" w:rsidRPr="005E2993" w:rsidRDefault="00B47C47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proofErr w:type="spellStart"/>
            <w:r w:rsidRPr="00B47C47">
              <w:rPr>
                <w:rFonts w:eastAsia="Times New Roman"/>
                <w:shd w:val="clear" w:color="auto" w:fill="FFFFFF"/>
              </w:rPr>
              <w:t>Jun</w:t>
            </w:r>
            <w:proofErr w:type="spellEnd"/>
            <w:r w:rsidRPr="00B47C47">
              <w:rPr>
                <w:rFonts w:eastAsia="Times New Roman"/>
                <w:shd w:val="clear" w:color="auto" w:fill="FFFFFF"/>
              </w:rPr>
              <w:t xml:space="preserve"> </w:t>
            </w:r>
            <w:r w:rsidRPr="006D0F25">
              <w:rPr>
                <w:rFonts w:eastAsia="Times New Roman"/>
                <w:i/>
                <w:iCs/>
                <w:shd w:val="clear" w:color="auto" w:fill="FFFFFF"/>
              </w:rPr>
              <w:t xml:space="preserve">et al. </w:t>
            </w:r>
            <w:r w:rsidRPr="00B47C47">
              <w:rPr>
                <w:rFonts w:eastAsia="Times New Roman"/>
                <w:shd w:val="clear" w:color="auto" w:fill="FFFFFF"/>
              </w:rPr>
              <w:t>202</w:t>
            </w:r>
            <w:r w:rsidR="00E9465D">
              <w:rPr>
                <w:rFonts w:eastAsia="Times New Roman"/>
                <w:shd w:val="clear" w:color="auto" w:fill="FFFFFF"/>
              </w:rPr>
              <w:t>2</w:t>
            </w:r>
            <w:r w:rsidR="00D22AFB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055ED074" w14:textId="57C6974E" w:rsidR="00F2148E" w:rsidRPr="00F90724" w:rsidRDefault="000E58AE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Effects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of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different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gastrointestinal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reconstruction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techniques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on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nutrition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, anemia,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and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quality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of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life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laparoscopic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distal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gastrectomy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for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4110" w:type="dxa"/>
          </w:tcPr>
          <w:p w14:paraId="216FA1F2" w14:textId="3AC78831" w:rsidR="00F2148E" w:rsidRPr="003D36A1" w:rsidRDefault="003D36A1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Algun</w:t>
            </w:r>
            <w:r w:rsidR="00F73CDA">
              <w:rPr>
                <w:rFonts w:eastAsia="Times New Roman"/>
                <w:shd w:val="clear" w:color="auto" w:fill="FFFFFF"/>
              </w:rPr>
              <w:t>s pacientes com câncer gástrico</w:t>
            </w:r>
            <w:r>
              <w:rPr>
                <w:rFonts w:eastAsia="Times New Roman"/>
                <w:shd w:val="clear" w:color="auto" w:fill="FFFFFF"/>
              </w:rPr>
              <w:t xml:space="preserve"> submetidos a cirurgias</w:t>
            </w:r>
            <w:r w:rsidR="007A51C5">
              <w:rPr>
                <w:rFonts w:eastAsia="Times New Roman"/>
                <w:shd w:val="clear" w:color="auto" w:fill="FFFFFF"/>
              </w:rPr>
              <w:t xml:space="preserve"> apresentaram </w:t>
            </w:r>
            <w:r>
              <w:rPr>
                <w:rFonts w:eastAsia="Times New Roman"/>
                <w:shd w:val="clear" w:color="auto" w:fill="FFFFFF"/>
              </w:rPr>
              <w:t>desnutrição e anemia</w:t>
            </w:r>
            <w:r w:rsidR="007A51C5">
              <w:rPr>
                <w:rFonts w:eastAsia="Times New Roman"/>
                <w:shd w:val="clear" w:color="auto" w:fill="FFFFFF"/>
              </w:rPr>
              <w:t>.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="00D73D70">
              <w:rPr>
                <w:rFonts w:eastAsia="Times New Roman"/>
                <w:shd w:val="clear" w:color="auto" w:fill="FFFFFF"/>
              </w:rPr>
              <w:t>A</w:t>
            </w:r>
            <w:r w:rsidR="00F73CDA">
              <w:rPr>
                <w:rFonts w:eastAsia="Times New Roman"/>
                <w:shd w:val="clear" w:color="auto" w:fill="FFFFFF"/>
              </w:rPr>
              <w:t>lém disso, a</w:t>
            </w:r>
            <w:r>
              <w:rPr>
                <w:rFonts w:eastAsia="Times New Roman"/>
                <w:shd w:val="clear" w:color="auto" w:fill="FFFFFF"/>
              </w:rPr>
              <w:t xml:space="preserve"> absorção de nutrientes estava prejudicada</w:t>
            </w:r>
            <w:r w:rsidR="00F73CDA">
              <w:rPr>
                <w:rFonts w:eastAsia="Times New Roman"/>
                <w:shd w:val="clear" w:color="auto" w:fill="FFFFFF"/>
              </w:rPr>
              <w:t>.</w:t>
            </w:r>
            <w:r w:rsidR="00D73D70">
              <w:rPr>
                <w:rFonts w:eastAsia="Times New Roman"/>
                <w:shd w:val="clear" w:color="auto" w:fill="FFFFFF"/>
              </w:rPr>
              <w:t xml:space="preserve"> </w:t>
            </w:r>
            <w:r w:rsidR="00F73CDA">
              <w:rPr>
                <w:rFonts w:eastAsia="Times New Roman"/>
                <w:shd w:val="clear" w:color="auto" w:fill="FFFFFF"/>
              </w:rPr>
              <w:t>C</w:t>
            </w:r>
            <w:r>
              <w:rPr>
                <w:rFonts w:eastAsia="Times New Roman"/>
                <w:shd w:val="clear" w:color="auto" w:fill="FFFFFF"/>
              </w:rPr>
              <w:t xml:space="preserve">om isso, a reposição nutricional foi realizada de forma parenteral ou por infusão por cateter via veia central. </w:t>
            </w:r>
            <w:r w:rsidR="00F73CDA">
              <w:rPr>
                <w:rFonts w:eastAsia="Times New Roman"/>
                <w:shd w:val="clear" w:color="auto" w:fill="FFFFFF"/>
              </w:rPr>
              <w:t>Logo, a</w:t>
            </w:r>
            <w:r>
              <w:rPr>
                <w:rFonts w:eastAsia="Times New Roman"/>
                <w:shd w:val="clear" w:color="auto" w:fill="FFFFFF"/>
              </w:rPr>
              <w:t xml:space="preserve"> ingestão dos nutrientes é importante para evitar a piora do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microbioma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do paciente.</w:t>
            </w:r>
          </w:p>
        </w:tc>
      </w:tr>
      <w:tr w:rsidR="00F2148E" w:rsidRPr="005E2993" w14:paraId="656BAF27" w14:textId="77777777" w:rsidTr="00337290">
        <w:tc>
          <w:tcPr>
            <w:tcW w:w="993" w:type="dxa"/>
          </w:tcPr>
          <w:p w14:paraId="0A6D8CDA" w14:textId="736D63E2" w:rsidR="00F2148E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08</w:t>
            </w:r>
          </w:p>
        </w:tc>
        <w:tc>
          <w:tcPr>
            <w:tcW w:w="1559" w:type="dxa"/>
          </w:tcPr>
          <w:p w14:paraId="27C13FEB" w14:textId="2E808EE1" w:rsidR="00F2148E" w:rsidRPr="00E9465D" w:rsidRDefault="00E9465D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Chen </w:t>
            </w:r>
            <w:r w:rsidRPr="00D22AFB">
              <w:rPr>
                <w:rFonts w:eastAsia="Times New Roman"/>
                <w:i/>
                <w:iCs/>
                <w:shd w:val="clear" w:color="auto" w:fill="FFFFFF"/>
              </w:rPr>
              <w:t>et al.</w:t>
            </w:r>
            <w:r>
              <w:rPr>
                <w:rFonts w:eastAsia="Times New Roman"/>
                <w:shd w:val="clear" w:color="auto" w:fill="FFFFFF"/>
              </w:rPr>
              <w:t xml:space="preserve"> 2025</w:t>
            </w:r>
            <w:r w:rsidR="00D22AFB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3BBDE11B" w14:textId="6277D1A6" w:rsidR="00F2148E" w:rsidRPr="008474B1" w:rsidRDefault="00154180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Microbiota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and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: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from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molecular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mechanisms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to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therapeutic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strategies</w:t>
            </w:r>
            <w:proofErr w:type="spellEnd"/>
            <w:r w:rsidR="008474B1" w:rsidRPr="008B64A9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4110" w:type="dxa"/>
          </w:tcPr>
          <w:p w14:paraId="7E718E43" w14:textId="0C022374" w:rsidR="00F2148E" w:rsidRPr="00CD21AB" w:rsidRDefault="002E469B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O</w:t>
            </w:r>
            <w:r w:rsidR="00CD21AB" w:rsidRPr="00D26C95">
              <w:rPr>
                <w:rFonts w:eastAsia="Times New Roman"/>
                <w:shd w:val="clear" w:color="auto" w:fill="FFFFFF"/>
              </w:rPr>
              <w:t xml:space="preserve">s suplementos probióticos como </w:t>
            </w:r>
            <w:r w:rsidR="00CD21AB" w:rsidRPr="004312BD">
              <w:rPr>
                <w:rFonts w:eastAsia="Times New Roman"/>
                <w:i/>
                <w:shd w:val="clear" w:color="auto" w:fill="FFFFFF"/>
              </w:rPr>
              <w:t>Bifidobacterium</w:t>
            </w:r>
            <w:r w:rsidR="00CD21AB" w:rsidRPr="00D26C95">
              <w:rPr>
                <w:rFonts w:eastAsia="Times New Roman"/>
                <w:shd w:val="clear" w:color="auto" w:fill="FFFFFF"/>
              </w:rPr>
              <w:t xml:space="preserve"> e </w:t>
            </w:r>
            <w:r w:rsidR="00CD21AB" w:rsidRPr="004312BD">
              <w:rPr>
                <w:rFonts w:eastAsia="Times New Roman"/>
                <w:i/>
                <w:shd w:val="clear" w:color="auto" w:fill="FFFFFF"/>
              </w:rPr>
              <w:t>Lactobacillus</w:t>
            </w:r>
            <w:r w:rsidR="00CD21AB" w:rsidRPr="00D26C95">
              <w:rPr>
                <w:rFonts w:eastAsia="Times New Roman"/>
                <w:shd w:val="clear" w:color="auto" w:fill="FFFFFF"/>
              </w:rPr>
              <w:t xml:space="preserve"> </w:t>
            </w:r>
            <w:r w:rsidR="00CD21AB" w:rsidRPr="004312BD">
              <w:rPr>
                <w:rFonts w:eastAsia="Times New Roman"/>
                <w:i/>
                <w:shd w:val="clear" w:color="auto" w:fill="FFFFFF"/>
              </w:rPr>
              <w:t>spp</w:t>
            </w:r>
            <w:r w:rsidR="00CD21AB" w:rsidRPr="00D26C95">
              <w:rPr>
                <w:rFonts w:eastAsia="Times New Roman"/>
                <w:shd w:val="clear" w:color="auto" w:fill="FFFFFF"/>
              </w:rPr>
              <w:t>. p</w:t>
            </w:r>
            <w:r w:rsidR="00CD21AB">
              <w:rPr>
                <w:rFonts w:eastAsia="Times New Roman"/>
                <w:shd w:val="clear" w:color="auto" w:fill="FFFFFF"/>
              </w:rPr>
              <w:t xml:space="preserve">odem regular a resposta imune, </w:t>
            </w:r>
            <w:r w:rsidR="00CD21AB" w:rsidRPr="00D26C95">
              <w:rPr>
                <w:rFonts w:eastAsia="Times New Roman"/>
                <w:shd w:val="clear" w:color="auto" w:fill="FFFFFF"/>
              </w:rPr>
              <w:t xml:space="preserve">manter a integridade da barreira mucosa, regular o pH intestinal e aumentar a imunidade antitumoral.  Além disso, o uso de probióticos pode restaurar o microambiente intestinal e reduzir os efeitos colaterais das terapias contra o câncer, como </w:t>
            </w:r>
            <w:r w:rsidR="00CD21AB">
              <w:rPr>
                <w:rFonts w:eastAsia="Times New Roman"/>
                <w:shd w:val="clear" w:color="auto" w:fill="FFFFFF"/>
              </w:rPr>
              <w:t xml:space="preserve">a </w:t>
            </w:r>
            <w:r w:rsidR="00CD21AB" w:rsidRPr="00D26C95">
              <w:rPr>
                <w:rFonts w:eastAsia="Times New Roman"/>
                <w:shd w:val="clear" w:color="auto" w:fill="FFFFFF"/>
              </w:rPr>
              <w:t>diarreia</w:t>
            </w:r>
            <w:r w:rsidR="0048024E">
              <w:rPr>
                <w:rFonts w:eastAsia="Times New Roman"/>
                <w:shd w:val="clear" w:color="auto" w:fill="FFFFFF"/>
              </w:rPr>
              <w:t>.</w:t>
            </w:r>
          </w:p>
        </w:tc>
      </w:tr>
      <w:tr w:rsidR="00F2148E" w:rsidRPr="005E2993" w14:paraId="1BED9011" w14:textId="77777777" w:rsidTr="00337290">
        <w:tc>
          <w:tcPr>
            <w:tcW w:w="993" w:type="dxa"/>
          </w:tcPr>
          <w:p w14:paraId="451602D6" w14:textId="2D16053A" w:rsidR="00F2148E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09</w:t>
            </w:r>
          </w:p>
        </w:tc>
        <w:tc>
          <w:tcPr>
            <w:tcW w:w="1559" w:type="dxa"/>
          </w:tcPr>
          <w:p w14:paraId="7877940B" w14:textId="4EB5C62D" w:rsidR="00F2148E" w:rsidRPr="00E9465D" w:rsidRDefault="00E9465D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Nguyen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Pr="00D22AFB">
              <w:rPr>
                <w:rFonts w:eastAsia="Times New Roman"/>
                <w:i/>
                <w:iCs/>
                <w:shd w:val="clear" w:color="auto" w:fill="FFFFFF"/>
              </w:rPr>
              <w:t>et al.</w:t>
            </w:r>
            <w:r w:rsidR="00D22AFB">
              <w:rPr>
                <w:rFonts w:eastAsia="Times New Roman"/>
                <w:i/>
                <w:iCs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hd w:val="clear" w:color="auto" w:fill="FFFFFF"/>
              </w:rPr>
              <w:t>2022</w:t>
            </w:r>
            <w:r w:rsidR="00D22AFB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1E777511" w14:textId="1E8710FA" w:rsidR="00F2148E" w:rsidRPr="00543753" w:rsidRDefault="00F817AA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shd w:val="clear" w:color="auto" w:fill="FFFFFF"/>
              </w:rPr>
              <w:t>Vitamin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D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intake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and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gastric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cancer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Viet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Nam: a case-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control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study</w:t>
            </w:r>
            <w:proofErr w:type="spellEnd"/>
            <w:r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4110" w:type="dxa"/>
          </w:tcPr>
          <w:p w14:paraId="67D2C572" w14:textId="5F0C77A9" w:rsidR="00F2148E" w:rsidRPr="0048024E" w:rsidRDefault="00F73CDA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A vitamina D</w:t>
            </w:r>
            <w:r w:rsidR="0048024E">
              <w:rPr>
                <w:rFonts w:eastAsia="Times New Roman"/>
                <w:shd w:val="clear" w:color="auto" w:fill="FFFFFF"/>
              </w:rPr>
              <w:t xml:space="preserve"> pode aumentar a eficácia da terapia com inibidores do ponto de controle imunológico. Ela exerce um efeito inibindo as respostas das células Th1 e Th17 e diminuindo a síntese de citocinas inflamatórias. Além disso, a vitamina D, ao alterar a expressão de genes na remodelação da matriz extracelular, pode modificar o microambiente extracelular do tumor e impedir a progressão do câncer gástrico</w:t>
            </w:r>
            <w:r w:rsidR="002E3C26">
              <w:rPr>
                <w:rFonts w:eastAsia="Times New Roman"/>
                <w:shd w:val="clear" w:color="auto" w:fill="FFFFFF"/>
              </w:rPr>
              <w:t>.</w:t>
            </w:r>
          </w:p>
        </w:tc>
      </w:tr>
      <w:tr w:rsidR="00F2148E" w:rsidRPr="005E2993" w14:paraId="4410D4AF" w14:textId="77777777" w:rsidTr="00337290">
        <w:tc>
          <w:tcPr>
            <w:tcW w:w="993" w:type="dxa"/>
          </w:tcPr>
          <w:p w14:paraId="231256FF" w14:textId="4D936C4F" w:rsidR="00F2148E" w:rsidRDefault="00F2148E" w:rsidP="00845B8E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1559" w:type="dxa"/>
          </w:tcPr>
          <w:p w14:paraId="11A02B43" w14:textId="40F6E00E" w:rsidR="00F2148E" w:rsidRPr="00E9465D" w:rsidRDefault="00A5763C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Wang</w:t>
            </w:r>
            <w:r w:rsidR="00E9465D">
              <w:rPr>
                <w:rFonts w:eastAsia="Times New Roman"/>
                <w:shd w:val="clear" w:color="auto" w:fill="FFFFFF"/>
              </w:rPr>
              <w:t xml:space="preserve">, </w:t>
            </w:r>
            <w:r w:rsidR="00E9465D" w:rsidRPr="00D22AFB">
              <w:rPr>
                <w:rFonts w:eastAsia="Times New Roman"/>
                <w:i/>
                <w:iCs/>
                <w:shd w:val="clear" w:color="auto" w:fill="FFFFFF"/>
              </w:rPr>
              <w:t>et al.</w:t>
            </w:r>
            <w:r w:rsidR="00E9465D">
              <w:rPr>
                <w:rFonts w:eastAsia="Times New Roman"/>
                <w:shd w:val="clear" w:color="auto" w:fill="FFFFFF"/>
              </w:rPr>
              <w:t xml:space="preserve"> </w:t>
            </w:r>
            <w:r w:rsidR="00E9465D" w:rsidRPr="008D0DA0">
              <w:rPr>
                <w:rFonts w:eastAsia="Times New Roman"/>
                <w:shd w:val="clear" w:color="auto" w:fill="FFFFFF"/>
              </w:rPr>
              <w:t>201</w:t>
            </w:r>
            <w:r w:rsidRPr="008D0DA0">
              <w:rPr>
                <w:rFonts w:eastAsia="Times New Roman"/>
                <w:shd w:val="clear" w:color="auto" w:fill="FFFFFF"/>
              </w:rPr>
              <w:t>8</w:t>
            </w:r>
            <w:r w:rsidR="00490CCD" w:rsidRPr="008D0DA0">
              <w:rPr>
                <w:rFonts w:eastAsia="Times New Roman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14:paraId="48A86CC6" w14:textId="74C46EAE" w:rsidR="00F2148E" w:rsidRPr="00A5763C" w:rsidRDefault="00992C0F" w:rsidP="00845B8E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Fecal microbiota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transplantation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for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refractory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immune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checkpoint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inhibitor-associated</w:t>
            </w:r>
            <w:proofErr w:type="spellEnd"/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shd w:val="clear" w:color="auto" w:fill="FFFFFF"/>
              </w:rPr>
              <w:t>colitis</w:t>
            </w:r>
            <w:proofErr w:type="spellEnd"/>
            <w:r w:rsidR="00A5763C">
              <w:rPr>
                <w:rFonts w:eastAsia="Times New Roman"/>
                <w:shd w:val="clear" w:color="auto" w:fill="FFFFFF"/>
              </w:rPr>
              <w:t xml:space="preserve">. </w:t>
            </w:r>
          </w:p>
        </w:tc>
        <w:tc>
          <w:tcPr>
            <w:tcW w:w="4110" w:type="dxa"/>
          </w:tcPr>
          <w:p w14:paraId="0061D40E" w14:textId="2ED81A46" w:rsidR="00F2148E" w:rsidRPr="007A3E6E" w:rsidRDefault="004B0EC7" w:rsidP="0073799F">
            <w:pPr>
              <w:jc w:val="center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U</w:t>
            </w:r>
            <w:r w:rsidR="007A3E6E">
              <w:rPr>
                <w:rFonts w:eastAsia="Times New Roman"/>
                <w:shd w:val="clear" w:color="auto" w:fill="FFFFFF"/>
              </w:rPr>
              <w:t>ma das ferramentas utilizadas é o transplante de bactérias fecais</w:t>
            </w:r>
            <w:r>
              <w:rPr>
                <w:rFonts w:eastAsia="Times New Roman"/>
                <w:shd w:val="clear" w:color="auto" w:fill="FFFFFF"/>
              </w:rPr>
              <w:t xml:space="preserve">, </w:t>
            </w:r>
            <w:r w:rsidR="0073799F">
              <w:rPr>
                <w:rFonts w:eastAsia="Times New Roman"/>
                <w:shd w:val="clear" w:color="auto" w:fill="FFFFFF"/>
              </w:rPr>
              <w:t>principalmente</w:t>
            </w:r>
            <w:r>
              <w:rPr>
                <w:rFonts w:eastAsia="Times New Roman"/>
                <w:shd w:val="clear" w:color="auto" w:fill="FFFFFF"/>
              </w:rPr>
              <w:t xml:space="preserve"> em pacientes que não respondem a outros tratamentos</w:t>
            </w:r>
            <w:r w:rsidR="007A3E6E">
              <w:rPr>
                <w:rFonts w:eastAsia="Times New Roman"/>
                <w:shd w:val="clear" w:color="auto" w:fill="FFFFFF"/>
              </w:rPr>
              <w:t xml:space="preserve">. </w:t>
            </w:r>
            <w:r w:rsidR="0073799F">
              <w:rPr>
                <w:rFonts w:eastAsia="Times New Roman"/>
                <w:shd w:val="clear" w:color="auto" w:fill="FFFFFF"/>
              </w:rPr>
              <w:t>Esta terapia p</w:t>
            </w:r>
            <w:r w:rsidR="00092C05">
              <w:rPr>
                <w:rFonts w:eastAsia="Times New Roman"/>
                <w:shd w:val="clear" w:color="auto" w:fill="FFFFFF"/>
              </w:rPr>
              <w:t>ode</w:t>
            </w:r>
            <w:r w:rsidR="007A3E6E">
              <w:rPr>
                <w:rFonts w:eastAsia="Times New Roman"/>
                <w:shd w:val="clear" w:color="auto" w:fill="FFFFFF"/>
              </w:rPr>
              <w:t xml:space="preserve"> combater tumores por meio da reparação da microbiota intestinal, aumentando a proporção de células T reguladoras na mucosa crônica</w:t>
            </w:r>
            <w:r w:rsidR="00092C05">
              <w:rPr>
                <w:rFonts w:eastAsia="Times New Roman"/>
                <w:shd w:val="clear" w:color="auto" w:fill="FFFFFF"/>
              </w:rPr>
              <w:t>,</w:t>
            </w:r>
            <w:r w:rsidR="007A3E6E">
              <w:rPr>
                <w:rFonts w:eastAsia="Times New Roman"/>
                <w:shd w:val="clear" w:color="auto" w:fill="FFFFFF"/>
              </w:rPr>
              <w:t xml:space="preserve"> </w:t>
            </w:r>
            <w:r w:rsidR="0073799F">
              <w:rPr>
                <w:rFonts w:eastAsia="Times New Roman"/>
                <w:shd w:val="clear" w:color="auto" w:fill="FFFFFF"/>
              </w:rPr>
              <w:t xml:space="preserve">além de </w:t>
            </w:r>
            <w:r w:rsidR="007A3E6E">
              <w:rPr>
                <w:rFonts w:eastAsia="Times New Roman"/>
                <w:shd w:val="clear" w:color="auto" w:fill="FFFFFF"/>
              </w:rPr>
              <w:t>apresenta</w:t>
            </w:r>
            <w:r w:rsidR="0073799F">
              <w:rPr>
                <w:rFonts w:eastAsia="Times New Roman"/>
                <w:shd w:val="clear" w:color="auto" w:fill="FFFFFF"/>
              </w:rPr>
              <w:t>r</w:t>
            </w:r>
            <w:r w:rsidR="007A3E6E">
              <w:rPr>
                <w:rFonts w:eastAsia="Times New Roman"/>
                <w:shd w:val="clear" w:color="auto" w:fill="FFFFFF"/>
              </w:rPr>
              <w:t xml:space="preserve"> grande potencial na redução de efeitos colaterais da imunoterapia contra o câncer</w:t>
            </w:r>
            <w:r w:rsidR="009C6204">
              <w:rPr>
                <w:rFonts w:eastAsia="Times New Roman"/>
                <w:shd w:val="clear" w:color="auto" w:fill="FFFFFF"/>
              </w:rPr>
              <w:t>.</w:t>
            </w:r>
          </w:p>
        </w:tc>
      </w:tr>
    </w:tbl>
    <w:p w14:paraId="6D7E8D5B" w14:textId="184AD06C" w:rsidR="00D26C95" w:rsidRPr="00F73CDA" w:rsidRDefault="008E4217" w:rsidP="004071DD">
      <w:pPr>
        <w:spacing w:line="360" w:lineRule="auto"/>
        <w:rPr>
          <w:rFonts w:eastAsia="Times New Roman"/>
          <w:bCs/>
          <w:szCs w:val="24"/>
        </w:rPr>
      </w:pPr>
      <w:r w:rsidRPr="00F73CDA">
        <w:rPr>
          <w:rFonts w:eastAsia="Times New Roman"/>
          <w:bCs/>
          <w:szCs w:val="24"/>
        </w:rPr>
        <w:t>Fonte:</w:t>
      </w:r>
      <w:r w:rsidR="004B3A5C" w:rsidRPr="00F73CDA">
        <w:rPr>
          <w:rFonts w:eastAsia="Times New Roman"/>
          <w:bCs/>
          <w:szCs w:val="24"/>
        </w:rPr>
        <w:t xml:space="preserve"> Autor próprio, 2025. </w:t>
      </w:r>
    </w:p>
    <w:p w14:paraId="7F0F901C" w14:textId="77777777" w:rsidR="00845B8E" w:rsidRDefault="00845B8E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B1C3EF9" w14:textId="0079D6A9" w:rsidR="00D26C95" w:rsidRPr="00D26C95" w:rsidRDefault="00D26C95" w:rsidP="0068466C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 xml:space="preserve">Pacientes com câncer gástrico são altamente susceptíveis ao desenvolvimento de comorbidades associadas </w:t>
      </w:r>
      <w:r w:rsidR="00730EED">
        <w:rPr>
          <w:rFonts w:eastAsia="Times New Roman"/>
          <w:sz w:val="24"/>
          <w:shd w:val="clear" w:color="auto" w:fill="FFFFFF"/>
        </w:rPr>
        <w:t>à</w:t>
      </w:r>
      <w:r w:rsidRPr="00D26C95">
        <w:rPr>
          <w:rFonts w:eastAsia="Times New Roman"/>
          <w:sz w:val="24"/>
          <w:shd w:val="clear" w:color="auto" w:fill="FFFFFF"/>
        </w:rPr>
        <w:t xml:space="preserve"> doença. Muitos indivíduos podem desenvolver desnutrição por conta da ingestão alimentar dificultada, além de muitas outras deficiências</w:t>
      </w:r>
      <w:r w:rsidR="00730EED">
        <w:rPr>
          <w:rFonts w:eastAsia="Times New Roman"/>
          <w:sz w:val="24"/>
          <w:shd w:val="clear" w:color="auto" w:fill="FFFFFF"/>
        </w:rPr>
        <w:t xml:space="preserve"> nutricionais</w:t>
      </w:r>
      <w:r w:rsidR="0068466C">
        <w:rPr>
          <w:rFonts w:eastAsia="Times New Roman"/>
          <w:sz w:val="24"/>
          <w:shd w:val="clear" w:color="auto" w:fill="FFFFFF"/>
        </w:rPr>
        <w:t xml:space="preserve">, </w:t>
      </w:r>
      <w:r w:rsidR="00C556E2">
        <w:rPr>
          <w:rFonts w:eastAsia="Times New Roman"/>
          <w:sz w:val="24"/>
          <w:shd w:val="clear" w:color="auto" w:fill="FFFFFF"/>
        </w:rPr>
        <w:t>corroborando</w:t>
      </w:r>
      <w:r w:rsidR="0068466C">
        <w:rPr>
          <w:rFonts w:eastAsia="Times New Roman"/>
          <w:sz w:val="24"/>
          <w:shd w:val="clear" w:color="auto" w:fill="FFFFFF"/>
        </w:rPr>
        <w:t xml:space="preserve"> com os estudos de </w:t>
      </w:r>
      <w:r w:rsidR="0068466C" w:rsidRPr="00D26C95">
        <w:rPr>
          <w:rFonts w:eastAsia="Times New Roman"/>
          <w:sz w:val="24"/>
          <w:shd w:val="clear" w:color="auto" w:fill="FFFFFF"/>
        </w:rPr>
        <w:t>Boyle</w:t>
      </w:r>
      <w:r w:rsidR="0068466C">
        <w:rPr>
          <w:rFonts w:eastAsia="Times New Roman"/>
          <w:sz w:val="24"/>
          <w:shd w:val="clear" w:color="auto" w:fill="FFFFFF"/>
        </w:rPr>
        <w:t xml:space="preserve"> e Elliott (2025) e </w:t>
      </w:r>
      <w:proofErr w:type="spellStart"/>
      <w:r w:rsidR="0068466C" w:rsidRPr="00D26C95">
        <w:rPr>
          <w:rFonts w:eastAsia="Times New Roman"/>
          <w:sz w:val="24"/>
          <w:shd w:val="clear" w:color="auto" w:fill="FFFFFF"/>
        </w:rPr>
        <w:t>Jun</w:t>
      </w:r>
      <w:proofErr w:type="spellEnd"/>
      <w:r w:rsidR="0068466C" w:rsidRPr="00D26C95">
        <w:rPr>
          <w:rFonts w:eastAsia="Times New Roman"/>
          <w:sz w:val="24"/>
          <w:shd w:val="clear" w:color="auto" w:fill="FFFFFF"/>
        </w:rPr>
        <w:t xml:space="preserve"> </w:t>
      </w:r>
      <w:r w:rsidR="0068466C" w:rsidRPr="00D26C95">
        <w:rPr>
          <w:rFonts w:eastAsia="Times New Roman"/>
          <w:i/>
          <w:iCs/>
          <w:sz w:val="24"/>
          <w:shd w:val="clear" w:color="auto" w:fill="FFFFFF"/>
        </w:rPr>
        <w:t>et al.</w:t>
      </w:r>
      <w:r w:rsidR="0068466C">
        <w:rPr>
          <w:rFonts w:eastAsia="Times New Roman"/>
          <w:sz w:val="24"/>
          <w:shd w:val="clear" w:color="auto" w:fill="FFFFFF"/>
        </w:rPr>
        <w:t xml:space="preserve"> (2022)</w:t>
      </w:r>
      <w:r w:rsidR="00730EED">
        <w:rPr>
          <w:rFonts w:eastAsia="Times New Roman"/>
          <w:sz w:val="24"/>
          <w:shd w:val="clear" w:color="auto" w:fill="FFFFFF"/>
        </w:rPr>
        <w:t>. Esses fatores tê</w:t>
      </w:r>
      <w:r w:rsidRPr="00D26C95">
        <w:rPr>
          <w:rFonts w:eastAsia="Times New Roman"/>
          <w:sz w:val="24"/>
          <w:shd w:val="clear" w:color="auto" w:fill="FFFFFF"/>
        </w:rPr>
        <w:t>m impacto negativo s</w:t>
      </w:r>
      <w:r w:rsidR="00730EED">
        <w:rPr>
          <w:rFonts w:eastAsia="Times New Roman"/>
          <w:sz w:val="24"/>
          <w:shd w:val="clear" w:color="auto" w:fill="FFFFFF"/>
        </w:rPr>
        <w:t>obre a microbiota e a defesa imunológica</w:t>
      </w:r>
      <w:r w:rsidRPr="00D26C95">
        <w:rPr>
          <w:rFonts w:eastAsia="Times New Roman"/>
          <w:sz w:val="24"/>
          <w:shd w:val="clear" w:color="auto" w:fill="FFFFFF"/>
        </w:rPr>
        <w:t>, assim como a disbiose propriamente dita, antes e durante o câncer. D</w:t>
      </w:r>
      <w:r w:rsidR="00730EED">
        <w:rPr>
          <w:rFonts w:eastAsia="Times New Roman"/>
          <w:sz w:val="24"/>
          <w:shd w:val="clear" w:color="auto" w:fill="FFFFFF"/>
        </w:rPr>
        <w:t>essa</w:t>
      </w:r>
      <w:r w:rsidRPr="00D26C95">
        <w:rPr>
          <w:rFonts w:eastAsia="Times New Roman"/>
          <w:sz w:val="24"/>
          <w:shd w:val="clear" w:color="auto" w:fill="FFFFFF"/>
        </w:rPr>
        <w:t xml:space="preserve"> maneira, o cuidado nutricional pode prolongar a sobrevivência de</w:t>
      </w:r>
      <w:r w:rsidR="00730EED">
        <w:rPr>
          <w:rFonts w:eastAsia="Times New Roman"/>
          <w:sz w:val="24"/>
          <w:shd w:val="clear" w:color="auto" w:fill="FFFFFF"/>
        </w:rPr>
        <w:t>sses</w:t>
      </w:r>
      <w:r w:rsidRPr="00D26C95">
        <w:rPr>
          <w:rFonts w:eastAsia="Times New Roman"/>
          <w:sz w:val="24"/>
          <w:shd w:val="clear" w:color="auto" w:fill="FFFFFF"/>
        </w:rPr>
        <w:t xml:space="preserve"> pacientes, </w:t>
      </w:r>
      <w:r w:rsidR="00730EED">
        <w:rPr>
          <w:rFonts w:eastAsia="Times New Roman"/>
          <w:sz w:val="24"/>
          <w:shd w:val="clear" w:color="auto" w:fill="FFFFFF"/>
        </w:rPr>
        <w:t xml:space="preserve">mesmo com o estágio do câncer </w:t>
      </w:r>
      <w:r w:rsidRPr="00D26C95">
        <w:rPr>
          <w:rFonts w:eastAsia="Times New Roman"/>
          <w:sz w:val="24"/>
          <w:shd w:val="clear" w:color="auto" w:fill="FFFFFF"/>
        </w:rPr>
        <w:t>avançado (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Mizukami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;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Piao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, 2021). </w:t>
      </w:r>
    </w:p>
    <w:p w14:paraId="05A8DB02" w14:textId="4CC75231" w:rsidR="00D26C95" w:rsidRP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 xml:space="preserve">A disbiose da microbiota é associada a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tumorigênese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no estômago, uma vez que os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microbiomas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fúngicos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podem levar a um processo maligno. </w:t>
      </w:r>
      <w:r w:rsidR="007F5899">
        <w:rPr>
          <w:rFonts w:eastAsia="Times New Roman"/>
          <w:sz w:val="24"/>
          <w:shd w:val="clear" w:color="auto" w:fill="FFFFFF"/>
        </w:rPr>
        <w:t xml:space="preserve">Este </w:t>
      </w:r>
      <w:r w:rsidRPr="00D26C95">
        <w:rPr>
          <w:rFonts w:eastAsia="Times New Roman"/>
          <w:sz w:val="24"/>
          <w:shd w:val="clear" w:color="auto" w:fill="FFFFFF"/>
        </w:rPr>
        <w:t xml:space="preserve">desequilíbrio da microbiota gástrica foi observado principalmente em pacientes com câncer gástrico, onde as espécies e </w:t>
      </w:r>
      <w:r w:rsidR="007F5899">
        <w:rPr>
          <w:rFonts w:eastAsia="Times New Roman"/>
          <w:sz w:val="24"/>
          <w:shd w:val="clear" w:color="auto" w:fill="FFFFFF"/>
        </w:rPr>
        <w:t xml:space="preserve">a </w:t>
      </w:r>
      <w:r w:rsidRPr="00D26C95">
        <w:rPr>
          <w:rFonts w:eastAsia="Times New Roman"/>
          <w:sz w:val="24"/>
          <w:shd w:val="clear" w:color="auto" w:fill="FFFFFF"/>
        </w:rPr>
        <w:t>distribuição de microbiota fúngica estavam em abundância</w:t>
      </w:r>
      <w:r w:rsidR="007F5899">
        <w:rPr>
          <w:rFonts w:eastAsia="Times New Roman"/>
          <w:sz w:val="24"/>
          <w:shd w:val="clear" w:color="auto" w:fill="FFFFFF"/>
        </w:rPr>
        <w:t xml:space="preserve">. </w:t>
      </w:r>
      <w:r w:rsidR="007F5899" w:rsidRPr="00D26C95">
        <w:rPr>
          <w:rFonts w:eastAsia="Times New Roman"/>
          <w:sz w:val="24"/>
          <w:shd w:val="clear" w:color="auto" w:fill="FFFFFF"/>
        </w:rPr>
        <w:t>A</w:t>
      </w:r>
      <w:r w:rsidRPr="00D26C95">
        <w:rPr>
          <w:rFonts w:eastAsia="Times New Roman"/>
          <w:sz w:val="24"/>
          <w:shd w:val="clear" w:color="auto" w:fill="FFFFFF"/>
        </w:rPr>
        <w:t>s</w:t>
      </w:r>
      <w:r w:rsidR="0073799F">
        <w:rPr>
          <w:rFonts w:eastAsia="Times New Roman"/>
          <w:sz w:val="24"/>
          <w:shd w:val="clear" w:color="auto" w:fill="FFFFFF"/>
        </w:rPr>
        <w:t xml:space="preserve">sim, </w:t>
      </w:r>
      <w:r w:rsidRPr="00D26C95">
        <w:rPr>
          <w:rFonts w:eastAsia="Times New Roman"/>
          <w:sz w:val="24"/>
          <w:shd w:val="clear" w:color="auto" w:fill="FFFFFF"/>
        </w:rPr>
        <w:t xml:space="preserve">uma disbiose exacerbada com microbiota fúngica no microambiente do câncer gástrico </w:t>
      </w:r>
      <w:r w:rsidR="00C53AE2">
        <w:rPr>
          <w:rFonts w:eastAsia="Times New Roman"/>
          <w:sz w:val="24"/>
          <w:shd w:val="clear" w:color="auto" w:fill="FFFFFF"/>
        </w:rPr>
        <w:t>pode causar</w:t>
      </w:r>
      <w:r w:rsidRPr="00D26C95">
        <w:rPr>
          <w:rFonts w:eastAsia="Times New Roman"/>
          <w:sz w:val="24"/>
          <w:shd w:val="clear" w:color="auto" w:fill="FFFFFF"/>
        </w:rPr>
        <w:t xml:space="preserve"> efeito negativo na cura ou melhora do quadro clínico do paciente (Zhang </w:t>
      </w:r>
      <w:r w:rsidRPr="00D26C95">
        <w:rPr>
          <w:rFonts w:eastAsia="Times New Roman"/>
          <w:i/>
          <w:iCs/>
          <w:sz w:val="24"/>
          <w:shd w:val="clear" w:color="auto" w:fill="FFFFFF"/>
        </w:rPr>
        <w:t>et al.,</w:t>
      </w:r>
      <w:r w:rsidRPr="00D26C95">
        <w:rPr>
          <w:rFonts w:eastAsia="Times New Roman"/>
          <w:sz w:val="24"/>
          <w:shd w:val="clear" w:color="auto" w:fill="FFFFFF"/>
        </w:rPr>
        <w:t xml:space="preserve"> 2022).</w:t>
      </w:r>
    </w:p>
    <w:p w14:paraId="39E69BA4" w14:textId="15A4419C" w:rsidR="00D26C95" w:rsidRPr="00D26C95" w:rsidRDefault="00C53AE2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 xml:space="preserve">Estes dados </w:t>
      </w:r>
      <w:r w:rsidR="00C556E2">
        <w:rPr>
          <w:rFonts w:eastAsia="Times New Roman"/>
          <w:sz w:val="24"/>
          <w:shd w:val="clear" w:color="auto" w:fill="FFFFFF"/>
        </w:rPr>
        <w:t>assemelham-se</w:t>
      </w:r>
      <w:r>
        <w:rPr>
          <w:rFonts w:eastAsia="Times New Roman"/>
          <w:sz w:val="24"/>
          <w:shd w:val="clear" w:color="auto" w:fill="FFFFFF"/>
        </w:rPr>
        <w:t xml:space="preserve"> com o estudo de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Zaramella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</w:t>
      </w:r>
      <w:r w:rsidRPr="00D26C95">
        <w:rPr>
          <w:rFonts w:eastAsia="Times New Roman"/>
          <w:i/>
          <w:iCs/>
          <w:sz w:val="24"/>
          <w:shd w:val="clear" w:color="auto" w:fill="FFFFFF"/>
        </w:rPr>
        <w:t xml:space="preserve">et al. </w:t>
      </w:r>
      <w:r>
        <w:rPr>
          <w:rFonts w:eastAsia="Times New Roman"/>
          <w:iCs/>
          <w:sz w:val="24"/>
          <w:shd w:val="clear" w:color="auto" w:fill="FFFFFF"/>
        </w:rPr>
        <w:t>(</w:t>
      </w:r>
      <w:r w:rsidRPr="00D26C95">
        <w:rPr>
          <w:rFonts w:eastAsia="Times New Roman"/>
          <w:sz w:val="24"/>
          <w:shd w:val="clear" w:color="auto" w:fill="FFFFFF"/>
        </w:rPr>
        <w:t>2024</w:t>
      </w:r>
      <w:r>
        <w:rPr>
          <w:rFonts w:eastAsia="Times New Roman"/>
          <w:sz w:val="24"/>
          <w:shd w:val="clear" w:color="auto" w:fill="FFFFFF"/>
        </w:rPr>
        <w:t>), o qual destaca que g</w:t>
      </w:r>
      <w:r w:rsidR="00BF51F6">
        <w:rPr>
          <w:rFonts w:eastAsia="Times New Roman"/>
          <w:sz w:val="24"/>
          <w:shd w:val="clear" w:color="auto" w:fill="FFFFFF"/>
        </w:rPr>
        <w:t>êneros como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D26C95" w:rsidRPr="00C53AE2">
        <w:rPr>
          <w:rFonts w:eastAsia="Times New Roman"/>
          <w:i/>
          <w:sz w:val="24"/>
          <w:shd w:val="clear" w:color="auto" w:fill="FFFFFF"/>
        </w:rPr>
        <w:t>Enterobactereceae</w:t>
      </w:r>
      <w:proofErr w:type="spellEnd"/>
      <w:r w:rsidR="00D26C95" w:rsidRPr="00D26C95">
        <w:rPr>
          <w:rFonts w:eastAsia="Times New Roman"/>
          <w:sz w:val="24"/>
          <w:shd w:val="clear" w:color="auto" w:fill="FFFFFF"/>
        </w:rPr>
        <w:t xml:space="preserve"> e </w:t>
      </w:r>
      <w:proofErr w:type="spellStart"/>
      <w:r w:rsidR="00D26C95" w:rsidRPr="00C53AE2">
        <w:rPr>
          <w:rFonts w:eastAsia="Times New Roman"/>
          <w:i/>
          <w:sz w:val="24"/>
          <w:shd w:val="clear" w:color="auto" w:fill="FFFFFF"/>
        </w:rPr>
        <w:t>Burkholderiaceae</w:t>
      </w:r>
      <w:proofErr w:type="spellEnd"/>
      <w:r w:rsidR="00D26C95" w:rsidRPr="00D26C95">
        <w:rPr>
          <w:rFonts w:eastAsia="Times New Roman"/>
          <w:sz w:val="24"/>
          <w:shd w:val="clear" w:color="auto" w:fill="FFFFFF"/>
        </w:rPr>
        <w:t xml:space="preserve"> foram identificadas em alguns pacientes gástricos, sendo relacionadas ao desenvolvimento do</w:t>
      </w:r>
      <w:r>
        <w:rPr>
          <w:rFonts w:eastAsia="Times New Roman"/>
          <w:sz w:val="24"/>
          <w:shd w:val="clear" w:color="auto" w:fill="FFFFFF"/>
        </w:rPr>
        <w:t xml:space="preserve"> câncer e aumento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da proliferação celular, migração e inibição de apoptose durante os estágios da doença. </w:t>
      </w:r>
      <w:proofErr w:type="spellStart"/>
      <w:r w:rsidR="00D26C95" w:rsidRPr="00C53AE2">
        <w:rPr>
          <w:rFonts w:eastAsia="Times New Roman"/>
          <w:i/>
          <w:sz w:val="24"/>
          <w:shd w:val="clear" w:color="auto" w:fill="FFFFFF"/>
        </w:rPr>
        <w:t>Enterobactereceae</w:t>
      </w:r>
      <w:proofErr w:type="spellEnd"/>
      <w:r w:rsidR="00D26C95" w:rsidRPr="00D26C95">
        <w:rPr>
          <w:rFonts w:eastAsia="Times New Roman"/>
          <w:sz w:val="24"/>
          <w:shd w:val="clear" w:color="auto" w:fill="FFFFFF"/>
        </w:rPr>
        <w:t xml:space="preserve"> está relacionada principalmente a inflamação e seu aumento foi observado tanto no estágio gástrico </w:t>
      </w:r>
      <w:proofErr w:type="spellStart"/>
      <w:r w:rsidR="00D26C95" w:rsidRPr="00D26C95">
        <w:rPr>
          <w:rFonts w:eastAsia="Times New Roman"/>
          <w:sz w:val="24"/>
          <w:shd w:val="clear" w:color="auto" w:fill="FFFFFF"/>
        </w:rPr>
        <w:t>pré-maligno</w:t>
      </w:r>
      <w:proofErr w:type="spellEnd"/>
      <w:r w:rsidR="00D26C95" w:rsidRPr="00D26C95">
        <w:rPr>
          <w:rFonts w:eastAsia="Times New Roman"/>
          <w:sz w:val="24"/>
          <w:shd w:val="clear" w:color="auto" w:fill="FFFFFF"/>
        </w:rPr>
        <w:t xml:space="preserve"> quanto no desenvolvimento do câncer em si. Isso caracteriza um quadro de disbiose existente nos pacientes analisados, o que dificulta a proliferação de bactérias benéficas para compor o microambiente do paciente e</w:t>
      </w:r>
      <w:r>
        <w:rPr>
          <w:rFonts w:eastAsia="Times New Roman"/>
          <w:sz w:val="24"/>
          <w:shd w:val="clear" w:color="auto" w:fill="FFFFFF"/>
        </w:rPr>
        <w:t>,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consequentemente</w:t>
      </w:r>
      <w:r>
        <w:rPr>
          <w:rFonts w:eastAsia="Times New Roman"/>
          <w:sz w:val="24"/>
          <w:shd w:val="clear" w:color="auto" w:fill="FFFFFF"/>
        </w:rPr>
        <w:t>,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desfavo</w:t>
      </w:r>
      <w:r>
        <w:rPr>
          <w:rFonts w:eastAsia="Times New Roman"/>
          <w:sz w:val="24"/>
          <w:shd w:val="clear" w:color="auto" w:fill="FFFFFF"/>
        </w:rPr>
        <w:t>rece o processo de imunoterapia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. </w:t>
      </w:r>
    </w:p>
    <w:p w14:paraId="5EEDBA18" w14:textId="5DBADF0E" w:rsidR="00D26C95" w:rsidRP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 xml:space="preserve">Dessa maneira, é importante destacar que resultados positivos ou negativos provenientes da imunoterapia estão ligados diretamente a composição da microbiota intestinal. Li </w:t>
      </w:r>
      <w:r w:rsidRPr="00D26C95">
        <w:rPr>
          <w:rFonts w:eastAsia="Times New Roman"/>
          <w:i/>
          <w:iCs/>
          <w:sz w:val="24"/>
          <w:shd w:val="clear" w:color="auto" w:fill="FFFFFF"/>
        </w:rPr>
        <w:t>et al.</w:t>
      </w:r>
      <w:r w:rsidR="00C53AE2">
        <w:rPr>
          <w:rFonts w:eastAsia="Times New Roman"/>
          <w:sz w:val="24"/>
          <w:shd w:val="clear" w:color="auto" w:fill="FFFFFF"/>
        </w:rPr>
        <w:t xml:space="preserve"> (2022)</w:t>
      </w:r>
      <w:r w:rsidRPr="00D26C95">
        <w:rPr>
          <w:rFonts w:eastAsia="Times New Roman"/>
          <w:sz w:val="24"/>
          <w:shd w:val="clear" w:color="auto" w:fill="FFFFFF"/>
        </w:rPr>
        <w:t xml:space="preserve"> afirma</w:t>
      </w:r>
      <w:r w:rsidR="00C53AE2">
        <w:rPr>
          <w:rFonts w:eastAsia="Times New Roman"/>
          <w:sz w:val="24"/>
          <w:shd w:val="clear" w:color="auto" w:fill="FFFFFF"/>
        </w:rPr>
        <w:t xml:space="preserve">m que a </w:t>
      </w:r>
      <w:proofErr w:type="spellStart"/>
      <w:r w:rsidR="00C53AE2">
        <w:rPr>
          <w:rFonts w:eastAsia="Times New Roman"/>
          <w:sz w:val="24"/>
          <w:shd w:val="clear" w:color="auto" w:fill="FFFFFF"/>
        </w:rPr>
        <w:t>i</w:t>
      </w:r>
      <w:r w:rsidRPr="00D26C95">
        <w:rPr>
          <w:rFonts w:eastAsia="Times New Roman"/>
          <w:sz w:val="24"/>
          <w:shd w:val="clear" w:color="auto" w:fill="FFFFFF"/>
        </w:rPr>
        <w:t>nosina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, um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nucleosídeo</w:t>
      </w:r>
      <w:proofErr w:type="spellEnd"/>
      <w:r w:rsidR="00C53AE2">
        <w:rPr>
          <w:rFonts w:eastAsia="Times New Roman"/>
          <w:sz w:val="24"/>
          <w:shd w:val="clear" w:color="auto" w:fill="FFFFFF"/>
        </w:rPr>
        <w:t xml:space="preserve"> purínico produzido</w:t>
      </w:r>
      <w:r w:rsidRPr="00D26C95">
        <w:rPr>
          <w:rFonts w:eastAsia="Times New Roman"/>
          <w:sz w:val="24"/>
          <w:shd w:val="clear" w:color="auto" w:fill="FFFFFF"/>
        </w:rPr>
        <w:t xml:space="preserve"> por bactérias intestinais</w:t>
      </w:r>
      <w:r w:rsidR="00C53AE2">
        <w:rPr>
          <w:rFonts w:eastAsia="Times New Roman"/>
          <w:sz w:val="24"/>
          <w:shd w:val="clear" w:color="auto" w:fill="FFFFFF"/>
        </w:rPr>
        <w:t>,</w:t>
      </w:r>
      <w:r w:rsidRPr="00D26C95">
        <w:rPr>
          <w:rFonts w:eastAsia="Times New Roman"/>
          <w:sz w:val="24"/>
          <w:shd w:val="clear" w:color="auto" w:fill="FFFFFF"/>
        </w:rPr>
        <w:t xml:space="preserve"> pode ativar células imunes e aumentar a resposta em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imunoterapia</w:t>
      </w:r>
      <w:proofErr w:type="spellEnd"/>
      <w:r w:rsidR="00C53AE2">
        <w:rPr>
          <w:rFonts w:eastAsia="Times New Roman"/>
          <w:sz w:val="24"/>
          <w:shd w:val="clear" w:color="auto" w:fill="FFFFFF"/>
        </w:rPr>
        <w:t>,</w:t>
      </w:r>
      <w:r w:rsidRPr="00D26C95">
        <w:rPr>
          <w:rFonts w:eastAsia="Times New Roman"/>
          <w:sz w:val="24"/>
          <w:shd w:val="clear" w:color="auto" w:fill="FFFFFF"/>
        </w:rPr>
        <w:t xml:space="preserve"> promovendo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imunogenicidade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das células tumorais. </w:t>
      </w:r>
      <w:r w:rsidR="00D434BD">
        <w:rPr>
          <w:rFonts w:eastAsia="Times New Roman"/>
          <w:sz w:val="24"/>
          <w:shd w:val="clear" w:color="auto" w:fill="FFFFFF"/>
        </w:rPr>
        <w:t>Ou seja, a</w:t>
      </w:r>
      <w:r w:rsidRPr="00D26C95">
        <w:rPr>
          <w:rFonts w:eastAsia="Times New Roman"/>
          <w:sz w:val="24"/>
          <w:shd w:val="clear" w:color="auto" w:fill="FFFFFF"/>
        </w:rPr>
        <w:t xml:space="preserve">umenta a capacidade das células tumorais de apresentar antígenos tumorais, de modo que as células imunes citotóxicas podem facilmente reconhecer e matar células </w:t>
      </w:r>
      <w:r w:rsidR="00D434BD">
        <w:rPr>
          <w:rFonts w:eastAsia="Times New Roman"/>
          <w:sz w:val="24"/>
          <w:shd w:val="clear" w:color="auto" w:fill="FFFFFF"/>
        </w:rPr>
        <w:t>neoplásicas</w:t>
      </w:r>
      <w:r w:rsidRPr="00D26C95">
        <w:rPr>
          <w:rFonts w:eastAsia="Times New Roman"/>
          <w:sz w:val="24"/>
          <w:shd w:val="clear" w:color="auto" w:fill="FFFFFF"/>
        </w:rPr>
        <w:t xml:space="preserve">. </w:t>
      </w:r>
      <w:r w:rsidR="00D434BD">
        <w:rPr>
          <w:rFonts w:eastAsia="Times New Roman"/>
          <w:sz w:val="24"/>
          <w:shd w:val="clear" w:color="auto" w:fill="FFFFFF"/>
        </w:rPr>
        <w:t>Portanto, u</w:t>
      </w:r>
      <w:r w:rsidRPr="00D26C95">
        <w:rPr>
          <w:rFonts w:eastAsia="Times New Roman"/>
          <w:sz w:val="24"/>
          <w:shd w:val="clear" w:color="auto" w:fill="FFFFFF"/>
        </w:rPr>
        <w:t xml:space="preserve">m estado de disbiose pode inibir a produção de </w:t>
      </w:r>
      <w:proofErr w:type="spellStart"/>
      <w:r w:rsidR="00D434BD">
        <w:rPr>
          <w:rFonts w:eastAsia="Times New Roman"/>
          <w:sz w:val="24"/>
          <w:shd w:val="clear" w:color="auto" w:fill="FFFFFF"/>
        </w:rPr>
        <w:t>i</w:t>
      </w:r>
      <w:r w:rsidRPr="00D26C95">
        <w:rPr>
          <w:rFonts w:eastAsia="Times New Roman"/>
          <w:sz w:val="24"/>
          <w:shd w:val="clear" w:color="auto" w:fill="FFFFFF"/>
        </w:rPr>
        <w:t>nosina</w:t>
      </w:r>
      <w:proofErr w:type="spellEnd"/>
      <w:r w:rsidR="00D434BD">
        <w:rPr>
          <w:rFonts w:eastAsia="Times New Roman"/>
          <w:sz w:val="24"/>
          <w:shd w:val="clear" w:color="auto" w:fill="FFFFFF"/>
        </w:rPr>
        <w:t>,</w:t>
      </w:r>
      <w:r w:rsidRPr="00D26C95">
        <w:rPr>
          <w:rFonts w:eastAsia="Times New Roman"/>
          <w:sz w:val="24"/>
          <w:shd w:val="clear" w:color="auto" w:fill="FFFFFF"/>
        </w:rPr>
        <w:t xml:space="preserve"> </w:t>
      </w:r>
      <w:r w:rsidR="00BF51F6" w:rsidRPr="00D26C95">
        <w:rPr>
          <w:rFonts w:eastAsia="Times New Roman"/>
          <w:sz w:val="24"/>
          <w:shd w:val="clear" w:color="auto" w:fill="FFFFFF"/>
        </w:rPr>
        <w:t>traz</w:t>
      </w:r>
      <w:r w:rsidR="00D434BD">
        <w:rPr>
          <w:rFonts w:eastAsia="Times New Roman"/>
          <w:sz w:val="24"/>
          <w:shd w:val="clear" w:color="auto" w:fill="FFFFFF"/>
        </w:rPr>
        <w:t xml:space="preserve">endo </w:t>
      </w:r>
      <w:r w:rsidRPr="00D26C95">
        <w:rPr>
          <w:rFonts w:eastAsia="Times New Roman"/>
          <w:sz w:val="24"/>
          <w:shd w:val="clear" w:color="auto" w:fill="FFFFFF"/>
        </w:rPr>
        <w:t>perigo para</w:t>
      </w:r>
      <w:r w:rsidR="00D434BD">
        <w:rPr>
          <w:rFonts w:eastAsia="Times New Roman"/>
          <w:sz w:val="24"/>
          <w:shd w:val="clear" w:color="auto" w:fill="FFFFFF"/>
        </w:rPr>
        <w:t xml:space="preserve"> a</w:t>
      </w:r>
      <w:r w:rsidRPr="00D26C95">
        <w:rPr>
          <w:rFonts w:eastAsia="Times New Roman"/>
          <w:sz w:val="24"/>
          <w:shd w:val="clear" w:color="auto" w:fill="FFFFFF"/>
        </w:rPr>
        <w:t xml:space="preserve"> proteção gastrointestinal.</w:t>
      </w:r>
    </w:p>
    <w:p w14:paraId="61090A8D" w14:textId="61D09277" w:rsidR="00D26C95" w:rsidRP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>Nesse sentido, a dieta seguida pelo paciente tem total relevância na co</w:t>
      </w:r>
      <w:r w:rsidR="004E7637">
        <w:rPr>
          <w:rFonts w:eastAsia="Times New Roman"/>
          <w:sz w:val="24"/>
          <w:shd w:val="clear" w:color="auto" w:fill="FFFFFF"/>
        </w:rPr>
        <w:t>mposição da microbiota</w:t>
      </w:r>
      <w:r w:rsidRPr="00D26C95">
        <w:rPr>
          <w:rFonts w:eastAsia="Times New Roman"/>
          <w:sz w:val="24"/>
          <w:shd w:val="clear" w:color="auto" w:fill="FFFFFF"/>
        </w:rPr>
        <w:t xml:space="preserve"> e</w:t>
      </w:r>
      <w:r w:rsidR="004E7637">
        <w:rPr>
          <w:rFonts w:eastAsia="Times New Roman"/>
          <w:sz w:val="24"/>
          <w:shd w:val="clear" w:color="auto" w:fill="FFFFFF"/>
        </w:rPr>
        <w:t>,</w:t>
      </w:r>
      <w:r w:rsidRPr="00D26C95">
        <w:rPr>
          <w:rFonts w:eastAsia="Times New Roman"/>
          <w:sz w:val="24"/>
          <w:shd w:val="clear" w:color="auto" w:fill="FFFFFF"/>
        </w:rPr>
        <w:t xml:space="preserve"> consequentemente</w:t>
      </w:r>
      <w:r w:rsidR="004E7637">
        <w:rPr>
          <w:rFonts w:eastAsia="Times New Roman"/>
          <w:sz w:val="24"/>
          <w:shd w:val="clear" w:color="auto" w:fill="FFFFFF"/>
        </w:rPr>
        <w:t>,</w:t>
      </w:r>
      <w:r w:rsidR="004C44A6">
        <w:rPr>
          <w:rFonts w:eastAsia="Times New Roman"/>
          <w:sz w:val="24"/>
          <w:shd w:val="clear" w:color="auto" w:fill="FFFFFF"/>
        </w:rPr>
        <w:t xml:space="preserve"> nas respostas à</w:t>
      </w:r>
      <w:r w:rsidRPr="00D26C95">
        <w:rPr>
          <w:rFonts w:eastAsia="Times New Roman"/>
          <w:sz w:val="24"/>
          <w:shd w:val="clear" w:color="auto" w:fill="FFFFFF"/>
        </w:rPr>
        <w:t xml:space="preserve"> imunoterapia. A dieta ocidental constituída pelo consumo de gordura animal, açúcar e alimentos de baixas quantidades em fibra podem causar um aumento de bactérias maléficas e diminuição no número de bactérias benéficas</w:t>
      </w:r>
      <w:r w:rsidR="004E7637">
        <w:rPr>
          <w:rFonts w:eastAsia="Times New Roman"/>
          <w:sz w:val="24"/>
          <w:shd w:val="clear" w:color="auto" w:fill="FFFFFF"/>
        </w:rPr>
        <w:t>, tais</w:t>
      </w:r>
      <w:r w:rsidRPr="00D26C95">
        <w:rPr>
          <w:rFonts w:eastAsia="Times New Roman"/>
          <w:sz w:val="24"/>
          <w:shd w:val="clear" w:color="auto" w:fill="FFFFFF"/>
        </w:rPr>
        <w:t xml:space="preserve"> como </w:t>
      </w:r>
      <w:proofErr w:type="spellStart"/>
      <w:r w:rsidRPr="004E7637">
        <w:rPr>
          <w:rFonts w:eastAsia="Times New Roman"/>
          <w:i/>
          <w:sz w:val="24"/>
          <w:shd w:val="clear" w:color="auto" w:fill="FFFFFF"/>
        </w:rPr>
        <w:t>Bacteroidetes</w:t>
      </w:r>
      <w:proofErr w:type="spellEnd"/>
      <w:r w:rsidRPr="004E7637">
        <w:rPr>
          <w:rFonts w:eastAsia="Times New Roman"/>
          <w:i/>
          <w:sz w:val="24"/>
          <w:shd w:val="clear" w:color="auto" w:fill="FFFFFF"/>
        </w:rPr>
        <w:t xml:space="preserve">, </w:t>
      </w:r>
      <w:proofErr w:type="spellStart"/>
      <w:r w:rsidRPr="004E7637">
        <w:rPr>
          <w:rFonts w:eastAsia="Times New Roman"/>
          <w:i/>
          <w:sz w:val="24"/>
          <w:shd w:val="clear" w:color="auto" w:fill="FFFFFF"/>
        </w:rPr>
        <w:t>Prevotella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e </w:t>
      </w:r>
      <w:proofErr w:type="spellStart"/>
      <w:r w:rsidRPr="004E7637">
        <w:rPr>
          <w:rFonts w:eastAsia="Times New Roman"/>
          <w:i/>
          <w:sz w:val="24"/>
          <w:shd w:val="clear" w:color="auto" w:fill="FFFFFF"/>
        </w:rPr>
        <w:t>Lactobacillus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, causando processos inflamatórios. </w:t>
      </w:r>
      <w:r w:rsidR="004E7637">
        <w:rPr>
          <w:rFonts w:eastAsia="Times New Roman"/>
          <w:sz w:val="24"/>
          <w:shd w:val="clear" w:color="auto" w:fill="FFFFFF"/>
        </w:rPr>
        <w:t>Assim, u</w:t>
      </w:r>
      <w:r w:rsidRPr="00D26C95">
        <w:rPr>
          <w:rFonts w:eastAsia="Times New Roman"/>
          <w:sz w:val="24"/>
          <w:shd w:val="clear" w:color="auto" w:fill="FFFFFF"/>
        </w:rPr>
        <w:t>ma dieta rica em gordura reduz os ácidos graxos de cadeia curta que são importantes para regular o sistema imunológico, já a ingestão de fibras pode aumentar a produção destes ácidos graxos de cadeia curt</w:t>
      </w:r>
      <w:r w:rsidR="004E7637">
        <w:rPr>
          <w:rFonts w:eastAsia="Times New Roman"/>
          <w:sz w:val="24"/>
          <w:shd w:val="clear" w:color="auto" w:fill="FFFFFF"/>
        </w:rPr>
        <w:t xml:space="preserve">a e </w:t>
      </w:r>
      <w:r w:rsidR="0068466C">
        <w:rPr>
          <w:rFonts w:eastAsia="Times New Roman"/>
          <w:sz w:val="24"/>
          <w:shd w:val="clear" w:color="auto" w:fill="FFFFFF"/>
        </w:rPr>
        <w:t xml:space="preserve">da </w:t>
      </w:r>
      <w:r w:rsidR="004E7637">
        <w:rPr>
          <w:rFonts w:eastAsia="Times New Roman"/>
          <w:sz w:val="24"/>
          <w:shd w:val="clear" w:color="auto" w:fill="FFFFFF"/>
        </w:rPr>
        <w:t xml:space="preserve">espécies benéficas, </w:t>
      </w:r>
      <w:r w:rsidRPr="00D26C95">
        <w:rPr>
          <w:rFonts w:eastAsia="Times New Roman"/>
          <w:sz w:val="24"/>
          <w:shd w:val="clear" w:color="auto" w:fill="FFFFFF"/>
        </w:rPr>
        <w:t>como</w:t>
      </w:r>
      <w:r w:rsidR="004E7637">
        <w:rPr>
          <w:rFonts w:eastAsia="Times New Roman"/>
          <w:sz w:val="24"/>
          <w:shd w:val="clear" w:color="auto" w:fill="FFFFFF"/>
        </w:rPr>
        <w:t xml:space="preserve"> a</w:t>
      </w:r>
      <w:r w:rsidRPr="00D26C95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Pr="004E7637">
        <w:rPr>
          <w:rFonts w:eastAsia="Times New Roman"/>
          <w:i/>
          <w:color w:val="370E00"/>
          <w:sz w:val="24"/>
          <w:shd w:val="clear" w:color="auto" w:fill="FFFFFF"/>
        </w:rPr>
        <w:t>Faecalibacterium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(Raoul </w:t>
      </w:r>
      <w:r w:rsidRPr="00D26C95">
        <w:rPr>
          <w:rFonts w:eastAsia="Times New Roman"/>
          <w:i/>
          <w:iCs/>
          <w:sz w:val="24"/>
          <w:shd w:val="clear" w:color="auto" w:fill="FFFFFF"/>
        </w:rPr>
        <w:t>et al.,</w:t>
      </w:r>
      <w:r w:rsidRPr="00D26C95">
        <w:rPr>
          <w:rFonts w:eastAsia="Times New Roman"/>
          <w:sz w:val="24"/>
          <w:shd w:val="clear" w:color="auto" w:fill="FFFFFF"/>
        </w:rPr>
        <w:t xml:space="preserve"> 2024)</w:t>
      </w:r>
      <w:r w:rsidR="004E7637">
        <w:rPr>
          <w:rFonts w:eastAsia="Times New Roman"/>
          <w:sz w:val="24"/>
          <w:shd w:val="clear" w:color="auto" w:fill="FFFFFF"/>
        </w:rPr>
        <w:t>.</w:t>
      </w:r>
    </w:p>
    <w:p w14:paraId="32E6A947" w14:textId="6E34A4C8" w:rsidR="00D26C95" w:rsidRP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 xml:space="preserve">Em pacientes com câncer gástrico, ou aqueles em risco de desenvolvimento, a alimentação é fator essencial. A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imunomodulaçã</w:t>
      </w:r>
      <w:r w:rsidR="00BF51F6">
        <w:rPr>
          <w:rFonts w:eastAsia="Times New Roman"/>
          <w:sz w:val="24"/>
          <w:shd w:val="clear" w:color="auto" w:fill="FFFFFF"/>
        </w:rPr>
        <w:t>o</w:t>
      </w:r>
      <w:proofErr w:type="spellEnd"/>
      <w:r w:rsidR="00BF51F6">
        <w:rPr>
          <w:rFonts w:eastAsia="Times New Roman"/>
          <w:sz w:val="24"/>
          <w:shd w:val="clear" w:color="auto" w:fill="FFFFFF"/>
        </w:rPr>
        <w:t xml:space="preserve"> </w:t>
      </w:r>
      <w:r w:rsidRPr="00D26C95">
        <w:rPr>
          <w:rFonts w:eastAsia="Times New Roman"/>
          <w:sz w:val="24"/>
          <w:shd w:val="clear" w:color="auto" w:fill="FFFFFF"/>
        </w:rPr>
        <w:t>utilizando alimentos funcionais e nutrição farmacológica pode ser uma boa opção nesses casos. É importante manter um suprimento nutriciona</w:t>
      </w:r>
      <w:r w:rsidR="00BF51F6">
        <w:rPr>
          <w:rFonts w:eastAsia="Times New Roman"/>
          <w:sz w:val="24"/>
          <w:shd w:val="clear" w:color="auto" w:fill="FFFFFF"/>
        </w:rPr>
        <w:t xml:space="preserve">l adequado no que se refere ao </w:t>
      </w:r>
      <w:r w:rsidRPr="00D26C95">
        <w:rPr>
          <w:rFonts w:eastAsia="Times New Roman"/>
          <w:sz w:val="24"/>
          <w:shd w:val="clear" w:color="auto" w:fill="FFFFFF"/>
        </w:rPr>
        <w:t>ferro e vitamina B12, já que pacientes gástricos possuem facilidade em desenvolver outras comorbidades</w:t>
      </w:r>
      <w:r w:rsidR="004E7637">
        <w:rPr>
          <w:rFonts w:eastAsia="Times New Roman"/>
          <w:sz w:val="24"/>
          <w:shd w:val="clear" w:color="auto" w:fill="FFFFFF"/>
        </w:rPr>
        <w:t>,</w:t>
      </w:r>
      <w:r w:rsidRPr="00D26C95">
        <w:rPr>
          <w:rFonts w:eastAsia="Times New Roman"/>
          <w:sz w:val="24"/>
          <w:shd w:val="clear" w:color="auto" w:fill="FFFFFF"/>
        </w:rPr>
        <w:t xml:space="preserve"> como a anemia e desnutrição pelo estado de saúde agravado. Esse</w:t>
      </w:r>
      <w:r w:rsidR="00BF51F6">
        <w:rPr>
          <w:rFonts w:eastAsia="Times New Roman"/>
          <w:sz w:val="24"/>
          <w:shd w:val="clear" w:color="auto" w:fill="FFFFFF"/>
        </w:rPr>
        <w:t>s</w:t>
      </w:r>
      <w:r w:rsidRPr="00D26C95">
        <w:rPr>
          <w:rFonts w:eastAsia="Times New Roman"/>
          <w:sz w:val="24"/>
          <w:shd w:val="clear" w:color="auto" w:fill="FFFFFF"/>
        </w:rPr>
        <w:t xml:space="preserve"> fatores também alteram os resultados da imunoterapia (Boyle; Elliott, 2025).</w:t>
      </w:r>
    </w:p>
    <w:p w14:paraId="55F8CB67" w14:textId="001FA926" w:rsidR="00D26C95" w:rsidRP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 xml:space="preserve">Corroborando com </w:t>
      </w:r>
      <w:r w:rsidR="004E7637">
        <w:rPr>
          <w:rFonts w:eastAsia="Times New Roman"/>
          <w:sz w:val="24"/>
          <w:shd w:val="clear" w:color="auto" w:fill="FFFFFF"/>
        </w:rPr>
        <w:t>o estudo anterior</w:t>
      </w:r>
      <w:r w:rsidRPr="00D26C95">
        <w:rPr>
          <w:rFonts w:eastAsia="Times New Roman"/>
          <w:sz w:val="24"/>
          <w:shd w:val="clear" w:color="auto" w:fill="FFFFFF"/>
        </w:rPr>
        <w:t xml:space="preserve">, 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Jun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</w:t>
      </w:r>
      <w:r w:rsidRPr="00D26C95">
        <w:rPr>
          <w:rFonts w:eastAsia="Times New Roman"/>
          <w:i/>
          <w:iCs/>
          <w:sz w:val="24"/>
          <w:shd w:val="clear" w:color="auto" w:fill="FFFFFF"/>
        </w:rPr>
        <w:t>et al.</w:t>
      </w:r>
      <w:r w:rsidR="004E7637">
        <w:rPr>
          <w:rFonts w:eastAsia="Times New Roman"/>
          <w:sz w:val="24"/>
          <w:shd w:val="clear" w:color="auto" w:fill="FFFFFF"/>
        </w:rPr>
        <w:t xml:space="preserve"> (2022)</w:t>
      </w:r>
      <w:r w:rsidRPr="00D26C95">
        <w:rPr>
          <w:rFonts w:eastAsia="Times New Roman"/>
          <w:sz w:val="24"/>
          <w:shd w:val="clear" w:color="auto" w:fill="FFFFFF"/>
        </w:rPr>
        <w:t xml:space="preserve"> analis</w:t>
      </w:r>
      <w:r w:rsidR="004E7637">
        <w:rPr>
          <w:rFonts w:eastAsia="Times New Roman"/>
          <w:sz w:val="24"/>
          <w:shd w:val="clear" w:color="auto" w:fill="FFFFFF"/>
        </w:rPr>
        <w:t>aram</w:t>
      </w:r>
      <w:r w:rsidRPr="00D26C95">
        <w:rPr>
          <w:rFonts w:eastAsia="Times New Roman"/>
          <w:sz w:val="24"/>
          <w:shd w:val="clear" w:color="auto" w:fill="FFFFFF"/>
        </w:rPr>
        <w:t xml:space="preserve"> alguns pacientes com câncer gástricos submetidos a cirurgias</w:t>
      </w:r>
      <w:r w:rsidR="00FA711B">
        <w:rPr>
          <w:rFonts w:eastAsia="Times New Roman"/>
          <w:sz w:val="24"/>
          <w:shd w:val="clear" w:color="auto" w:fill="FFFFFF"/>
        </w:rPr>
        <w:t>.</w:t>
      </w:r>
      <w:r w:rsidRPr="00D26C95">
        <w:rPr>
          <w:rFonts w:eastAsia="Times New Roman"/>
          <w:sz w:val="24"/>
          <w:shd w:val="clear" w:color="auto" w:fill="FFFFFF"/>
        </w:rPr>
        <w:t xml:space="preserve"> </w:t>
      </w:r>
      <w:r w:rsidR="00FA711B" w:rsidRPr="00D26C95">
        <w:rPr>
          <w:rFonts w:eastAsia="Times New Roman"/>
          <w:sz w:val="24"/>
          <w:shd w:val="clear" w:color="auto" w:fill="FFFFFF"/>
        </w:rPr>
        <w:t>A</w:t>
      </w:r>
      <w:r w:rsidRPr="00D26C95">
        <w:rPr>
          <w:rFonts w:eastAsia="Times New Roman"/>
          <w:sz w:val="24"/>
          <w:shd w:val="clear" w:color="auto" w:fill="FFFFFF"/>
        </w:rPr>
        <w:t xml:space="preserve"> análise apontou indicadores de desnutrição e anemias em alguns grupos observados. Embora o suporte nutricional tenha sido acionado, a absorção de nutrientes estava prejudicad</w:t>
      </w:r>
      <w:r w:rsidR="00FA711B">
        <w:rPr>
          <w:rFonts w:eastAsia="Times New Roman"/>
          <w:sz w:val="24"/>
          <w:shd w:val="clear" w:color="auto" w:fill="FFFFFF"/>
        </w:rPr>
        <w:t>a.</w:t>
      </w:r>
      <w:r w:rsidRPr="00D26C95">
        <w:rPr>
          <w:rFonts w:eastAsia="Times New Roman"/>
          <w:sz w:val="24"/>
          <w:shd w:val="clear" w:color="auto" w:fill="FFFFFF"/>
        </w:rPr>
        <w:t xml:space="preserve"> </w:t>
      </w:r>
      <w:r w:rsidR="00FA711B" w:rsidRPr="00D26C95">
        <w:rPr>
          <w:rFonts w:eastAsia="Times New Roman"/>
          <w:sz w:val="24"/>
          <w:shd w:val="clear" w:color="auto" w:fill="FFFFFF"/>
        </w:rPr>
        <w:t>C</w:t>
      </w:r>
      <w:r w:rsidRPr="00D26C95">
        <w:rPr>
          <w:rFonts w:eastAsia="Times New Roman"/>
          <w:sz w:val="24"/>
          <w:shd w:val="clear" w:color="auto" w:fill="FFFFFF"/>
        </w:rPr>
        <w:t>om isso, a reposição nutricional foi realizada de forma parenteral ou por infusão por cateter via veia central</w:t>
      </w:r>
      <w:r w:rsidR="00FA711B">
        <w:rPr>
          <w:rFonts w:eastAsia="Times New Roman"/>
          <w:sz w:val="24"/>
          <w:shd w:val="clear" w:color="auto" w:fill="FFFFFF"/>
        </w:rPr>
        <w:t>.</w:t>
      </w:r>
      <w:r w:rsidRPr="00D26C95">
        <w:rPr>
          <w:rFonts w:eastAsia="Times New Roman"/>
          <w:sz w:val="24"/>
          <w:shd w:val="clear" w:color="auto" w:fill="FFFFFF"/>
        </w:rPr>
        <w:t xml:space="preserve"> </w:t>
      </w:r>
      <w:r w:rsidR="00FA711B">
        <w:rPr>
          <w:rFonts w:eastAsia="Times New Roman"/>
          <w:sz w:val="24"/>
          <w:shd w:val="clear" w:color="auto" w:fill="FFFFFF"/>
        </w:rPr>
        <w:t xml:space="preserve">Vale ressaltar que </w:t>
      </w:r>
      <w:r w:rsidRPr="00D26C95">
        <w:rPr>
          <w:rFonts w:eastAsia="Times New Roman"/>
          <w:sz w:val="24"/>
          <w:shd w:val="clear" w:color="auto" w:fill="FFFFFF"/>
        </w:rPr>
        <w:t>a ingestão dos nutrientes</w:t>
      </w:r>
      <w:r w:rsidR="00FA711B">
        <w:rPr>
          <w:rFonts w:eastAsia="Times New Roman"/>
          <w:sz w:val="24"/>
          <w:shd w:val="clear" w:color="auto" w:fill="FFFFFF"/>
        </w:rPr>
        <w:t xml:space="preserve"> é importante</w:t>
      </w:r>
      <w:r w:rsidRPr="00D26C95">
        <w:rPr>
          <w:rFonts w:eastAsia="Times New Roman"/>
          <w:sz w:val="24"/>
          <w:shd w:val="clear" w:color="auto" w:fill="FFFFFF"/>
        </w:rPr>
        <w:t xml:space="preserve"> para evitar </w:t>
      </w:r>
      <w:r w:rsidR="00FA711B">
        <w:rPr>
          <w:rFonts w:eastAsia="Times New Roman"/>
          <w:sz w:val="24"/>
          <w:shd w:val="clear" w:color="auto" w:fill="FFFFFF"/>
        </w:rPr>
        <w:t>a</w:t>
      </w:r>
      <w:r w:rsidRPr="00D26C95">
        <w:rPr>
          <w:rFonts w:eastAsia="Times New Roman"/>
          <w:sz w:val="24"/>
          <w:shd w:val="clear" w:color="auto" w:fill="FFFFFF"/>
        </w:rPr>
        <w:t xml:space="preserve"> p</w:t>
      </w:r>
      <w:r w:rsidR="004E7637">
        <w:rPr>
          <w:rFonts w:eastAsia="Times New Roman"/>
          <w:sz w:val="24"/>
          <w:shd w:val="clear" w:color="auto" w:fill="FFFFFF"/>
        </w:rPr>
        <w:t xml:space="preserve">iora do </w:t>
      </w:r>
      <w:proofErr w:type="spellStart"/>
      <w:r w:rsidR="004E7637">
        <w:rPr>
          <w:rFonts w:eastAsia="Times New Roman"/>
          <w:sz w:val="24"/>
          <w:shd w:val="clear" w:color="auto" w:fill="FFFFFF"/>
        </w:rPr>
        <w:t>microbioma</w:t>
      </w:r>
      <w:proofErr w:type="spellEnd"/>
      <w:r w:rsidR="004E7637">
        <w:rPr>
          <w:rFonts w:eastAsia="Times New Roman"/>
          <w:sz w:val="24"/>
          <w:shd w:val="clear" w:color="auto" w:fill="FFFFFF"/>
        </w:rPr>
        <w:t xml:space="preserve"> do paciente.</w:t>
      </w:r>
    </w:p>
    <w:p w14:paraId="44A01A9D" w14:textId="71937A05" w:rsidR="00D26C95" w:rsidRP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 xml:space="preserve">Para melhora dos quadros de disbiose e resultados da imunoterapia, um dos destaques são os suplementos probióticos como </w:t>
      </w:r>
      <w:r w:rsidRPr="004312BD">
        <w:rPr>
          <w:rFonts w:eastAsia="Times New Roman"/>
          <w:i/>
          <w:sz w:val="24"/>
          <w:shd w:val="clear" w:color="auto" w:fill="FFFFFF"/>
        </w:rPr>
        <w:t>Bifidobacterium</w:t>
      </w:r>
      <w:r w:rsidRPr="00D26C95">
        <w:rPr>
          <w:rFonts w:eastAsia="Times New Roman"/>
          <w:sz w:val="24"/>
          <w:shd w:val="clear" w:color="auto" w:fill="FFFFFF"/>
        </w:rPr>
        <w:t xml:space="preserve"> e </w:t>
      </w:r>
      <w:r w:rsidRPr="004312BD">
        <w:rPr>
          <w:rFonts w:eastAsia="Times New Roman"/>
          <w:i/>
          <w:sz w:val="24"/>
          <w:shd w:val="clear" w:color="auto" w:fill="FFFFFF"/>
        </w:rPr>
        <w:t>Lactobacillus</w:t>
      </w:r>
      <w:r w:rsidRPr="00D26C95">
        <w:rPr>
          <w:rFonts w:eastAsia="Times New Roman"/>
          <w:sz w:val="24"/>
          <w:shd w:val="clear" w:color="auto" w:fill="FFFFFF"/>
        </w:rPr>
        <w:t xml:space="preserve"> </w:t>
      </w:r>
      <w:r w:rsidRPr="004312BD">
        <w:rPr>
          <w:rFonts w:eastAsia="Times New Roman"/>
          <w:i/>
          <w:sz w:val="24"/>
          <w:shd w:val="clear" w:color="auto" w:fill="FFFFFF"/>
        </w:rPr>
        <w:t>spp</w:t>
      </w:r>
      <w:r w:rsidRPr="00D26C95">
        <w:rPr>
          <w:rFonts w:eastAsia="Times New Roman"/>
          <w:sz w:val="24"/>
          <w:shd w:val="clear" w:color="auto" w:fill="FFFFFF"/>
        </w:rPr>
        <w:t>. Eles p</w:t>
      </w:r>
      <w:r w:rsidR="004312BD">
        <w:rPr>
          <w:rFonts w:eastAsia="Times New Roman"/>
          <w:sz w:val="24"/>
          <w:shd w:val="clear" w:color="auto" w:fill="FFFFFF"/>
        </w:rPr>
        <w:t xml:space="preserve">odem regular a resposta imune, </w:t>
      </w:r>
      <w:r w:rsidRPr="00D26C95">
        <w:rPr>
          <w:rFonts w:eastAsia="Times New Roman"/>
          <w:sz w:val="24"/>
          <w:shd w:val="clear" w:color="auto" w:fill="FFFFFF"/>
        </w:rPr>
        <w:t xml:space="preserve">manter a integridade da barreira mucosa, regular o pH intestinal e aumentar a imunidade antitumoral.  Além disso, o uso de probióticos pode restaurar o microambiente intestinal e reduzir os efeitos colaterais das terapias contra o câncer, como </w:t>
      </w:r>
      <w:r w:rsidR="005D3955">
        <w:rPr>
          <w:rFonts w:eastAsia="Times New Roman"/>
          <w:sz w:val="24"/>
          <w:shd w:val="clear" w:color="auto" w:fill="FFFFFF"/>
        </w:rPr>
        <w:t xml:space="preserve">a </w:t>
      </w:r>
      <w:r w:rsidRPr="00D26C95">
        <w:rPr>
          <w:rFonts w:eastAsia="Times New Roman"/>
          <w:sz w:val="24"/>
          <w:shd w:val="clear" w:color="auto" w:fill="FFFFFF"/>
        </w:rPr>
        <w:t xml:space="preserve">diarreia (Chen </w:t>
      </w:r>
      <w:r w:rsidRPr="00D26C95">
        <w:rPr>
          <w:rFonts w:eastAsia="Times New Roman"/>
          <w:i/>
          <w:iCs/>
          <w:sz w:val="24"/>
          <w:shd w:val="clear" w:color="auto" w:fill="FFFFFF"/>
        </w:rPr>
        <w:t xml:space="preserve">et al., </w:t>
      </w:r>
      <w:r w:rsidRPr="00D26C95">
        <w:rPr>
          <w:rFonts w:eastAsia="Times New Roman"/>
          <w:sz w:val="24"/>
          <w:shd w:val="clear" w:color="auto" w:fill="FFFFFF"/>
        </w:rPr>
        <w:t>2025).</w:t>
      </w:r>
    </w:p>
    <w:p w14:paraId="4D29DDF7" w14:textId="77777777" w:rsidR="00D26C95" w:rsidRP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>Outra contribuição nutricional é a vitamina D, que pode aumentar a eficácia da terapia com inibidores do ponto de controle imunológico. Ela exerce um efeito direto, inibindo as respostas das células Th1 e Th17 e diminuindo a síntese de citocinas inflamatórias. Além disso, a vitamina D, ao alterar a expressão de genes na remodelação da matriz extracelular, pode modificar o microambiente extracelular do tumor e impedir a progressão do câncer gástrico (</w:t>
      </w:r>
      <w:proofErr w:type="spellStart"/>
      <w:r w:rsidRPr="00D26C95">
        <w:rPr>
          <w:rFonts w:eastAsia="Times New Roman"/>
          <w:sz w:val="24"/>
          <w:shd w:val="clear" w:color="auto" w:fill="FFFFFF"/>
        </w:rPr>
        <w:t>Nguyen</w:t>
      </w:r>
      <w:proofErr w:type="spellEnd"/>
      <w:r w:rsidRPr="00D26C95">
        <w:rPr>
          <w:rFonts w:eastAsia="Times New Roman"/>
          <w:sz w:val="24"/>
          <w:shd w:val="clear" w:color="auto" w:fill="FFFFFF"/>
        </w:rPr>
        <w:t xml:space="preserve"> </w:t>
      </w:r>
      <w:r w:rsidRPr="00D26C95">
        <w:rPr>
          <w:rFonts w:eastAsia="Times New Roman"/>
          <w:i/>
          <w:iCs/>
          <w:sz w:val="24"/>
          <w:shd w:val="clear" w:color="auto" w:fill="FFFFFF"/>
        </w:rPr>
        <w:t>et al.,</w:t>
      </w:r>
      <w:r w:rsidRPr="00D26C95">
        <w:rPr>
          <w:rFonts w:eastAsia="Times New Roman"/>
          <w:sz w:val="24"/>
          <w:shd w:val="clear" w:color="auto" w:fill="FFFFFF"/>
        </w:rPr>
        <w:t>2022).</w:t>
      </w:r>
    </w:p>
    <w:p w14:paraId="5A3519E8" w14:textId="6253EF1D" w:rsidR="00D26C95" w:rsidRP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 xml:space="preserve">Atualmente, para aumentar </w:t>
      </w:r>
      <w:r w:rsidR="00DB46E6">
        <w:rPr>
          <w:rFonts w:eastAsia="Times New Roman"/>
          <w:sz w:val="24"/>
          <w:shd w:val="clear" w:color="auto" w:fill="FFFFFF"/>
        </w:rPr>
        <w:t xml:space="preserve">também </w:t>
      </w:r>
      <w:r w:rsidRPr="00D26C95">
        <w:rPr>
          <w:rFonts w:eastAsia="Times New Roman"/>
          <w:sz w:val="24"/>
          <w:shd w:val="clear" w:color="auto" w:fill="FFFFFF"/>
        </w:rPr>
        <w:t>a eficácia da imunoterapia e combate da disbiose, principalmente em pacientes que não respondem a outros tratamentos, uma das ferramentas utilizadas é o transplant</w:t>
      </w:r>
      <w:r w:rsidR="00DB46E6">
        <w:rPr>
          <w:rFonts w:eastAsia="Times New Roman"/>
          <w:sz w:val="24"/>
          <w:shd w:val="clear" w:color="auto" w:fill="FFFFFF"/>
        </w:rPr>
        <w:t>e de bactérias fecais. Esta ferramenta pode</w:t>
      </w:r>
      <w:r w:rsidRPr="00D26C95">
        <w:rPr>
          <w:rFonts w:eastAsia="Times New Roman"/>
          <w:sz w:val="24"/>
          <w:shd w:val="clear" w:color="auto" w:fill="FFFFFF"/>
        </w:rPr>
        <w:t xml:space="preserve"> combater tumores por meio da reparação da microbiota intestinal, aumentando a proporção de células T reguladoras na mucosa crônica</w:t>
      </w:r>
      <w:r w:rsidR="00DB46E6">
        <w:rPr>
          <w:rFonts w:eastAsia="Times New Roman"/>
          <w:sz w:val="24"/>
          <w:shd w:val="clear" w:color="auto" w:fill="FFFFFF"/>
        </w:rPr>
        <w:t xml:space="preserve"> e</w:t>
      </w:r>
      <w:r w:rsidRPr="00D26C95">
        <w:rPr>
          <w:rFonts w:eastAsia="Times New Roman"/>
          <w:sz w:val="24"/>
          <w:shd w:val="clear" w:color="auto" w:fill="FFFFFF"/>
        </w:rPr>
        <w:t xml:space="preserve"> apresentando </w:t>
      </w:r>
      <w:r w:rsidRPr="008D0DA0">
        <w:rPr>
          <w:rFonts w:eastAsia="Times New Roman"/>
          <w:sz w:val="24"/>
          <w:shd w:val="clear" w:color="auto" w:fill="FFFFFF"/>
        </w:rPr>
        <w:t>grande potencial na redução de efeitos colaterais da imunoterapia contra o câncer (</w:t>
      </w:r>
      <w:r w:rsidR="00124A87" w:rsidRPr="008D0DA0">
        <w:rPr>
          <w:rFonts w:eastAsia="Times New Roman"/>
          <w:sz w:val="24"/>
          <w:shd w:val="clear" w:color="auto" w:fill="FFFFFF"/>
        </w:rPr>
        <w:t>Wang</w:t>
      </w:r>
      <w:r w:rsidR="00AE0228" w:rsidRPr="008D0DA0">
        <w:rPr>
          <w:rFonts w:eastAsia="Times New Roman"/>
          <w:sz w:val="24"/>
          <w:shd w:val="clear" w:color="auto" w:fill="FFFFFF"/>
        </w:rPr>
        <w:t xml:space="preserve">, </w:t>
      </w:r>
      <w:r w:rsidR="00AE0228" w:rsidRPr="008D0DA0">
        <w:rPr>
          <w:rFonts w:eastAsia="Times New Roman"/>
          <w:i/>
          <w:iCs/>
          <w:sz w:val="24"/>
          <w:shd w:val="clear" w:color="auto" w:fill="FFFFFF"/>
        </w:rPr>
        <w:t xml:space="preserve">et al., </w:t>
      </w:r>
      <w:r w:rsidR="00AE0228" w:rsidRPr="008D0DA0">
        <w:rPr>
          <w:rFonts w:eastAsia="Times New Roman"/>
          <w:sz w:val="24"/>
          <w:shd w:val="clear" w:color="auto" w:fill="FFFFFF"/>
        </w:rPr>
        <w:t>201</w:t>
      </w:r>
      <w:r w:rsidR="00124A87" w:rsidRPr="008D0DA0">
        <w:rPr>
          <w:rFonts w:eastAsia="Times New Roman"/>
          <w:sz w:val="24"/>
          <w:shd w:val="clear" w:color="auto" w:fill="FFFFFF"/>
        </w:rPr>
        <w:t>8</w:t>
      </w:r>
      <w:r w:rsidR="00AE0228" w:rsidRPr="008D0DA0">
        <w:rPr>
          <w:rFonts w:eastAsia="Times New Roman"/>
          <w:sz w:val="24"/>
          <w:shd w:val="clear" w:color="auto" w:fill="FFFFFF"/>
        </w:rPr>
        <w:t>).</w:t>
      </w:r>
      <w:r w:rsidR="00AE0228">
        <w:rPr>
          <w:rFonts w:eastAsia="Times New Roman"/>
          <w:sz w:val="24"/>
          <w:shd w:val="clear" w:color="auto" w:fill="FFFFFF"/>
        </w:rPr>
        <w:t xml:space="preserve"> </w:t>
      </w:r>
    </w:p>
    <w:p w14:paraId="3AE98780" w14:textId="77777777" w:rsidR="00D26C95" w:rsidRDefault="00D26C95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3EAE99D" w14:textId="4F0FA666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44DA3D61" w14:textId="77777777" w:rsidR="00D26C95" w:rsidRPr="004071DD" w:rsidRDefault="00D26C95" w:rsidP="004071DD">
      <w:pPr>
        <w:spacing w:line="360" w:lineRule="auto"/>
        <w:rPr>
          <w:sz w:val="24"/>
          <w:szCs w:val="24"/>
        </w:rPr>
      </w:pPr>
    </w:p>
    <w:p w14:paraId="669DB6FA" w14:textId="0B747C5E" w:rsidR="00D26C95" w:rsidRPr="00D26C95" w:rsidRDefault="00DB46E6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>
        <w:rPr>
          <w:rFonts w:eastAsia="Times New Roman"/>
          <w:sz w:val="24"/>
          <w:shd w:val="clear" w:color="auto" w:fill="FFFFFF"/>
        </w:rPr>
        <w:t xml:space="preserve">O papel da microbiota </w:t>
      </w:r>
      <w:r w:rsidR="002E1309">
        <w:rPr>
          <w:rFonts w:eastAsia="Times New Roman"/>
          <w:sz w:val="24"/>
          <w:shd w:val="clear" w:color="auto" w:fill="FFFFFF"/>
        </w:rPr>
        <w:t>e resultados da imunoterapia, assim como</w:t>
      </w:r>
      <w:r>
        <w:rPr>
          <w:rFonts w:eastAsia="Times New Roman"/>
          <w:sz w:val="24"/>
          <w:shd w:val="clear" w:color="auto" w:fill="FFFFFF"/>
        </w:rPr>
        <w:t xml:space="preserve"> a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interação entre nutrição, disbiose,</w:t>
      </w:r>
      <w:r>
        <w:rPr>
          <w:rFonts w:eastAsia="Times New Roman"/>
          <w:sz w:val="24"/>
          <w:shd w:val="clear" w:color="auto" w:fill="FFFFFF"/>
        </w:rPr>
        <w:t xml:space="preserve"> microbiota e imuno</w:t>
      </w:r>
      <w:r w:rsidR="002E1309">
        <w:rPr>
          <w:rFonts w:eastAsia="Times New Roman"/>
          <w:sz w:val="24"/>
          <w:shd w:val="clear" w:color="auto" w:fill="FFFFFF"/>
        </w:rPr>
        <w:t>terapia foram amplamente explorados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e </w:t>
      </w:r>
      <w:r w:rsidR="002E1309">
        <w:rPr>
          <w:rFonts w:eastAsia="Times New Roman"/>
          <w:sz w:val="24"/>
          <w:shd w:val="clear" w:color="auto" w:fill="FFFFFF"/>
        </w:rPr>
        <w:t>estão</w:t>
      </w:r>
      <w:r w:rsidR="00942F82">
        <w:rPr>
          <w:rFonts w:eastAsia="Times New Roman"/>
          <w:sz w:val="24"/>
          <w:shd w:val="clear" w:color="auto" w:fill="FFFFFF"/>
        </w:rPr>
        <w:t xml:space="preserve"> 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crescentemente </w:t>
      </w:r>
      <w:r w:rsidR="002E1309">
        <w:rPr>
          <w:rFonts w:eastAsia="Times New Roman"/>
          <w:sz w:val="24"/>
          <w:shd w:val="clear" w:color="auto" w:fill="FFFFFF"/>
        </w:rPr>
        <w:t xml:space="preserve">sendo expandidos na ciência. Após </w:t>
      </w:r>
      <w:r w:rsidR="0095483B">
        <w:rPr>
          <w:rFonts w:eastAsia="Times New Roman"/>
          <w:sz w:val="24"/>
          <w:shd w:val="clear" w:color="auto" w:fill="FFFFFF"/>
        </w:rPr>
        <w:t xml:space="preserve">a </w:t>
      </w:r>
      <w:r w:rsidR="002E1309">
        <w:rPr>
          <w:rFonts w:eastAsia="Times New Roman"/>
          <w:sz w:val="24"/>
          <w:shd w:val="clear" w:color="auto" w:fill="FFFFFF"/>
        </w:rPr>
        <w:t>análise dos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estudos</w:t>
      </w:r>
      <w:r w:rsidR="002E1309">
        <w:rPr>
          <w:rFonts w:eastAsia="Times New Roman"/>
          <w:sz w:val="24"/>
          <w:shd w:val="clear" w:color="auto" w:fill="FFFFFF"/>
        </w:rPr>
        <w:t>,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foi possível comprovar a relevância de uma boa alimentação e bem estar fisiológico no que diz respeito ao </w:t>
      </w:r>
      <w:proofErr w:type="spellStart"/>
      <w:r w:rsidR="00D26C95" w:rsidRPr="00D26C95">
        <w:rPr>
          <w:rFonts w:eastAsia="Times New Roman"/>
          <w:sz w:val="24"/>
          <w:shd w:val="clear" w:color="auto" w:fill="FFFFFF"/>
        </w:rPr>
        <w:t>microbioma</w:t>
      </w:r>
      <w:proofErr w:type="spellEnd"/>
      <w:r w:rsidR="00D26C95" w:rsidRPr="00D26C95">
        <w:rPr>
          <w:rFonts w:eastAsia="Times New Roman"/>
          <w:sz w:val="24"/>
          <w:shd w:val="clear" w:color="auto" w:fill="FFFFFF"/>
        </w:rPr>
        <w:t xml:space="preserve"> humano</w:t>
      </w:r>
      <w:r w:rsidR="002E1309">
        <w:rPr>
          <w:rFonts w:eastAsia="Times New Roman"/>
          <w:sz w:val="24"/>
          <w:shd w:val="clear" w:color="auto" w:fill="FFFFFF"/>
        </w:rPr>
        <w:t>,</w:t>
      </w:r>
      <w:r w:rsidR="00D26C95" w:rsidRPr="00D26C95">
        <w:rPr>
          <w:rFonts w:eastAsia="Times New Roman"/>
          <w:sz w:val="24"/>
          <w:shd w:val="clear" w:color="auto" w:fill="FFFFFF"/>
        </w:rPr>
        <w:t xml:space="preserve"> resultando em um bom tratamento do câncer gástrico ou até mesmo </w:t>
      </w:r>
      <w:r w:rsidR="002E1309">
        <w:rPr>
          <w:rFonts w:eastAsia="Times New Roman"/>
          <w:sz w:val="24"/>
          <w:shd w:val="clear" w:color="auto" w:fill="FFFFFF"/>
        </w:rPr>
        <w:t>n</w:t>
      </w:r>
      <w:r w:rsidR="00D26C95" w:rsidRPr="00D26C95">
        <w:rPr>
          <w:rFonts w:eastAsia="Times New Roman"/>
          <w:sz w:val="24"/>
          <w:shd w:val="clear" w:color="auto" w:fill="FFFFFF"/>
        </w:rPr>
        <w:t>a prevenção da doença.</w:t>
      </w:r>
    </w:p>
    <w:p w14:paraId="4B819266" w14:textId="1C8A3823" w:rsidR="00D26C95" w:rsidRDefault="00D26C95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  <w:r w:rsidRPr="00D26C95">
        <w:rPr>
          <w:rFonts w:eastAsia="Times New Roman"/>
          <w:sz w:val="24"/>
          <w:shd w:val="clear" w:color="auto" w:fill="FFFFFF"/>
        </w:rPr>
        <w:t>A</w:t>
      </w:r>
      <w:r w:rsidR="0095483B">
        <w:rPr>
          <w:rFonts w:eastAsia="Times New Roman"/>
          <w:sz w:val="24"/>
          <w:shd w:val="clear" w:color="auto" w:fill="FFFFFF"/>
        </w:rPr>
        <w:t>ssim, a</w:t>
      </w:r>
      <w:r w:rsidRPr="00D26C95">
        <w:rPr>
          <w:rFonts w:eastAsia="Times New Roman"/>
          <w:sz w:val="24"/>
          <w:shd w:val="clear" w:color="auto" w:fill="FFFFFF"/>
        </w:rPr>
        <w:t xml:space="preserve"> nutrição está diret</w:t>
      </w:r>
      <w:r w:rsidR="0095483B">
        <w:rPr>
          <w:rFonts w:eastAsia="Times New Roman"/>
          <w:sz w:val="24"/>
          <w:shd w:val="clear" w:color="auto" w:fill="FFFFFF"/>
        </w:rPr>
        <w:t xml:space="preserve">amente ligada a progressão ou </w:t>
      </w:r>
      <w:r w:rsidRPr="00D26C95">
        <w:rPr>
          <w:rFonts w:eastAsia="Times New Roman"/>
          <w:sz w:val="24"/>
          <w:shd w:val="clear" w:color="auto" w:fill="FFFFFF"/>
        </w:rPr>
        <w:t xml:space="preserve">regressão dos diversos tratamentos do câncer gástrico, e pode auxiliar os pacientes no processo da cura da doença ou em um tratamento mais leve. </w:t>
      </w:r>
      <w:r w:rsidR="0095483B">
        <w:rPr>
          <w:rFonts w:eastAsia="Times New Roman"/>
          <w:sz w:val="24"/>
          <w:shd w:val="clear" w:color="auto" w:fill="FFFFFF"/>
        </w:rPr>
        <w:t>Entretanto, é</w:t>
      </w:r>
      <w:r w:rsidRPr="00D26C95">
        <w:rPr>
          <w:rFonts w:eastAsia="Times New Roman"/>
          <w:sz w:val="24"/>
          <w:shd w:val="clear" w:color="auto" w:fill="FFFFFF"/>
        </w:rPr>
        <w:t xml:space="preserve"> importante destacar que se faz necessário mais </w:t>
      </w:r>
      <w:r w:rsidR="005F11F5">
        <w:rPr>
          <w:rFonts w:eastAsia="Times New Roman"/>
          <w:sz w:val="24"/>
          <w:shd w:val="clear" w:color="auto" w:fill="FFFFFF"/>
        </w:rPr>
        <w:t>pesquisas</w:t>
      </w:r>
      <w:r w:rsidRPr="00D26C95">
        <w:rPr>
          <w:rFonts w:eastAsia="Times New Roman"/>
          <w:sz w:val="24"/>
          <w:shd w:val="clear" w:color="auto" w:fill="FFFFFF"/>
        </w:rPr>
        <w:t xml:space="preserve"> que demonstrem em prática as interações entre os meios</w:t>
      </w:r>
      <w:r w:rsidR="0095483B">
        <w:rPr>
          <w:rFonts w:eastAsia="Times New Roman"/>
          <w:sz w:val="24"/>
          <w:shd w:val="clear" w:color="auto" w:fill="FFFFFF"/>
        </w:rPr>
        <w:t>,</w:t>
      </w:r>
      <w:r w:rsidRPr="00D26C95">
        <w:rPr>
          <w:rFonts w:eastAsia="Times New Roman"/>
          <w:sz w:val="24"/>
          <w:shd w:val="clear" w:color="auto" w:fill="FFFFFF"/>
        </w:rPr>
        <w:t xml:space="preserve"> enriquecendo ainda mais o </w:t>
      </w:r>
      <w:r w:rsidR="0095483B">
        <w:rPr>
          <w:rFonts w:eastAsia="Times New Roman"/>
          <w:sz w:val="24"/>
          <w:shd w:val="clear" w:color="auto" w:fill="FFFFFF"/>
        </w:rPr>
        <w:t>conhecimento científico</w:t>
      </w:r>
      <w:r w:rsidRPr="00D26C95">
        <w:rPr>
          <w:rFonts w:eastAsia="Times New Roman"/>
          <w:sz w:val="24"/>
          <w:shd w:val="clear" w:color="auto" w:fill="FFFFFF"/>
        </w:rPr>
        <w:t>.</w:t>
      </w:r>
    </w:p>
    <w:p w14:paraId="5287BCDC" w14:textId="77777777" w:rsidR="003C034C" w:rsidRPr="00D26C95" w:rsidRDefault="003C034C" w:rsidP="00D26C95">
      <w:pPr>
        <w:spacing w:line="360" w:lineRule="auto"/>
        <w:ind w:firstLine="708"/>
        <w:jc w:val="both"/>
        <w:rPr>
          <w:rFonts w:eastAsia="Times New Roman"/>
          <w:sz w:val="24"/>
          <w:shd w:val="clear" w:color="auto" w:fill="FFFFFF"/>
        </w:rPr>
      </w:pPr>
    </w:p>
    <w:p w14:paraId="33123A70" w14:textId="631FFB73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6E9FA03" w14:textId="2BACA35E" w:rsidR="0014789D" w:rsidRPr="009140D1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B87598">
        <w:rPr>
          <w:rFonts w:eastAsia="Times New Roman"/>
          <w:b/>
          <w:bCs/>
          <w:sz w:val="24"/>
          <w:szCs w:val="24"/>
        </w:rPr>
        <w:t>REFERÊNCIAS</w:t>
      </w:r>
      <w:r w:rsidR="008D0DA0">
        <w:rPr>
          <w:rFonts w:eastAsia="Times New Roman"/>
          <w:b/>
          <w:bCs/>
          <w:sz w:val="24"/>
          <w:szCs w:val="24"/>
        </w:rPr>
        <w:t xml:space="preserve"> </w:t>
      </w:r>
    </w:p>
    <w:p w14:paraId="38B6E0CA" w14:textId="09AD30D4" w:rsidR="0014789D" w:rsidRDefault="0014789D" w:rsidP="0014789D">
      <w:pPr>
        <w:spacing w:line="360" w:lineRule="auto"/>
        <w:ind w:hanging="1418"/>
        <w:rPr>
          <w:sz w:val="24"/>
          <w:szCs w:val="24"/>
        </w:rPr>
      </w:pPr>
    </w:p>
    <w:p w14:paraId="6A3AF9ED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BRASIL, Instituto Nacional do Câncer – INCA. </w:t>
      </w:r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Estatísticas de câncer. </w:t>
      </w:r>
      <w:r w:rsidRPr="008B64A9">
        <w:rPr>
          <w:rFonts w:eastAsia="Times New Roman"/>
          <w:sz w:val="24"/>
          <w:shd w:val="clear" w:color="auto" w:fill="FFFFFF"/>
        </w:rPr>
        <w:t>2022</w:t>
      </w:r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. </w:t>
      </w:r>
      <w:r w:rsidRPr="008B64A9">
        <w:rPr>
          <w:rFonts w:eastAsia="Times New Roman"/>
          <w:sz w:val="24"/>
          <w:shd w:val="clear" w:color="auto" w:fill="FFFFFF"/>
        </w:rPr>
        <w:t>Disponível em: https://share.google/dHNnLukthYzPTrXip. Acesso em: 25 de agosto de 2025.</w:t>
      </w:r>
    </w:p>
    <w:p w14:paraId="7392E4C4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6230FBE4" w14:textId="548A0E32" w:rsidR="00D47AF6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BOYLE, E; ELLIOTT, J. A. </w:t>
      </w:r>
      <w:r w:rsidR="00AE7245">
        <w:rPr>
          <w:rFonts w:eastAsia="Times New Roman"/>
          <w:sz w:val="24"/>
          <w:shd w:val="clear" w:color="auto" w:fill="FFFFFF"/>
        </w:rPr>
        <w:t xml:space="preserve">Novel </w:t>
      </w:r>
      <w:proofErr w:type="spellStart"/>
      <w:r w:rsidR="00AE7245">
        <w:rPr>
          <w:rFonts w:eastAsia="Times New Roman"/>
          <w:sz w:val="24"/>
          <w:shd w:val="clear" w:color="auto" w:fill="FFFFFF"/>
        </w:rPr>
        <w:t>nutrition</w:t>
      </w:r>
      <w:proofErr w:type="spellEnd"/>
      <w:r w:rsidR="00AE7245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E7245">
        <w:rPr>
          <w:rFonts w:eastAsia="Times New Roman"/>
          <w:sz w:val="24"/>
          <w:shd w:val="clear" w:color="auto" w:fill="FFFFFF"/>
        </w:rPr>
        <w:t>strategies</w:t>
      </w:r>
      <w:proofErr w:type="spellEnd"/>
      <w:r w:rsidR="00AE7245">
        <w:rPr>
          <w:rFonts w:eastAsia="Times New Roman"/>
          <w:sz w:val="24"/>
          <w:shd w:val="clear" w:color="auto" w:fill="FFFFFF"/>
        </w:rPr>
        <w:t xml:space="preserve"> in </w:t>
      </w:r>
      <w:proofErr w:type="spellStart"/>
      <w:r w:rsidR="00AE7245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AE7245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E7245">
        <w:rPr>
          <w:rFonts w:eastAsia="Times New Roman"/>
          <w:sz w:val="24"/>
          <w:shd w:val="clear" w:color="auto" w:fill="FFFFFF"/>
        </w:rPr>
        <w:t>and</w:t>
      </w:r>
      <w:proofErr w:type="spellEnd"/>
      <w:r w:rsidR="00AE7245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E7245">
        <w:rPr>
          <w:rFonts w:eastAsia="Times New Roman"/>
          <w:sz w:val="24"/>
          <w:shd w:val="clear" w:color="auto" w:fill="FFFFFF"/>
        </w:rPr>
        <w:t>esophageal</w:t>
      </w:r>
      <w:proofErr w:type="spellEnd"/>
      <w:r w:rsidR="00AE7245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E7245">
        <w:rPr>
          <w:rFonts w:eastAsia="Times New Roman"/>
          <w:sz w:val="24"/>
          <w:shd w:val="clear" w:color="auto" w:fill="FFFFFF"/>
        </w:rPr>
        <w:t>cancer</w:t>
      </w:r>
      <w:proofErr w:type="spellEnd"/>
      <w:r w:rsidR="007475D6">
        <w:rPr>
          <w:rFonts w:eastAsia="Times New Roman"/>
          <w:sz w:val="24"/>
          <w:shd w:val="clear" w:color="auto" w:fill="FFFFFF"/>
        </w:rPr>
        <w:t>.</w:t>
      </w:r>
      <w:r w:rsidR="00AE7245">
        <w:rPr>
          <w:rFonts w:eastAsia="Times New Roman"/>
          <w:sz w:val="24"/>
          <w:shd w:val="clear" w:color="auto" w:fill="FFFFFF"/>
        </w:rPr>
        <w:t xml:space="preserve"> </w:t>
      </w:r>
      <w:r w:rsidR="00AE7245" w:rsidRPr="007475D6">
        <w:rPr>
          <w:rFonts w:eastAsia="Times New Roman"/>
          <w:b/>
          <w:bCs/>
          <w:sz w:val="24"/>
          <w:shd w:val="clear" w:color="auto" w:fill="FFFFFF"/>
        </w:rPr>
        <w:t xml:space="preserve">Expert Ver </w:t>
      </w:r>
      <w:proofErr w:type="spellStart"/>
      <w:r w:rsidR="00AE7245" w:rsidRPr="007475D6">
        <w:rPr>
          <w:rFonts w:eastAsia="Times New Roman"/>
          <w:b/>
          <w:bCs/>
          <w:sz w:val="24"/>
          <w:shd w:val="clear" w:color="auto" w:fill="FFFFFF"/>
        </w:rPr>
        <w:t>Gastroenterol</w:t>
      </w:r>
      <w:proofErr w:type="spellEnd"/>
      <w:r w:rsidR="00AE7245" w:rsidRPr="007475D6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="00AE7245" w:rsidRPr="007475D6">
        <w:rPr>
          <w:rFonts w:eastAsia="Times New Roman"/>
          <w:b/>
          <w:bCs/>
          <w:sz w:val="24"/>
          <w:shd w:val="clear" w:color="auto" w:fill="FFFFFF"/>
        </w:rPr>
        <w:t>Hepatol</w:t>
      </w:r>
      <w:proofErr w:type="spellEnd"/>
      <w:r w:rsidR="00AE7245" w:rsidRPr="007475D6">
        <w:rPr>
          <w:rFonts w:eastAsia="Times New Roman"/>
          <w:b/>
          <w:bCs/>
          <w:sz w:val="24"/>
          <w:shd w:val="clear" w:color="auto" w:fill="FFFFFF"/>
        </w:rPr>
        <w:t>.</w:t>
      </w:r>
      <w:r w:rsidRPr="008B64A9">
        <w:rPr>
          <w:rFonts w:eastAsia="Times New Roman"/>
          <w:sz w:val="24"/>
          <w:shd w:val="clear" w:color="auto" w:fill="FFFFFF"/>
        </w:rPr>
        <w:t xml:space="preserve"> v. 19, n. 2, p. 89-104, 2025. Disponível em: https://pubmed.ncbi.nlm.nih.gov/39864091/</w:t>
      </w:r>
      <w:r w:rsidRPr="008B64A9">
        <w:rPr>
          <w:sz w:val="24"/>
        </w:rPr>
        <w:t xml:space="preserve">. Acesso em: 27 de agosto de 2025. </w:t>
      </w:r>
    </w:p>
    <w:p w14:paraId="2BC32E6C" w14:textId="77777777" w:rsidR="00D47AF6" w:rsidRPr="008B64A9" w:rsidRDefault="00D47AF6" w:rsidP="009F6C3C">
      <w:pPr>
        <w:rPr>
          <w:rFonts w:eastAsia="Times New Roman"/>
          <w:sz w:val="24"/>
          <w:shd w:val="clear" w:color="auto" w:fill="FFFFFF"/>
        </w:rPr>
      </w:pPr>
    </w:p>
    <w:p w14:paraId="23496EAE" w14:textId="5F72D6C5" w:rsidR="00D47AF6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CHEN, Z.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 xml:space="preserve">et al. </w:t>
      </w:r>
      <w:r w:rsidR="00B834FA" w:rsidRPr="00B834FA">
        <w:rPr>
          <w:rFonts w:eastAsia="Times New Roman"/>
          <w:sz w:val="24"/>
          <w:shd w:val="clear" w:color="auto" w:fill="FFFFFF"/>
        </w:rPr>
        <w:t xml:space="preserve">Microbiota </w:t>
      </w:r>
      <w:proofErr w:type="spellStart"/>
      <w:r w:rsidR="00B834FA" w:rsidRPr="00B834FA">
        <w:rPr>
          <w:rFonts w:eastAsia="Times New Roman"/>
          <w:sz w:val="24"/>
          <w:shd w:val="clear" w:color="auto" w:fill="FFFFFF"/>
        </w:rPr>
        <w:t>and</w:t>
      </w:r>
      <w:proofErr w:type="spellEnd"/>
      <w:r w:rsidR="00B834FA" w:rsidRPr="00B834FA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B834FA" w:rsidRPr="00B834FA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B834FA" w:rsidRPr="00B834FA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B834FA" w:rsidRPr="00B834FA">
        <w:rPr>
          <w:rFonts w:eastAsia="Times New Roman"/>
          <w:sz w:val="24"/>
          <w:shd w:val="clear" w:color="auto" w:fill="FFFFFF"/>
        </w:rPr>
        <w:t>cancer</w:t>
      </w:r>
      <w:proofErr w:type="spellEnd"/>
      <w:r w:rsidR="00B834FA" w:rsidRPr="00B834FA">
        <w:rPr>
          <w:rFonts w:eastAsia="Times New Roman"/>
          <w:sz w:val="24"/>
          <w:shd w:val="clear" w:color="auto" w:fill="FFFFFF"/>
        </w:rPr>
        <w:t xml:space="preserve">: </w:t>
      </w:r>
      <w:proofErr w:type="spellStart"/>
      <w:r w:rsidR="00B834FA" w:rsidRPr="00B834FA">
        <w:rPr>
          <w:rFonts w:eastAsia="Times New Roman"/>
          <w:sz w:val="24"/>
          <w:shd w:val="clear" w:color="auto" w:fill="FFFFFF"/>
        </w:rPr>
        <w:t>from</w:t>
      </w:r>
      <w:proofErr w:type="spellEnd"/>
      <w:r w:rsidR="00B834FA" w:rsidRPr="00B834FA">
        <w:rPr>
          <w:rFonts w:eastAsia="Times New Roman"/>
          <w:sz w:val="24"/>
          <w:shd w:val="clear" w:color="auto" w:fill="FFFFFF"/>
        </w:rPr>
        <w:t xml:space="preserve"> molecular </w:t>
      </w:r>
      <w:proofErr w:type="spellStart"/>
      <w:r w:rsidR="00B834FA" w:rsidRPr="00B834FA">
        <w:rPr>
          <w:rFonts w:eastAsia="Times New Roman"/>
          <w:sz w:val="24"/>
          <w:shd w:val="clear" w:color="auto" w:fill="FFFFFF"/>
        </w:rPr>
        <w:t>mechanisms</w:t>
      </w:r>
      <w:proofErr w:type="spellEnd"/>
      <w:r w:rsidR="00B834FA" w:rsidRPr="00B834FA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B834FA" w:rsidRPr="00B834FA">
        <w:rPr>
          <w:rFonts w:eastAsia="Times New Roman"/>
          <w:sz w:val="24"/>
          <w:shd w:val="clear" w:color="auto" w:fill="FFFFFF"/>
        </w:rPr>
        <w:t>to</w:t>
      </w:r>
      <w:proofErr w:type="spellEnd"/>
      <w:r w:rsidR="00B834FA" w:rsidRPr="00B834FA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B834FA" w:rsidRPr="00B834FA">
        <w:rPr>
          <w:rFonts w:eastAsia="Times New Roman"/>
          <w:sz w:val="24"/>
          <w:shd w:val="clear" w:color="auto" w:fill="FFFFFF"/>
        </w:rPr>
        <w:t>therapeutic</w:t>
      </w:r>
      <w:proofErr w:type="spellEnd"/>
      <w:r w:rsidR="00B834FA" w:rsidRPr="00B834FA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B834FA" w:rsidRPr="00B834FA">
        <w:rPr>
          <w:rFonts w:eastAsia="Times New Roman"/>
          <w:sz w:val="24"/>
          <w:shd w:val="clear" w:color="auto" w:fill="FFFFFF"/>
        </w:rPr>
        <w:t>strategies</w:t>
      </w:r>
      <w:proofErr w:type="spellEnd"/>
      <w:r w:rsidR="00B834FA" w:rsidRPr="00B834FA">
        <w:rPr>
          <w:rFonts w:eastAsia="Times New Roman"/>
          <w:sz w:val="24"/>
          <w:shd w:val="clear" w:color="auto" w:fill="FFFFFF"/>
        </w:rPr>
        <w:t>.</w:t>
      </w:r>
      <w:r w:rsidRPr="008B64A9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Frontiers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in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Cell</w:t>
      </w:r>
      <w:r w:rsidR="00174159" w:rsidRPr="008B64A9">
        <w:rPr>
          <w:rFonts w:eastAsia="Times New Roman"/>
          <w:b/>
          <w:bCs/>
          <w:sz w:val="24"/>
          <w:shd w:val="clear" w:color="auto" w:fill="FFFFFF"/>
        </w:rPr>
        <w:t>ular</w:t>
      </w:r>
      <w:proofErr w:type="spellEnd"/>
      <w:r w:rsidR="00174159"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="00174159" w:rsidRPr="008B64A9">
        <w:rPr>
          <w:rFonts w:eastAsia="Times New Roman"/>
          <w:b/>
          <w:bCs/>
          <w:sz w:val="24"/>
          <w:shd w:val="clear" w:color="auto" w:fill="FFFFFF"/>
        </w:rPr>
        <w:t>and</w:t>
      </w:r>
      <w:proofErr w:type="spellEnd"/>
      <w:r w:rsidR="00174159"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="00174159" w:rsidRPr="008B64A9">
        <w:rPr>
          <w:rFonts w:eastAsia="Times New Roman"/>
          <w:b/>
          <w:bCs/>
          <w:sz w:val="24"/>
          <w:shd w:val="clear" w:color="auto" w:fill="FFFFFF"/>
        </w:rPr>
        <w:t>Infection</w:t>
      </w:r>
      <w:proofErr w:type="spellEnd"/>
      <w:r w:rsidR="00174159"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="00174159" w:rsidRPr="008B64A9">
        <w:rPr>
          <w:rFonts w:eastAsia="Times New Roman"/>
          <w:b/>
          <w:bCs/>
          <w:sz w:val="24"/>
          <w:shd w:val="clear" w:color="auto" w:fill="FFFFFF"/>
        </w:rPr>
        <w:t>Microbiology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 xml:space="preserve">, v. 15, p. 1563061, 2025. </w:t>
      </w:r>
      <w:r w:rsidR="00BE405B">
        <w:rPr>
          <w:rFonts w:eastAsia="Times New Roman"/>
          <w:sz w:val="24"/>
          <w:shd w:val="clear" w:color="auto" w:fill="FFFFFF"/>
        </w:rPr>
        <w:t>DOI:</w:t>
      </w:r>
      <w:r w:rsidR="00BE405B" w:rsidRPr="00BE405B">
        <w:t xml:space="preserve"> </w:t>
      </w:r>
      <w:r w:rsidR="00BE405B">
        <w:rPr>
          <w:rFonts w:eastAsia="Times New Roman"/>
          <w:sz w:val="24"/>
          <w:shd w:val="clear" w:color="auto" w:fill="FFFFFF"/>
        </w:rPr>
        <w:t>10.3389/fcimb.2025.1563061</w:t>
      </w:r>
      <w:hyperlink r:id="rId8" w:history="1"/>
      <w:r w:rsidR="001D4B4B">
        <w:rPr>
          <w:rFonts w:eastAsia="Times New Roman"/>
          <w:sz w:val="24"/>
          <w:shd w:val="clear" w:color="auto" w:fill="FFFFFF"/>
        </w:rPr>
        <w:t xml:space="preserve">. </w:t>
      </w:r>
      <w:r w:rsidRPr="008B64A9">
        <w:rPr>
          <w:rFonts w:eastAsia="Times New Roman"/>
          <w:sz w:val="24"/>
          <w:shd w:val="clear" w:color="auto" w:fill="FFFFFF"/>
        </w:rPr>
        <w:t xml:space="preserve">Disponível em: </w:t>
      </w:r>
      <w:hyperlink r:id="rId9" w:history="1">
        <w:r w:rsidRPr="008B64A9">
          <w:rPr>
            <w:rStyle w:val="Hyperlink"/>
            <w:rFonts w:eastAsia="Times New Roman"/>
            <w:color w:val="auto"/>
            <w:sz w:val="24"/>
            <w:u w:val="none"/>
            <w:shd w:val="clear" w:color="auto" w:fill="FFFFFF"/>
          </w:rPr>
          <w:t>https://pubmed.ncbi.nlm.nih.gov/40529304/. Acesso</w:t>
        </w:r>
      </w:hyperlink>
      <w:r w:rsidRPr="008B64A9">
        <w:rPr>
          <w:rFonts w:eastAsia="Times New Roman"/>
          <w:sz w:val="24"/>
          <w:shd w:val="clear" w:color="auto" w:fill="FFFFFF"/>
        </w:rPr>
        <w:t xml:space="preserve"> em: 27 de agosto de 2025. </w:t>
      </w:r>
    </w:p>
    <w:p w14:paraId="0D994E76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4D63B100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DANTAS, H.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 xml:space="preserve">et al. </w:t>
      </w:r>
      <w:r w:rsidRPr="008B64A9">
        <w:rPr>
          <w:rFonts w:eastAsia="Times New Roman"/>
          <w:sz w:val="24"/>
          <w:shd w:val="clear" w:color="auto" w:fill="FFFFFF"/>
        </w:rPr>
        <w:t xml:space="preserve">Como elaborar uma revisão integrativa: sistematização do método Científico. Revista </w:t>
      </w:r>
      <w:proofErr w:type="spellStart"/>
      <w:r w:rsidRPr="008B64A9">
        <w:rPr>
          <w:rFonts w:eastAsia="Times New Roman"/>
          <w:sz w:val="24"/>
          <w:shd w:val="clear" w:color="auto" w:fill="FFFFFF"/>
        </w:rPr>
        <w:t>Recien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 xml:space="preserve"> – </w:t>
      </w:r>
      <w:r w:rsidRPr="008B64A9">
        <w:rPr>
          <w:rFonts w:eastAsia="Times New Roman"/>
          <w:b/>
          <w:bCs/>
          <w:sz w:val="24"/>
          <w:shd w:val="clear" w:color="auto" w:fill="FFFFFF"/>
        </w:rPr>
        <w:t>Revista Científica de Enfermagem</w:t>
      </w:r>
      <w:r w:rsidRPr="008B64A9">
        <w:rPr>
          <w:rFonts w:eastAsia="Times New Roman"/>
          <w:sz w:val="24"/>
          <w:shd w:val="clear" w:color="auto" w:fill="FFFFFF"/>
        </w:rPr>
        <w:t xml:space="preserve">, v. 12, n.37, p. 334-345, 2022. Disponível em: https://dx.doi.org/10.24276/rrecien2022.12.37.334-345. Acesso em: 21 de agosto de 2023. </w:t>
      </w:r>
    </w:p>
    <w:p w14:paraId="048A2652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42ECB8AF" w14:textId="1A27B65D" w:rsidR="009F6C3C" w:rsidRPr="008B64A9" w:rsidRDefault="009F6C3C" w:rsidP="009F6C3C">
      <w:pPr>
        <w:rPr>
          <w:sz w:val="24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JUN, B.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>et al.</w:t>
      </w:r>
      <w:r w:rsidRPr="008B64A9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Effects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of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different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gastrointestinal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reconstruction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techniques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on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nutrition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, anemia,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and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quality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of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life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in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laparoscopic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distal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gastrectomy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for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AA3268" w:rsidRPr="00AA3268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A3268" w:rsidRPr="00AA3268">
        <w:rPr>
          <w:rFonts w:eastAsia="Times New Roman"/>
          <w:sz w:val="24"/>
          <w:shd w:val="clear" w:color="auto" w:fill="FFFFFF"/>
        </w:rPr>
        <w:t>cancer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 xml:space="preserve">. </w:t>
      </w:r>
      <w:r w:rsidRPr="008B64A9">
        <w:rPr>
          <w:rFonts w:eastAsia="Times New Roman"/>
          <w:b/>
          <w:bCs/>
          <w:sz w:val="24"/>
          <w:shd w:val="clear" w:color="auto" w:fill="FFFFFF"/>
        </w:rPr>
        <w:t>Acta Cirúrgica Brasileira,</w:t>
      </w:r>
      <w:r w:rsidRPr="008B64A9">
        <w:rPr>
          <w:rFonts w:eastAsia="Times New Roman"/>
          <w:sz w:val="24"/>
          <w:shd w:val="clear" w:color="auto" w:fill="FFFFFF"/>
        </w:rPr>
        <w:t xml:space="preserve"> v. 37, n. 4, p. e370408, 2022. Disponível em: https://www.scielo.br/j/acb/a/D8FGBJmTTL4HjtBxCNJbNFj/?lang=en</w:t>
      </w:r>
      <w:r w:rsidRPr="008B64A9">
        <w:rPr>
          <w:sz w:val="24"/>
        </w:rPr>
        <w:t xml:space="preserve">. Acesso em: 27 de agosto de 2025. </w:t>
      </w:r>
    </w:p>
    <w:p w14:paraId="0E75E173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5B56C461" w14:textId="7D2302B3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KOURY, J.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 xml:space="preserve">et al. </w:t>
      </w:r>
      <w:proofErr w:type="spellStart"/>
      <w:r w:rsidR="00EC4B27" w:rsidRPr="00EC4B27">
        <w:rPr>
          <w:rFonts w:eastAsia="Times New Roman"/>
          <w:sz w:val="24"/>
          <w:shd w:val="clear" w:color="auto" w:fill="FFFFFF"/>
        </w:rPr>
        <w:t>Immunotherapies</w:t>
      </w:r>
      <w:proofErr w:type="spellEnd"/>
      <w:r w:rsidR="00EC4B27" w:rsidRPr="00EC4B27">
        <w:rPr>
          <w:rFonts w:eastAsia="Times New Roman"/>
          <w:sz w:val="24"/>
          <w:shd w:val="clear" w:color="auto" w:fill="FFFFFF"/>
        </w:rPr>
        <w:t xml:space="preserve">: </w:t>
      </w:r>
      <w:proofErr w:type="spellStart"/>
      <w:r w:rsidR="00EC4B27" w:rsidRPr="00EC4B27">
        <w:rPr>
          <w:rFonts w:eastAsia="Times New Roman"/>
          <w:sz w:val="24"/>
          <w:shd w:val="clear" w:color="auto" w:fill="FFFFFF"/>
        </w:rPr>
        <w:t>Exploiting</w:t>
      </w:r>
      <w:proofErr w:type="spellEnd"/>
      <w:r w:rsidR="00EC4B27" w:rsidRPr="00EC4B27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EC4B27" w:rsidRPr="00EC4B27">
        <w:rPr>
          <w:rFonts w:eastAsia="Times New Roman"/>
          <w:sz w:val="24"/>
          <w:shd w:val="clear" w:color="auto" w:fill="FFFFFF"/>
        </w:rPr>
        <w:t>the</w:t>
      </w:r>
      <w:proofErr w:type="spellEnd"/>
      <w:r w:rsidR="00EC4B27" w:rsidRPr="00EC4B27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EC4B27" w:rsidRPr="00EC4B27">
        <w:rPr>
          <w:rFonts w:eastAsia="Times New Roman"/>
          <w:sz w:val="24"/>
          <w:shd w:val="clear" w:color="auto" w:fill="FFFFFF"/>
        </w:rPr>
        <w:t>Immune</w:t>
      </w:r>
      <w:proofErr w:type="spellEnd"/>
      <w:r w:rsidR="00EC4B27" w:rsidRPr="00EC4B27">
        <w:rPr>
          <w:rFonts w:eastAsia="Times New Roman"/>
          <w:sz w:val="24"/>
          <w:shd w:val="clear" w:color="auto" w:fill="FFFFFF"/>
        </w:rPr>
        <w:t xml:space="preserve"> System for </w:t>
      </w:r>
      <w:proofErr w:type="spellStart"/>
      <w:r w:rsidR="00EC4B27" w:rsidRPr="00EC4B27">
        <w:rPr>
          <w:rFonts w:eastAsia="Times New Roman"/>
          <w:sz w:val="24"/>
          <w:shd w:val="clear" w:color="auto" w:fill="FFFFFF"/>
        </w:rPr>
        <w:t>Cancer</w:t>
      </w:r>
      <w:proofErr w:type="spellEnd"/>
      <w:r w:rsidR="00EC4B27" w:rsidRPr="00EC4B27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EC4B27" w:rsidRPr="00EC4B27">
        <w:rPr>
          <w:rFonts w:eastAsia="Times New Roman"/>
          <w:sz w:val="24"/>
          <w:shd w:val="clear" w:color="auto" w:fill="FFFFFF"/>
        </w:rPr>
        <w:t>Treatment</w:t>
      </w:r>
      <w:proofErr w:type="spellEnd"/>
      <w:r w:rsidR="00EC4B27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Journal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of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immunology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research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>,</w:t>
      </w:r>
      <w:r w:rsidRPr="008B64A9">
        <w:rPr>
          <w:rFonts w:eastAsia="Times New Roman"/>
          <w:sz w:val="24"/>
          <w:shd w:val="clear" w:color="auto" w:fill="FFFFFF"/>
        </w:rPr>
        <w:t xml:space="preserve"> v. 2018, n. 1, p. 9585614, 2018. Disponível em: </w:t>
      </w:r>
      <w:hyperlink r:id="rId10" w:history="1">
        <w:r w:rsidR="000E6208" w:rsidRPr="00DD596F">
          <w:rPr>
            <w:rStyle w:val="Hyperlink"/>
            <w:rFonts w:eastAsia="Times New Roman"/>
            <w:color w:val="000000" w:themeColor="text1"/>
            <w:sz w:val="24"/>
            <w:u w:val="none"/>
            <w:shd w:val="clear" w:color="auto" w:fill="FFFFFF"/>
          </w:rPr>
          <w:t>https://pmc.ncbi.nlm.nih.gov/articles/PMC5872614/</w:t>
        </w:r>
      </w:hyperlink>
      <w:r w:rsidRPr="00DD596F">
        <w:rPr>
          <w:rFonts w:eastAsia="Times New Roman"/>
          <w:color w:val="000000" w:themeColor="text1"/>
          <w:sz w:val="24"/>
          <w:shd w:val="clear" w:color="auto" w:fill="FFFFFF"/>
        </w:rPr>
        <w:t>.</w:t>
      </w:r>
      <w:r w:rsidR="000E6208">
        <w:rPr>
          <w:rFonts w:eastAsia="Times New Roman"/>
          <w:sz w:val="24"/>
          <w:shd w:val="clear" w:color="auto" w:fill="FFFFFF"/>
        </w:rPr>
        <w:t xml:space="preserve"> </w:t>
      </w:r>
      <w:r w:rsidRPr="008B64A9">
        <w:rPr>
          <w:rFonts w:eastAsia="Times New Roman"/>
          <w:sz w:val="24"/>
          <w:shd w:val="clear" w:color="auto" w:fill="FFFFFF"/>
        </w:rPr>
        <w:t xml:space="preserve"> Acesso em: 22 de agosto de 2025.</w:t>
      </w:r>
    </w:p>
    <w:p w14:paraId="2AB8A1A5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081DF9B5" w14:textId="5C20471F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KUMAR, A. R.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>et al</w:t>
      </w:r>
      <w:r w:rsidRPr="008B64A9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Harnessing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the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immune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 system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against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cancer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: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current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immunotherapy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 approaches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and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therapeutic</w:t>
      </w:r>
      <w:proofErr w:type="spellEnd"/>
      <w:r w:rsidR="006B0FB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B0FBC">
        <w:rPr>
          <w:rFonts w:eastAsia="Times New Roman"/>
          <w:sz w:val="24"/>
          <w:shd w:val="clear" w:color="auto" w:fill="FFFFFF"/>
        </w:rPr>
        <w:t>targets</w:t>
      </w:r>
      <w:proofErr w:type="spellEnd"/>
      <w:r w:rsidR="000E6208">
        <w:rPr>
          <w:rFonts w:eastAsia="Times New Roman"/>
          <w:sz w:val="24"/>
          <w:shd w:val="clear" w:color="auto" w:fill="FFFFFF"/>
        </w:rPr>
        <w:t xml:space="preserve">. </w:t>
      </w:r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Molecular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biology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reports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 xml:space="preserve">, v. 48, n. 12, p. 8075-8095, 2021. Disponível em: </w:t>
      </w:r>
      <w:hyperlink r:id="rId11" w:history="1">
        <w:r w:rsidR="009572D0" w:rsidRPr="00DD596F">
          <w:rPr>
            <w:rStyle w:val="Hyperlink"/>
            <w:rFonts w:eastAsia="Times New Roman"/>
            <w:color w:val="000000" w:themeColor="text1"/>
            <w:sz w:val="24"/>
            <w:u w:val="none"/>
            <w:shd w:val="clear" w:color="auto" w:fill="FFFFFF"/>
          </w:rPr>
          <w:t>https://pmc.ncbi.nlm.nih.gov/articles/PMC8605995/</w:t>
        </w:r>
      </w:hyperlink>
      <w:r w:rsidR="009572D0" w:rsidRPr="00DD596F">
        <w:rPr>
          <w:rFonts w:eastAsia="Times New Roman"/>
          <w:color w:val="000000" w:themeColor="text1"/>
          <w:sz w:val="24"/>
          <w:shd w:val="clear" w:color="auto" w:fill="FFFFFF"/>
        </w:rPr>
        <w:t>.</w:t>
      </w:r>
      <w:r w:rsidR="009572D0">
        <w:rPr>
          <w:rFonts w:eastAsia="Times New Roman"/>
          <w:sz w:val="24"/>
          <w:shd w:val="clear" w:color="auto" w:fill="FFFFFF"/>
        </w:rPr>
        <w:t xml:space="preserve"> </w:t>
      </w:r>
      <w:r w:rsidRPr="008B64A9">
        <w:rPr>
          <w:rFonts w:eastAsia="Times New Roman"/>
          <w:sz w:val="24"/>
          <w:shd w:val="clear" w:color="auto" w:fill="FFFFFF"/>
        </w:rPr>
        <w:t>Acesso em: 22 de agosto de 2025.</w:t>
      </w:r>
    </w:p>
    <w:p w14:paraId="0101422A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2853FB95" w14:textId="6E69D1D2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LI, Y.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>et al.</w:t>
      </w:r>
      <w:r w:rsidRPr="008B64A9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41509" w:rsidRPr="00A41509">
        <w:rPr>
          <w:rFonts w:eastAsia="Times New Roman"/>
          <w:sz w:val="24"/>
          <w:shd w:val="clear" w:color="auto" w:fill="FFFFFF"/>
        </w:rPr>
        <w:t>Relationships</w:t>
      </w:r>
      <w:proofErr w:type="spellEnd"/>
      <w:r w:rsidR="00A41509" w:rsidRPr="00A41509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41509" w:rsidRPr="00A41509">
        <w:rPr>
          <w:rFonts w:eastAsia="Times New Roman"/>
          <w:sz w:val="24"/>
          <w:shd w:val="clear" w:color="auto" w:fill="FFFFFF"/>
        </w:rPr>
        <w:t>among</w:t>
      </w:r>
      <w:proofErr w:type="spellEnd"/>
      <w:r w:rsidR="00A41509" w:rsidRPr="00A41509">
        <w:rPr>
          <w:rFonts w:eastAsia="Times New Roman"/>
          <w:sz w:val="24"/>
          <w:shd w:val="clear" w:color="auto" w:fill="FFFFFF"/>
        </w:rPr>
        <w:t xml:space="preserve"> microbiota, </w:t>
      </w:r>
      <w:proofErr w:type="spellStart"/>
      <w:r w:rsidR="00A41509" w:rsidRPr="00A41509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A41509" w:rsidRPr="00A41509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41509" w:rsidRPr="00A41509">
        <w:rPr>
          <w:rFonts w:eastAsia="Times New Roman"/>
          <w:sz w:val="24"/>
          <w:shd w:val="clear" w:color="auto" w:fill="FFFFFF"/>
        </w:rPr>
        <w:t>cancer</w:t>
      </w:r>
      <w:proofErr w:type="spellEnd"/>
      <w:r w:rsidR="00A41509" w:rsidRPr="00A41509">
        <w:rPr>
          <w:rFonts w:eastAsia="Times New Roman"/>
          <w:sz w:val="24"/>
          <w:shd w:val="clear" w:color="auto" w:fill="FFFFFF"/>
        </w:rPr>
        <w:t xml:space="preserve">, </w:t>
      </w:r>
      <w:proofErr w:type="spellStart"/>
      <w:r w:rsidR="00A41509" w:rsidRPr="00A41509">
        <w:rPr>
          <w:rFonts w:eastAsia="Times New Roman"/>
          <w:sz w:val="24"/>
          <w:shd w:val="clear" w:color="auto" w:fill="FFFFFF"/>
        </w:rPr>
        <w:t>and</w:t>
      </w:r>
      <w:proofErr w:type="spellEnd"/>
      <w:r w:rsidR="00A41509" w:rsidRPr="00A41509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41509" w:rsidRPr="00A41509">
        <w:rPr>
          <w:rFonts w:eastAsia="Times New Roman"/>
          <w:sz w:val="24"/>
          <w:shd w:val="clear" w:color="auto" w:fill="FFFFFF"/>
        </w:rPr>
        <w:t>immunotherapy</w:t>
      </w:r>
      <w:proofErr w:type="spellEnd"/>
      <w:r w:rsidR="00A41509" w:rsidRPr="00A41509">
        <w:rPr>
          <w:rFonts w:eastAsia="Times New Roman"/>
          <w:sz w:val="24"/>
          <w:shd w:val="clear" w:color="auto" w:fill="FFFFFF"/>
        </w:rPr>
        <w:t>. Front Microbiol</w:t>
      </w:r>
      <w:r w:rsidRPr="008B64A9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Frontiers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in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Microbiology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>, v. 13, p. 987763, 2022.</w:t>
      </w:r>
      <w:r w:rsidR="00724AF9">
        <w:rPr>
          <w:rFonts w:eastAsia="Times New Roman"/>
          <w:sz w:val="24"/>
          <w:shd w:val="clear" w:color="auto" w:fill="FFFFFF"/>
        </w:rPr>
        <w:t xml:space="preserve"> </w:t>
      </w:r>
      <w:r w:rsidR="001F72BD">
        <w:t xml:space="preserve">DOI: </w:t>
      </w:r>
      <w:bookmarkStart w:id="1" w:name="_GoBack"/>
      <w:bookmarkEnd w:id="1"/>
      <w:r w:rsidR="00BE405B" w:rsidRPr="00BE405B">
        <w:rPr>
          <w:sz w:val="24"/>
          <w:szCs w:val="24"/>
        </w:rPr>
        <w:t>10.3389/fmicb.2022.987763</w:t>
      </w:r>
      <w:r w:rsidR="00724AF9" w:rsidRPr="00BE405B">
        <w:rPr>
          <w:rFonts w:eastAsia="Times New Roman"/>
          <w:sz w:val="24"/>
          <w:szCs w:val="24"/>
          <w:shd w:val="clear" w:color="auto" w:fill="FFFFFF"/>
        </w:rPr>
        <w:t>.</w:t>
      </w:r>
      <w:r w:rsidR="00724AF9">
        <w:rPr>
          <w:rFonts w:eastAsia="Times New Roman"/>
          <w:sz w:val="24"/>
          <w:shd w:val="clear" w:color="auto" w:fill="FFFFFF"/>
        </w:rPr>
        <w:t xml:space="preserve"> </w:t>
      </w:r>
      <w:r w:rsidRPr="008B64A9">
        <w:rPr>
          <w:rFonts w:eastAsia="Times New Roman"/>
          <w:sz w:val="24"/>
          <w:shd w:val="clear" w:color="auto" w:fill="FFFFFF"/>
        </w:rPr>
        <w:t xml:space="preserve"> Disponível em: https://pubmed.ncbi.nlm.nih.gov/36171746/. </w:t>
      </w:r>
      <w:r w:rsidRPr="008B64A9">
        <w:rPr>
          <w:sz w:val="24"/>
        </w:rPr>
        <w:t xml:space="preserve">Acesso em: 27 de agosto de 2025. </w:t>
      </w:r>
    </w:p>
    <w:p w14:paraId="38E7510E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1D1D67D5" w14:textId="04A2DDE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MENDOZA, M. S. C; GARCÍA, H. C.; TEJADA, D. A. </w:t>
      </w:r>
      <w:proofErr w:type="spellStart"/>
      <w:r w:rsidR="00837FCB" w:rsidRPr="00837FCB">
        <w:rPr>
          <w:rFonts w:eastAsia="Times New Roman"/>
          <w:sz w:val="24"/>
          <w:shd w:val="clear" w:color="auto" w:fill="FFFFFF"/>
        </w:rPr>
        <w:t>An</w:t>
      </w:r>
      <w:r w:rsidR="00837FCB" w:rsidRPr="00837FCB">
        <w:rPr>
          <w:rFonts w:eastAsia="Times New Roman" w:hint="eastAsia"/>
          <w:sz w:val="24"/>
          <w:shd w:val="clear" w:color="auto" w:fill="FFFFFF"/>
        </w:rPr>
        <w:t>á</w:t>
      </w:r>
      <w:r w:rsidR="00837FCB" w:rsidRPr="00837FCB">
        <w:rPr>
          <w:rFonts w:eastAsia="Times New Roman"/>
          <w:sz w:val="24"/>
          <w:shd w:val="clear" w:color="auto" w:fill="FFFFFF"/>
        </w:rPr>
        <w:t>lisis</w:t>
      </w:r>
      <w:proofErr w:type="spellEnd"/>
      <w:r w:rsidR="00837FCB" w:rsidRPr="00837FCB">
        <w:rPr>
          <w:rFonts w:eastAsia="Times New Roman"/>
          <w:sz w:val="24"/>
          <w:shd w:val="clear" w:color="auto" w:fill="FFFFFF"/>
        </w:rPr>
        <w:t xml:space="preserve"> de </w:t>
      </w:r>
      <w:proofErr w:type="spellStart"/>
      <w:r w:rsidR="00837FCB" w:rsidRPr="00837FCB">
        <w:rPr>
          <w:rFonts w:eastAsia="Times New Roman"/>
          <w:sz w:val="24"/>
          <w:shd w:val="clear" w:color="auto" w:fill="FFFFFF"/>
        </w:rPr>
        <w:t>supervivencia</w:t>
      </w:r>
      <w:proofErr w:type="spellEnd"/>
      <w:r w:rsidR="00837FCB" w:rsidRPr="00837FCB">
        <w:rPr>
          <w:rFonts w:eastAsia="Times New Roman"/>
          <w:sz w:val="24"/>
          <w:shd w:val="clear" w:color="auto" w:fill="FFFFFF"/>
        </w:rPr>
        <w:t xml:space="preserve"> de pacientes </w:t>
      </w:r>
      <w:proofErr w:type="spellStart"/>
      <w:r w:rsidR="00837FCB" w:rsidRPr="00837FCB">
        <w:rPr>
          <w:rFonts w:eastAsia="Times New Roman"/>
          <w:sz w:val="24"/>
          <w:shd w:val="clear" w:color="auto" w:fill="FFFFFF"/>
        </w:rPr>
        <w:t>con</w:t>
      </w:r>
      <w:proofErr w:type="spellEnd"/>
      <w:r w:rsidR="00837FCB" w:rsidRPr="00837FCB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837FCB" w:rsidRPr="00837FCB">
        <w:rPr>
          <w:rFonts w:eastAsia="Times New Roman"/>
          <w:sz w:val="24"/>
          <w:shd w:val="clear" w:color="auto" w:fill="FFFFFF"/>
        </w:rPr>
        <w:t>c</w:t>
      </w:r>
      <w:r w:rsidR="00837FCB" w:rsidRPr="00837FCB">
        <w:rPr>
          <w:rFonts w:eastAsia="Times New Roman" w:hint="eastAsia"/>
          <w:sz w:val="24"/>
          <w:shd w:val="clear" w:color="auto" w:fill="FFFFFF"/>
        </w:rPr>
        <w:t>á</w:t>
      </w:r>
      <w:r w:rsidR="00837FCB" w:rsidRPr="00837FCB">
        <w:rPr>
          <w:rFonts w:eastAsia="Times New Roman"/>
          <w:sz w:val="24"/>
          <w:shd w:val="clear" w:color="auto" w:fill="FFFFFF"/>
        </w:rPr>
        <w:t>ncer</w:t>
      </w:r>
      <w:proofErr w:type="spellEnd"/>
      <w:r w:rsidR="00837FCB" w:rsidRPr="00837FCB">
        <w:rPr>
          <w:rFonts w:eastAsia="Times New Roman"/>
          <w:sz w:val="24"/>
          <w:shd w:val="clear" w:color="auto" w:fill="FFFFFF"/>
        </w:rPr>
        <w:t xml:space="preserve"> g</w:t>
      </w:r>
      <w:r w:rsidR="00837FCB" w:rsidRPr="00837FCB">
        <w:rPr>
          <w:rFonts w:eastAsia="Times New Roman" w:hint="eastAsia"/>
          <w:sz w:val="24"/>
          <w:shd w:val="clear" w:color="auto" w:fill="FFFFFF"/>
        </w:rPr>
        <w:t>á</w:t>
      </w:r>
      <w:r w:rsidR="00837FCB" w:rsidRPr="00837FCB">
        <w:rPr>
          <w:rFonts w:eastAsia="Times New Roman"/>
          <w:sz w:val="24"/>
          <w:shd w:val="clear" w:color="auto" w:fill="FFFFFF"/>
        </w:rPr>
        <w:t xml:space="preserve">strico </w:t>
      </w:r>
      <w:proofErr w:type="spellStart"/>
      <w:r w:rsidR="00837FCB" w:rsidRPr="00837FCB">
        <w:rPr>
          <w:rFonts w:eastAsia="Times New Roman"/>
          <w:sz w:val="24"/>
          <w:shd w:val="clear" w:color="auto" w:fill="FFFFFF"/>
        </w:rPr>
        <w:t>en</w:t>
      </w:r>
      <w:proofErr w:type="spellEnd"/>
      <w:r w:rsidR="00837FCB" w:rsidRPr="00837FCB">
        <w:rPr>
          <w:rFonts w:eastAsia="Times New Roman"/>
          <w:sz w:val="24"/>
          <w:shd w:val="clear" w:color="auto" w:fill="FFFFFF"/>
        </w:rPr>
        <w:t xml:space="preserve"> El Salvador</w:t>
      </w:r>
      <w:r w:rsidR="00837FCB">
        <w:rPr>
          <w:rFonts w:eastAsia="Times New Roman"/>
          <w:sz w:val="24"/>
          <w:shd w:val="clear" w:color="auto" w:fill="FFFFFF"/>
        </w:rPr>
        <w:t xml:space="preserve">. </w:t>
      </w:r>
      <w:r w:rsidRPr="00837FCB">
        <w:rPr>
          <w:rFonts w:eastAsia="Times New Roman"/>
          <w:b/>
          <w:bCs/>
          <w:sz w:val="24"/>
          <w:shd w:val="clear" w:color="auto" w:fill="FFFFFF"/>
        </w:rPr>
        <w:t>Alerta</w:t>
      </w:r>
      <w:r w:rsidRPr="008B64A9">
        <w:rPr>
          <w:rFonts w:eastAsia="Times New Roman"/>
          <w:sz w:val="24"/>
          <w:shd w:val="clear" w:color="auto" w:fill="FFFFFF"/>
        </w:rPr>
        <w:t xml:space="preserve">, </w:t>
      </w:r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Revista Científica </w:t>
      </w:r>
      <w:proofErr w:type="spellStart"/>
      <w:r w:rsidR="00F76808">
        <w:rPr>
          <w:rFonts w:eastAsia="Times New Roman"/>
          <w:b/>
          <w:bCs/>
          <w:sz w:val="24"/>
          <w:shd w:val="clear" w:color="auto" w:fill="FFFFFF"/>
        </w:rPr>
        <w:t>del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Instituto Nacional de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S</w:t>
      </w:r>
      <w:r w:rsidR="002A396A">
        <w:rPr>
          <w:rFonts w:eastAsia="Times New Roman"/>
          <w:b/>
          <w:bCs/>
          <w:sz w:val="24"/>
          <w:shd w:val="clear" w:color="auto" w:fill="FFFFFF"/>
        </w:rPr>
        <w:t>alud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 xml:space="preserve">, v. 8, n. 3, p. 264-274, 2025. Disponível em: </w:t>
      </w:r>
      <w:hyperlink r:id="rId12" w:history="1">
        <w:r w:rsidR="001D66E2" w:rsidRPr="00DD596F">
          <w:rPr>
            <w:rStyle w:val="Hyperlink"/>
            <w:rFonts w:eastAsia="Times New Roman"/>
            <w:color w:val="000000" w:themeColor="text1"/>
            <w:sz w:val="24"/>
            <w:u w:val="none"/>
            <w:shd w:val="clear" w:color="auto" w:fill="FFFFFF"/>
          </w:rPr>
          <w:t>https://pesquisa.bvsalud.org/portal/resource/es/biblio-1611240</w:t>
        </w:r>
      </w:hyperlink>
      <w:r w:rsidRPr="008B64A9">
        <w:rPr>
          <w:rFonts w:eastAsia="Times New Roman"/>
          <w:sz w:val="24"/>
          <w:shd w:val="clear" w:color="auto" w:fill="FFFFFF"/>
        </w:rPr>
        <w:t>.</w:t>
      </w:r>
      <w:r w:rsidR="001D66E2">
        <w:rPr>
          <w:rFonts w:eastAsia="Times New Roman"/>
          <w:sz w:val="24"/>
          <w:shd w:val="clear" w:color="auto" w:fill="FFFFFF"/>
        </w:rPr>
        <w:t xml:space="preserve"> </w:t>
      </w:r>
      <w:r w:rsidRPr="008B64A9">
        <w:rPr>
          <w:rFonts w:eastAsia="Times New Roman"/>
          <w:sz w:val="24"/>
          <w:shd w:val="clear" w:color="auto" w:fill="FFFFFF"/>
        </w:rPr>
        <w:t xml:space="preserve"> Acesso em: 20 de agosto de 2025.</w:t>
      </w:r>
    </w:p>
    <w:p w14:paraId="0C251B2B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068FEA5C" w14:textId="1F40B113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MIZUKAMI, T; PIAO, Y. </w:t>
      </w:r>
      <w:r w:rsidR="00945CA0" w:rsidRPr="00945CA0">
        <w:rPr>
          <w:rFonts w:eastAsia="Times New Roman"/>
          <w:sz w:val="24"/>
          <w:shd w:val="clear" w:color="auto" w:fill="FFFFFF"/>
        </w:rPr>
        <w:t xml:space="preserve">Role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of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nutritional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care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and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general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guidance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for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patients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with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advanced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or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metastatic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945CA0" w:rsidRPr="00945CA0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945CA0" w:rsidRPr="00945CA0">
        <w:rPr>
          <w:rFonts w:eastAsia="Times New Roman"/>
          <w:sz w:val="24"/>
          <w:shd w:val="clear" w:color="auto" w:fill="FFFFFF"/>
        </w:rPr>
        <w:t>cancer</w:t>
      </w:r>
      <w:proofErr w:type="spellEnd"/>
      <w:r w:rsidR="00945CA0">
        <w:rPr>
          <w:rFonts w:eastAsia="Times New Roman"/>
          <w:sz w:val="24"/>
          <w:shd w:val="clear" w:color="auto" w:fill="FFFFFF"/>
        </w:rPr>
        <w:t>.</w:t>
      </w:r>
      <w:r w:rsidRPr="008B64A9">
        <w:rPr>
          <w:rFonts w:eastAsia="Times New Roman"/>
          <w:sz w:val="24"/>
          <w:shd w:val="clear" w:color="auto" w:fill="FFFFFF"/>
        </w:rPr>
        <w:t xml:space="preserve"> </w:t>
      </w:r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Future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Oncology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>, v. 17, n. 23, p. 3101-3109, 2021. Disponível em: https://pubmed.ncbi.nlm.nih.gov/34047205/</w:t>
      </w:r>
      <w:r w:rsidRPr="008B64A9">
        <w:rPr>
          <w:sz w:val="24"/>
        </w:rPr>
        <w:t xml:space="preserve">. Acesso em: 27 de agosto de 2025. </w:t>
      </w:r>
    </w:p>
    <w:p w14:paraId="5A1E8591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5FF6E3B7" w14:textId="792C7E2C" w:rsidR="009F6C3C" w:rsidRPr="00B12553" w:rsidRDefault="009F6C3C" w:rsidP="009F6C3C">
      <w:pPr>
        <w:rPr>
          <w:rFonts w:eastAsia="Times New Roman"/>
          <w:sz w:val="24"/>
          <w:szCs w:val="24"/>
          <w:shd w:val="clear" w:color="auto" w:fill="FFFFFF"/>
        </w:rPr>
      </w:pPr>
      <w:r w:rsidRPr="00B12553">
        <w:rPr>
          <w:rFonts w:eastAsia="Times New Roman"/>
          <w:sz w:val="24"/>
          <w:szCs w:val="24"/>
          <w:shd w:val="clear" w:color="auto" w:fill="FFFFFF"/>
        </w:rPr>
        <w:t>NARIMATSU, H; YAGUCHI, Y. T.</w:t>
      </w:r>
      <w:r w:rsidR="001B03E6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The role </w:t>
      </w:r>
      <w:proofErr w:type="spellStart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diet </w:t>
      </w:r>
      <w:proofErr w:type="spellStart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>nutrition</w:t>
      </w:r>
      <w:proofErr w:type="spellEnd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>cancer</w:t>
      </w:r>
      <w:proofErr w:type="spellEnd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>prevention</w:t>
      </w:r>
      <w:proofErr w:type="spellEnd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>treatment</w:t>
      </w:r>
      <w:proofErr w:type="spellEnd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B03E6" w:rsidRPr="00B12553">
        <w:rPr>
          <w:rFonts w:eastAsia="Times New Roman"/>
          <w:color w:val="222222"/>
          <w:sz w:val="24"/>
          <w:szCs w:val="24"/>
          <w:shd w:val="clear" w:color="auto" w:fill="FFFFFF"/>
        </w:rPr>
        <w:t>survival</w:t>
      </w:r>
      <w:proofErr w:type="spellEnd"/>
      <w:r w:rsidRPr="00B12553">
        <w:rPr>
          <w:rFonts w:eastAsia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12553">
        <w:rPr>
          <w:rFonts w:eastAsia="Times New Roman"/>
          <w:b/>
          <w:bCs/>
          <w:sz w:val="24"/>
          <w:szCs w:val="24"/>
          <w:shd w:val="clear" w:color="auto" w:fill="FFFFFF"/>
        </w:rPr>
        <w:t>Nutrients</w:t>
      </w:r>
      <w:proofErr w:type="spellEnd"/>
      <w:r w:rsidRPr="00B12553">
        <w:rPr>
          <w:rFonts w:eastAsia="Times New Roman"/>
          <w:sz w:val="24"/>
          <w:szCs w:val="24"/>
          <w:shd w:val="clear" w:color="auto" w:fill="FFFFFF"/>
        </w:rPr>
        <w:t xml:space="preserve">, v. 14, n. 16, p. 3329, 2022. Disponível em: </w:t>
      </w:r>
      <w:hyperlink r:id="rId13" w:history="1">
        <w:r w:rsidR="0024283F" w:rsidRPr="00B12553">
          <w:rPr>
            <w:rStyle w:val="Hyperlink"/>
            <w:rFonts w:eastAsia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https://pmc.ncbi.nlm.nih.gov/articles/PMC9414571/</w:t>
        </w:r>
      </w:hyperlink>
      <w:r w:rsidR="0014652C" w:rsidRPr="00B12553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.</w:t>
      </w:r>
      <w:r w:rsidR="0014652C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B12553">
        <w:rPr>
          <w:rFonts w:eastAsia="Times New Roman"/>
          <w:sz w:val="24"/>
          <w:szCs w:val="24"/>
          <w:shd w:val="clear" w:color="auto" w:fill="FFFFFF"/>
        </w:rPr>
        <w:t>Acesso em: 22 de agosto de 2025.</w:t>
      </w:r>
    </w:p>
    <w:p w14:paraId="1D8ACDBB" w14:textId="77777777" w:rsidR="009F6C3C" w:rsidRPr="00B12553" w:rsidRDefault="009F6C3C" w:rsidP="009F6C3C">
      <w:pPr>
        <w:rPr>
          <w:rFonts w:eastAsia="Times New Roman"/>
          <w:sz w:val="24"/>
          <w:szCs w:val="24"/>
          <w:shd w:val="clear" w:color="auto" w:fill="FFFFFF"/>
        </w:rPr>
      </w:pPr>
    </w:p>
    <w:p w14:paraId="71034823" w14:textId="5BE06E63" w:rsidR="009F6C3C" w:rsidRPr="00B12553" w:rsidRDefault="009F6C3C" w:rsidP="009F6C3C">
      <w:pPr>
        <w:rPr>
          <w:rFonts w:eastAsia="Times New Roman"/>
          <w:sz w:val="24"/>
          <w:szCs w:val="24"/>
          <w:shd w:val="clear" w:color="auto" w:fill="FFFFFF"/>
        </w:rPr>
      </w:pPr>
      <w:r w:rsidRPr="00B12553">
        <w:rPr>
          <w:rFonts w:eastAsia="Times New Roman"/>
          <w:sz w:val="24"/>
          <w:szCs w:val="24"/>
          <w:shd w:val="clear" w:color="auto" w:fill="FFFFFF"/>
        </w:rPr>
        <w:t xml:space="preserve">NGUYEN, M. T. </w:t>
      </w:r>
      <w:r w:rsidRPr="00B12553">
        <w:rPr>
          <w:rFonts w:eastAsia="Times New Roman"/>
          <w:i/>
          <w:iCs/>
          <w:sz w:val="24"/>
          <w:szCs w:val="24"/>
          <w:shd w:val="clear" w:color="auto" w:fill="FFFFFF"/>
        </w:rPr>
        <w:t>et al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4F5963" w:rsidRPr="00B12553">
        <w:rPr>
          <w:rFonts w:eastAsia="Times New Roman"/>
          <w:sz w:val="24"/>
          <w:szCs w:val="24"/>
          <w:shd w:val="clear" w:color="auto" w:fill="FFFFFF"/>
        </w:rPr>
        <w:t>Vitamin</w:t>
      </w:r>
      <w:proofErr w:type="spellEnd"/>
      <w:r w:rsidR="004F5963" w:rsidRPr="00B12553">
        <w:rPr>
          <w:rFonts w:eastAsia="Times New Roman"/>
          <w:sz w:val="24"/>
          <w:szCs w:val="24"/>
          <w:shd w:val="clear" w:color="auto" w:fill="FFFFFF"/>
        </w:rPr>
        <w:t xml:space="preserve"> D </w:t>
      </w:r>
      <w:proofErr w:type="spellStart"/>
      <w:r w:rsidR="004F5963" w:rsidRPr="00B12553">
        <w:rPr>
          <w:rFonts w:eastAsia="Times New Roman"/>
          <w:sz w:val="24"/>
          <w:szCs w:val="24"/>
          <w:shd w:val="clear" w:color="auto" w:fill="FFFFFF"/>
        </w:rPr>
        <w:t>intake</w:t>
      </w:r>
      <w:proofErr w:type="spellEnd"/>
      <w:r w:rsidR="004F5963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5963" w:rsidRPr="00B12553">
        <w:rPr>
          <w:rFonts w:eastAsia="Times New Roman"/>
          <w:sz w:val="24"/>
          <w:szCs w:val="24"/>
          <w:shd w:val="clear" w:color="auto" w:fill="FFFFFF"/>
        </w:rPr>
        <w:t>and</w:t>
      </w:r>
      <w:proofErr w:type="spellEnd"/>
      <w:r w:rsidR="004F5963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5963" w:rsidRPr="00B12553">
        <w:rPr>
          <w:rFonts w:eastAsia="Times New Roman"/>
          <w:sz w:val="24"/>
          <w:szCs w:val="24"/>
          <w:shd w:val="clear" w:color="auto" w:fill="FFFFFF"/>
        </w:rPr>
        <w:t>gastric</w:t>
      </w:r>
      <w:proofErr w:type="spellEnd"/>
      <w:r w:rsidR="004F5963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5963" w:rsidRPr="00B12553">
        <w:rPr>
          <w:rFonts w:eastAsia="Times New Roman"/>
          <w:sz w:val="24"/>
          <w:szCs w:val="24"/>
          <w:shd w:val="clear" w:color="auto" w:fill="FFFFFF"/>
        </w:rPr>
        <w:t>cancer</w:t>
      </w:r>
      <w:proofErr w:type="spellEnd"/>
      <w:r w:rsidR="004F5963" w:rsidRPr="00B12553">
        <w:rPr>
          <w:rFonts w:eastAsia="Times New Roman"/>
          <w:sz w:val="24"/>
          <w:szCs w:val="24"/>
          <w:shd w:val="clear" w:color="auto" w:fill="FFFFFF"/>
        </w:rPr>
        <w:t xml:space="preserve"> in </w:t>
      </w:r>
      <w:proofErr w:type="spellStart"/>
      <w:r w:rsidR="004F5963" w:rsidRPr="00B12553">
        <w:rPr>
          <w:rFonts w:eastAsia="Times New Roman"/>
          <w:sz w:val="24"/>
          <w:szCs w:val="24"/>
          <w:shd w:val="clear" w:color="auto" w:fill="FFFFFF"/>
        </w:rPr>
        <w:t>Viet</w:t>
      </w:r>
      <w:proofErr w:type="spellEnd"/>
      <w:r w:rsidR="004F5963" w:rsidRPr="00B12553">
        <w:rPr>
          <w:rFonts w:eastAsia="Times New Roman"/>
          <w:sz w:val="24"/>
          <w:szCs w:val="24"/>
          <w:shd w:val="clear" w:color="auto" w:fill="FFFFFF"/>
        </w:rPr>
        <w:t xml:space="preserve"> Nam: a case-</w:t>
      </w:r>
      <w:proofErr w:type="spellStart"/>
      <w:r w:rsidR="004F5963" w:rsidRPr="00B12553">
        <w:rPr>
          <w:rFonts w:eastAsia="Times New Roman"/>
          <w:sz w:val="24"/>
          <w:szCs w:val="24"/>
          <w:shd w:val="clear" w:color="auto" w:fill="FFFFFF"/>
        </w:rPr>
        <w:t>control</w:t>
      </w:r>
      <w:proofErr w:type="spellEnd"/>
      <w:r w:rsidR="004F5963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F5963" w:rsidRPr="00B12553">
        <w:rPr>
          <w:rFonts w:eastAsia="Times New Roman"/>
          <w:sz w:val="24"/>
          <w:szCs w:val="24"/>
          <w:shd w:val="clear" w:color="auto" w:fill="FFFFFF"/>
        </w:rPr>
        <w:t>study</w:t>
      </w:r>
      <w:proofErr w:type="spellEnd"/>
      <w:r w:rsidR="004F5963" w:rsidRPr="00B12553">
        <w:rPr>
          <w:rFonts w:eastAsia="Times New Roman"/>
          <w:sz w:val="24"/>
          <w:szCs w:val="24"/>
          <w:shd w:val="clear" w:color="auto" w:fill="FFFFFF"/>
        </w:rPr>
        <w:t>.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174159" w:rsidRPr="00B12553">
        <w:rPr>
          <w:rFonts w:eastAsia="Times New Roman"/>
          <w:b/>
          <w:bCs/>
          <w:sz w:val="24"/>
          <w:szCs w:val="24"/>
          <w:shd w:val="clear" w:color="auto" w:fill="FFFFFF"/>
        </w:rPr>
        <w:t>BMC câncer</w:t>
      </w:r>
      <w:r w:rsidRPr="00B12553">
        <w:rPr>
          <w:rFonts w:eastAsia="Times New Roman"/>
          <w:sz w:val="24"/>
          <w:szCs w:val="24"/>
          <w:shd w:val="clear" w:color="auto" w:fill="FFFFFF"/>
        </w:rPr>
        <w:t>, v. 22, n. 1, p. 838, 2022. Disponível em: https://pubmed.ncbi.nlm.nih.gov/35915393/</w:t>
      </w:r>
      <w:r w:rsidRPr="00B12553">
        <w:rPr>
          <w:sz w:val="24"/>
          <w:szCs w:val="24"/>
        </w:rPr>
        <w:t xml:space="preserve">. Acesso em: 27 de agosto de 2025. </w:t>
      </w:r>
    </w:p>
    <w:p w14:paraId="25F35250" w14:textId="77777777" w:rsidR="009F6C3C" w:rsidRPr="00B12553" w:rsidRDefault="009F6C3C" w:rsidP="009F6C3C">
      <w:pPr>
        <w:rPr>
          <w:rFonts w:eastAsia="Times New Roman"/>
          <w:sz w:val="24"/>
          <w:szCs w:val="24"/>
          <w:shd w:val="clear" w:color="auto" w:fill="FFFFFF"/>
        </w:rPr>
      </w:pPr>
    </w:p>
    <w:p w14:paraId="02A99A9D" w14:textId="420B1B16" w:rsidR="009F6C3C" w:rsidRPr="00B12553" w:rsidRDefault="009F6C3C" w:rsidP="009F6C3C">
      <w:pPr>
        <w:rPr>
          <w:rFonts w:eastAsia="Times New Roman"/>
          <w:sz w:val="24"/>
          <w:szCs w:val="24"/>
          <w:shd w:val="clear" w:color="auto" w:fill="FFFFFF"/>
        </w:rPr>
      </w:pPr>
      <w:r w:rsidRPr="00B12553">
        <w:rPr>
          <w:rFonts w:eastAsia="Times New Roman"/>
          <w:sz w:val="24"/>
          <w:szCs w:val="24"/>
          <w:shd w:val="clear" w:color="auto" w:fill="FFFFFF"/>
        </w:rPr>
        <w:t xml:space="preserve">RAOUL, P. </w:t>
      </w:r>
      <w:r w:rsidRPr="00B12553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et al. </w:t>
      </w:r>
      <w:proofErr w:type="spellStart"/>
      <w:r w:rsidR="00A346F9" w:rsidRPr="00B12553">
        <w:rPr>
          <w:rFonts w:eastAsia="Times New Roman"/>
          <w:sz w:val="24"/>
          <w:szCs w:val="24"/>
          <w:shd w:val="clear" w:color="auto" w:fill="FFFFFF"/>
        </w:rPr>
        <w:t>Gastric</w:t>
      </w:r>
      <w:proofErr w:type="spellEnd"/>
      <w:r w:rsidR="00A346F9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46F9" w:rsidRPr="00B12553">
        <w:rPr>
          <w:rFonts w:eastAsia="Times New Roman"/>
          <w:sz w:val="24"/>
          <w:szCs w:val="24"/>
          <w:shd w:val="clear" w:color="auto" w:fill="FFFFFF"/>
        </w:rPr>
        <w:t>cancer</w:t>
      </w:r>
      <w:proofErr w:type="spellEnd"/>
      <w:r w:rsidR="00A346F9" w:rsidRPr="00B12553">
        <w:rPr>
          <w:rFonts w:eastAsia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346F9" w:rsidRPr="00B12553">
        <w:rPr>
          <w:rFonts w:eastAsia="Times New Roman"/>
          <w:sz w:val="24"/>
          <w:szCs w:val="24"/>
          <w:shd w:val="clear" w:color="auto" w:fill="FFFFFF"/>
        </w:rPr>
        <w:t>immunotherapy</w:t>
      </w:r>
      <w:proofErr w:type="spellEnd"/>
      <w:r w:rsidR="00A346F9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46F9" w:rsidRPr="00B12553">
        <w:rPr>
          <w:rFonts w:eastAsia="Times New Roman"/>
          <w:sz w:val="24"/>
          <w:szCs w:val="24"/>
          <w:shd w:val="clear" w:color="auto" w:fill="FFFFFF"/>
        </w:rPr>
        <w:t>and</w:t>
      </w:r>
      <w:proofErr w:type="spellEnd"/>
      <w:r w:rsidR="00A346F9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346F9" w:rsidRPr="00B12553">
        <w:rPr>
          <w:rFonts w:eastAsia="Times New Roman"/>
          <w:sz w:val="24"/>
          <w:szCs w:val="24"/>
          <w:shd w:val="clear" w:color="auto" w:fill="FFFFFF"/>
        </w:rPr>
        <w:t>nutrition</w:t>
      </w:r>
      <w:proofErr w:type="spellEnd"/>
      <w:r w:rsidR="00A346F9" w:rsidRPr="00B12553">
        <w:rPr>
          <w:rFonts w:eastAsia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A346F9" w:rsidRPr="00B12553">
        <w:rPr>
          <w:rFonts w:eastAsia="Times New Roman"/>
          <w:sz w:val="24"/>
          <w:szCs w:val="24"/>
          <w:shd w:val="clear" w:color="auto" w:fill="FFFFFF"/>
        </w:rPr>
        <w:t>the</w:t>
      </w:r>
      <w:proofErr w:type="spellEnd"/>
      <w:r w:rsidR="00A346F9" w:rsidRPr="00B12553">
        <w:rPr>
          <w:rFonts w:eastAsia="Times New Roman"/>
          <w:sz w:val="24"/>
          <w:szCs w:val="24"/>
          <w:shd w:val="clear" w:color="auto" w:fill="FFFFFF"/>
        </w:rPr>
        <w:t xml:space="preserve"> role </w:t>
      </w:r>
      <w:proofErr w:type="spellStart"/>
      <w:r w:rsidR="00A346F9" w:rsidRPr="00B12553">
        <w:rPr>
          <w:rFonts w:eastAsia="Times New Roman"/>
          <w:sz w:val="24"/>
          <w:szCs w:val="24"/>
          <w:shd w:val="clear" w:color="auto" w:fill="FFFFFF"/>
        </w:rPr>
        <w:t>of</w:t>
      </w:r>
      <w:proofErr w:type="spellEnd"/>
      <w:r w:rsidR="00A346F9" w:rsidRPr="00B12553">
        <w:rPr>
          <w:rFonts w:eastAsia="Times New Roman"/>
          <w:sz w:val="24"/>
          <w:szCs w:val="24"/>
          <w:shd w:val="clear" w:color="auto" w:fill="FFFFFF"/>
        </w:rPr>
        <w:t xml:space="preserve"> microbiota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12553">
        <w:rPr>
          <w:rFonts w:eastAsia="Times New Roman"/>
          <w:b/>
          <w:bCs/>
          <w:sz w:val="24"/>
          <w:szCs w:val="24"/>
          <w:shd w:val="clear" w:color="auto" w:fill="FFFFFF"/>
        </w:rPr>
        <w:t>Pathogens</w:t>
      </w:r>
      <w:proofErr w:type="spellEnd"/>
      <w:r w:rsidRPr="00B12553">
        <w:rPr>
          <w:rFonts w:eastAsia="Times New Roman"/>
          <w:sz w:val="24"/>
          <w:szCs w:val="24"/>
          <w:shd w:val="clear" w:color="auto" w:fill="FFFFFF"/>
        </w:rPr>
        <w:t xml:space="preserve">, v. 13, n. 5, p. 357, 2024. Disponível em: https://pubmed.ncbi.nlm.nih.gov/38787209/. </w:t>
      </w:r>
      <w:r w:rsidRPr="00B12553">
        <w:rPr>
          <w:sz w:val="24"/>
          <w:szCs w:val="24"/>
        </w:rPr>
        <w:t xml:space="preserve">Acesso em: 27 de agosto de 2025. </w:t>
      </w:r>
    </w:p>
    <w:p w14:paraId="7ED79013" w14:textId="7B832ACD" w:rsidR="009F6C3C" w:rsidRPr="00B12553" w:rsidRDefault="009F6C3C" w:rsidP="009F6C3C">
      <w:pPr>
        <w:rPr>
          <w:rFonts w:eastAsia="Times New Roman"/>
          <w:sz w:val="24"/>
          <w:szCs w:val="24"/>
          <w:shd w:val="clear" w:color="auto" w:fill="FFFFFF"/>
        </w:rPr>
      </w:pPr>
    </w:p>
    <w:p w14:paraId="6BA0C282" w14:textId="6DE1A125" w:rsidR="008125A2" w:rsidRPr="00B12553" w:rsidRDefault="008125A2" w:rsidP="009F6C3C">
      <w:pPr>
        <w:rPr>
          <w:rFonts w:eastAsia="Times New Roman"/>
          <w:sz w:val="24"/>
          <w:szCs w:val="24"/>
          <w:shd w:val="clear" w:color="auto" w:fill="FFFFFF"/>
        </w:rPr>
      </w:pPr>
      <w:r w:rsidRPr="00B12553">
        <w:rPr>
          <w:rFonts w:eastAsia="Times New Roman"/>
          <w:sz w:val="24"/>
          <w:szCs w:val="24"/>
          <w:shd w:val="clear" w:color="auto" w:fill="FFFFFF"/>
        </w:rPr>
        <w:t xml:space="preserve">WANG, Y. </w:t>
      </w:r>
      <w:r w:rsidRPr="00B12553">
        <w:rPr>
          <w:rFonts w:eastAsia="Times New Roman"/>
          <w:i/>
          <w:iCs/>
          <w:sz w:val="24"/>
          <w:szCs w:val="24"/>
          <w:shd w:val="clear" w:color="auto" w:fill="FFFFFF"/>
        </w:rPr>
        <w:t>et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B12553">
        <w:rPr>
          <w:rFonts w:eastAsia="Times New Roman"/>
          <w:i/>
          <w:iCs/>
          <w:sz w:val="24"/>
          <w:szCs w:val="24"/>
          <w:shd w:val="clear" w:color="auto" w:fill="FFFFFF"/>
        </w:rPr>
        <w:t>al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. </w:t>
      </w:r>
      <w:r w:rsidR="00D21009" w:rsidRPr="00B12553">
        <w:rPr>
          <w:rFonts w:eastAsia="Times New Roman"/>
          <w:sz w:val="24"/>
          <w:szCs w:val="24"/>
          <w:shd w:val="clear" w:color="auto" w:fill="FFFFFF"/>
        </w:rPr>
        <w:t xml:space="preserve">Fecal microbiota </w:t>
      </w:r>
      <w:proofErr w:type="spellStart"/>
      <w:r w:rsidR="00D21009" w:rsidRPr="00B12553">
        <w:rPr>
          <w:rFonts w:eastAsia="Times New Roman"/>
          <w:sz w:val="24"/>
          <w:szCs w:val="24"/>
          <w:shd w:val="clear" w:color="auto" w:fill="FFFFFF"/>
        </w:rPr>
        <w:t>transplantation</w:t>
      </w:r>
      <w:proofErr w:type="spellEnd"/>
      <w:r w:rsidR="00D21009" w:rsidRPr="00B12553">
        <w:rPr>
          <w:rFonts w:eastAsia="Times New Roman"/>
          <w:sz w:val="24"/>
          <w:szCs w:val="24"/>
          <w:shd w:val="clear" w:color="auto" w:fill="FFFFFF"/>
        </w:rPr>
        <w:t xml:space="preserve"> for </w:t>
      </w:r>
      <w:proofErr w:type="spellStart"/>
      <w:r w:rsidR="00D21009" w:rsidRPr="00B12553">
        <w:rPr>
          <w:rFonts w:eastAsia="Times New Roman"/>
          <w:sz w:val="24"/>
          <w:szCs w:val="24"/>
          <w:shd w:val="clear" w:color="auto" w:fill="FFFFFF"/>
        </w:rPr>
        <w:t>refractory</w:t>
      </w:r>
      <w:proofErr w:type="spellEnd"/>
      <w:r w:rsidR="00D21009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1009" w:rsidRPr="00B12553">
        <w:rPr>
          <w:rFonts w:eastAsia="Times New Roman"/>
          <w:sz w:val="24"/>
          <w:szCs w:val="24"/>
          <w:shd w:val="clear" w:color="auto" w:fill="FFFFFF"/>
        </w:rPr>
        <w:t>immune</w:t>
      </w:r>
      <w:proofErr w:type="spellEnd"/>
      <w:r w:rsidR="00D21009" w:rsidRPr="00B12553">
        <w:rPr>
          <w:rFonts w:eastAsia="Times New Roman"/>
          <w:sz w:val="24"/>
          <w:szCs w:val="24"/>
          <w:shd w:val="clear" w:color="auto" w:fill="FFFFFF"/>
        </w:rPr>
        <w:t xml:space="preserve"> checkpoint </w:t>
      </w:r>
      <w:proofErr w:type="spellStart"/>
      <w:r w:rsidR="00D21009" w:rsidRPr="00B12553">
        <w:rPr>
          <w:rFonts w:eastAsia="Times New Roman"/>
          <w:sz w:val="24"/>
          <w:szCs w:val="24"/>
          <w:shd w:val="clear" w:color="auto" w:fill="FFFFFF"/>
        </w:rPr>
        <w:t>inhibitor-associated</w:t>
      </w:r>
      <w:proofErr w:type="spellEnd"/>
      <w:r w:rsidR="00D21009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21009" w:rsidRPr="00B12553">
        <w:rPr>
          <w:rFonts w:eastAsia="Times New Roman"/>
          <w:sz w:val="24"/>
          <w:szCs w:val="24"/>
          <w:shd w:val="clear" w:color="auto" w:fill="FFFFFF"/>
        </w:rPr>
        <w:t>colitis</w:t>
      </w:r>
      <w:proofErr w:type="spellEnd"/>
      <w:r w:rsidR="00B63FE8" w:rsidRPr="00B12553">
        <w:rPr>
          <w:rFonts w:eastAsia="Times New Roman"/>
          <w:sz w:val="24"/>
          <w:szCs w:val="24"/>
          <w:shd w:val="clear" w:color="auto" w:fill="FFFFFF"/>
        </w:rPr>
        <w:t>.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2553">
        <w:rPr>
          <w:rFonts w:eastAsia="Times New Roman"/>
          <w:b/>
          <w:bCs/>
          <w:sz w:val="24"/>
          <w:szCs w:val="24"/>
          <w:shd w:val="clear" w:color="auto" w:fill="FFFFFF"/>
        </w:rPr>
        <w:t>Nature</w:t>
      </w:r>
      <w:proofErr w:type="spellEnd"/>
      <w:r w:rsidRPr="00B12553">
        <w:rPr>
          <w:rFonts w:eastAsia="Times New Roman"/>
          <w:b/>
          <w:bCs/>
          <w:sz w:val="24"/>
          <w:szCs w:val="24"/>
          <w:shd w:val="clear" w:color="auto" w:fill="FFFFFF"/>
        </w:rPr>
        <w:t xml:space="preserve"> Medicine</w:t>
      </w:r>
      <w:r w:rsidRPr="00B12553">
        <w:rPr>
          <w:rFonts w:eastAsia="Times New Roman"/>
          <w:sz w:val="24"/>
          <w:szCs w:val="24"/>
          <w:shd w:val="clear" w:color="auto" w:fill="FFFFFF"/>
        </w:rPr>
        <w:t>, v. 24, n. 12, p. 1804–1808, 2018. Disponível em:</w:t>
      </w:r>
      <w:r w:rsidR="00873FB6" w:rsidRPr="00B12553">
        <w:rPr>
          <w:sz w:val="24"/>
          <w:szCs w:val="24"/>
        </w:rPr>
        <w:t>https://pubmed.ncbi.nlm.nih.gov/30420754/#:~:text=We%20report%20the%20first%20</w:t>
      </w:r>
      <w:proofErr w:type="gramStart"/>
      <w:r w:rsidR="00873FB6" w:rsidRPr="00B12553">
        <w:rPr>
          <w:sz w:val="24"/>
          <w:szCs w:val="24"/>
        </w:rPr>
        <w:t>case,cells</w:t>
      </w:r>
      <w:proofErr w:type="gramEnd"/>
      <w:r w:rsidR="00873FB6" w:rsidRPr="00B12553">
        <w:rPr>
          <w:sz w:val="24"/>
          <w:szCs w:val="24"/>
        </w:rPr>
        <w:t>%20within%20the%20colonic%20mucosa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. Acesso em: 22 de agosto de 2025. </w:t>
      </w:r>
    </w:p>
    <w:p w14:paraId="75AACE87" w14:textId="77777777" w:rsidR="008125A2" w:rsidRPr="00B12553" w:rsidRDefault="008125A2" w:rsidP="009F6C3C">
      <w:pPr>
        <w:rPr>
          <w:rFonts w:eastAsia="Times New Roman"/>
          <w:sz w:val="24"/>
          <w:szCs w:val="24"/>
          <w:shd w:val="clear" w:color="auto" w:fill="FFFFFF"/>
        </w:rPr>
      </w:pPr>
    </w:p>
    <w:p w14:paraId="77F1B308" w14:textId="6CD9E5C1" w:rsidR="009F6C3C" w:rsidRPr="00B12553" w:rsidRDefault="009F6C3C" w:rsidP="009F6C3C">
      <w:pPr>
        <w:rPr>
          <w:rFonts w:eastAsia="Times New Roman"/>
          <w:sz w:val="24"/>
          <w:szCs w:val="24"/>
          <w:shd w:val="clear" w:color="auto" w:fill="FFFFFF"/>
        </w:rPr>
      </w:pPr>
      <w:r w:rsidRPr="00B12553">
        <w:rPr>
          <w:rFonts w:eastAsia="Times New Roman"/>
          <w:sz w:val="24"/>
          <w:szCs w:val="24"/>
          <w:shd w:val="clear" w:color="auto" w:fill="FFFFFF"/>
        </w:rPr>
        <w:t xml:space="preserve">WANG, Y. </w:t>
      </w:r>
      <w:r w:rsidRPr="00B12553">
        <w:rPr>
          <w:rFonts w:eastAsia="Times New Roman"/>
          <w:i/>
          <w:iCs/>
          <w:sz w:val="24"/>
          <w:szCs w:val="24"/>
          <w:shd w:val="clear" w:color="auto" w:fill="FFFFFF"/>
        </w:rPr>
        <w:t>et al.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EC0EB2" w:rsidRPr="00B12553">
        <w:rPr>
          <w:rFonts w:eastAsia="Times New Roman"/>
          <w:sz w:val="24"/>
          <w:szCs w:val="24"/>
          <w:shd w:val="clear" w:color="auto" w:fill="FFFFFF"/>
        </w:rPr>
        <w:t xml:space="preserve">The role </w:t>
      </w:r>
      <w:proofErr w:type="spellStart"/>
      <w:r w:rsidR="00EC0EB2" w:rsidRPr="00B12553">
        <w:rPr>
          <w:rFonts w:eastAsia="Times New Roman"/>
          <w:sz w:val="24"/>
          <w:szCs w:val="24"/>
          <w:shd w:val="clear" w:color="auto" w:fill="FFFFFF"/>
        </w:rPr>
        <w:t>of</w:t>
      </w:r>
      <w:proofErr w:type="spellEnd"/>
      <w:r w:rsidR="00EC0EB2" w:rsidRPr="00B12553">
        <w:rPr>
          <w:rFonts w:eastAsia="Times New Roman"/>
          <w:sz w:val="24"/>
          <w:szCs w:val="24"/>
          <w:shd w:val="clear" w:color="auto" w:fill="FFFFFF"/>
        </w:rPr>
        <w:t xml:space="preserve"> microbiota in </w:t>
      </w:r>
      <w:proofErr w:type="spellStart"/>
      <w:r w:rsidR="00EC0EB2" w:rsidRPr="00B12553">
        <w:rPr>
          <w:rFonts w:eastAsia="Times New Roman"/>
          <w:sz w:val="24"/>
          <w:szCs w:val="24"/>
          <w:shd w:val="clear" w:color="auto" w:fill="FFFFFF"/>
        </w:rPr>
        <w:t>the</w:t>
      </w:r>
      <w:proofErr w:type="spellEnd"/>
      <w:r w:rsidR="00EC0EB2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0EB2" w:rsidRPr="00B12553">
        <w:rPr>
          <w:rFonts w:eastAsia="Times New Roman"/>
          <w:sz w:val="24"/>
          <w:szCs w:val="24"/>
          <w:shd w:val="clear" w:color="auto" w:fill="FFFFFF"/>
        </w:rPr>
        <w:t>development</w:t>
      </w:r>
      <w:proofErr w:type="spellEnd"/>
      <w:r w:rsidR="00EC0EB2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0EB2" w:rsidRPr="00B12553">
        <w:rPr>
          <w:rFonts w:eastAsia="Times New Roman"/>
          <w:sz w:val="24"/>
          <w:szCs w:val="24"/>
          <w:shd w:val="clear" w:color="auto" w:fill="FFFFFF"/>
        </w:rPr>
        <w:t>and</w:t>
      </w:r>
      <w:proofErr w:type="spellEnd"/>
      <w:r w:rsidR="00EC0EB2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0EB2" w:rsidRPr="00B12553">
        <w:rPr>
          <w:rFonts w:eastAsia="Times New Roman"/>
          <w:sz w:val="24"/>
          <w:szCs w:val="24"/>
          <w:shd w:val="clear" w:color="auto" w:fill="FFFFFF"/>
        </w:rPr>
        <w:t>treatment</w:t>
      </w:r>
      <w:proofErr w:type="spellEnd"/>
      <w:r w:rsidR="00EC0EB2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0EB2" w:rsidRPr="00B12553">
        <w:rPr>
          <w:rFonts w:eastAsia="Times New Roman"/>
          <w:sz w:val="24"/>
          <w:szCs w:val="24"/>
          <w:shd w:val="clear" w:color="auto" w:fill="FFFFFF"/>
        </w:rPr>
        <w:t>of</w:t>
      </w:r>
      <w:proofErr w:type="spellEnd"/>
      <w:r w:rsidR="00EC0EB2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0EB2" w:rsidRPr="00B12553">
        <w:rPr>
          <w:rFonts w:eastAsia="Times New Roman"/>
          <w:sz w:val="24"/>
          <w:szCs w:val="24"/>
          <w:shd w:val="clear" w:color="auto" w:fill="FFFFFF"/>
        </w:rPr>
        <w:t>gastric</w:t>
      </w:r>
      <w:proofErr w:type="spellEnd"/>
      <w:r w:rsidR="00EC0EB2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C0EB2" w:rsidRPr="00B12553">
        <w:rPr>
          <w:rFonts w:eastAsia="Times New Roman"/>
          <w:sz w:val="24"/>
          <w:szCs w:val="24"/>
          <w:shd w:val="clear" w:color="auto" w:fill="FFFFFF"/>
        </w:rPr>
        <w:t>cancer</w:t>
      </w:r>
      <w:proofErr w:type="spellEnd"/>
      <w:r w:rsidR="00C76514" w:rsidRPr="00B12553">
        <w:rPr>
          <w:rFonts w:eastAsia="Times New Roman"/>
          <w:sz w:val="24"/>
          <w:szCs w:val="24"/>
          <w:shd w:val="clear" w:color="auto" w:fill="FFFFFF"/>
        </w:rPr>
        <w:t>.</w:t>
      </w:r>
      <w:r w:rsidR="008D0DA0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12553">
        <w:rPr>
          <w:rFonts w:eastAsia="Times New Roman"/>
          <w:b/>
          <w:bCs/>
          <w:sz w:val="24"/>
          <w:szCs w:val="24"/>
          <w:shd w:val="clear" w:color="auto" w:fill="FFFFFF"/>
        </w:rPr>
        <w:t>Frontiers</w:t>
      </w:r>
      <w:proofErr w:type="spellEnd"/>
      <w:r w:rsidRPr="00B12553">
        <w:rPr>
          <w:rFonts w:eastAsia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Pr="00B12553">
        <w:rPr>
          <w:rFonts w:eastAsia="Times New Roman"/>
          <w:b/>
          <w:bCs/>
          <w:sz w:val="24"/>
          <w:szCs w:val="24"/>
          <w:shd w:val="clear" w:color="auto" w:fill="FFFFFF"/>
        </w:rPr>
        <w:t>Oncology</w:t>
      </w:r>
      <w:proofErr w:type="spellEnd"/>
      <w:r w:rsidRPr="00B12553">
        <w:rPr>
          <w:rFonts w:eastAsia="Times New Roman"/>
          <w:sz w:val="24"/>
          <w:szCs w:val="24"/>
          <w:shd w:val="clear" w:color="auto" w:fill="FFFFFF"/>
        </w:rPr>
        <w:t xml:space="preserve">, v. 13, </w:t>
      </w:r>
      <w:r w:rsidR="007B6198" w:rsidRPr="00B12553">
        <w:rPr>
          <w:rFonts w:eastAsia="Times New Roman"/>
          <w:sz w:val="24"/>
          <w:szCs w:val="24"/>
          <w:shd w:val="clear" w:color="auto" w:fill="FFFFFF"/>
        </w:rPr>
        <w:t xml:space="preserve">n. 1, 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p. 1224669, 2023. </w:t>
      </w:r>
      <w:r w:rsidR="00B11A4B" w:rsidRPr="00B12553">
        <w:rPr>
          <w:rFonts w:eastAsia="Times New Roman"/>
          <w:sz w:val="24"/>
          <w:szCs w:val="24"/>
          <w:shd w:val="clear" w:color="auto" w:fill="FFFFFF"/>
        </w:rPr>
        <w:t>DOI</w:t>
      </w:r>
      <w:r w:rsidRPr="00B12553">
        <w:rPr>
          <w:rFonts w:eastAsia="Times New Roman"/>
          <w:sz w:val="24"/>
          <w:szCs w:val="24"/>
          <w:shd w:val="clear" w:color="auto" w:fill="FFFFFF"/>
        </w:rPr>
        <w:t>: 10.3389/</w:t>
      </w:r>
      <w:proofErr w:type="spellStart"/>
      <w:r w:rsidRPr="00B12553">
        <w:rPr>
          <w:rFonts w:eastAsia="Times New Roman"/>
          <w:sz w:val="24"/>
          <w:szCs w:val="24"/>
          <w:shd w:val="clear" w:color="auto" w:fill="FFFFFF"/>
        </w:rPr>
        <w:t>fonc</w:t>
      </w:r>
      <w:proofErr w:type="spellEnd"/>
      <w:r w:rsidRPr="00B12553">
        <w:rPr>
          <w:rFonts w:eastAsia="Times New Roman"/>
          <w:sz w:val="24"/>
          <w:szCs w:val="24"/>
          <w:shd w:val="clear" w:color="auto" w:fill="FFFFFF"/>
        </w:rPr>
        <w:t>. 2023.1224669.  Disponível em:</w:t>
      </w:r>
      <w:r w:rsidR="000524C6" w:rsidRPr="00B12553">
        <w:rPr>
          <w:rFonts w:eastAsia="Times New Roman"/>
          <w:sz w:val="24"/>
          <w:szCs w:val="24"/>
          <w:shd w:val="clear" w:color="auto" w:fill="FFFFFF"/>
        </w:rPr>
        <w:t xml:space="preserve"> </w:t>
      </w:r>
      <w:hyperlink r:id="rId14" w:anchor="abstract1" w:history="1">
        <w:r w:rsidR="000524C6" w:rsidRPr="00B12553">
          <w:rPr>
            <w:rStyle w:val="Hyperlink"/>
            <w:rFonts w:eastAsia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https://pmc.ncbi.nlm.nih.gov/articles/PMC10572359/#abstract1</w:t>
        </w:r>
      </w:hyperlink>
      <w:r w:rsidR="000524C6" w:rsidRPr="00B12553">
        <w:rPr>
          <w:rFonts w:eastAsia="Times New Roman"/>
          <w:sz w:val="24"/>
          <w:szCs w:val="24"/>
          <w:shd w:val="clear" w:color="auto" w:fill="FFFFFF"/>
        </w:rPr>
        <w:t xml:space="preserve">. </w:t>
      </w:r>
      <w:r w:rsidRPr="00B12553">
        <w:rPr>
          <w:rFonts w:eastAsia="Times New Roman"/>
          <w:sz w:val="24"/>
          <w:szCs w:val="24"/>
          <w:shd w:val="clear" w:color="auto" w:fill="FFFFFF"/>
        </w:rPr>
        <w:t xml:space="preserve"> Acesso em: 22 de agosto de 2025. </w:t>
      </w:r>
    </w:p>
    <w:p w14:paraId="0E6E44D4" w14:textId="77777777" w:rsidR="009F6C3C" w:rsidRPr="00B12553" w:rsidRDefault="009F6C3C" w:rsidP="009F6C3C">
      <w:pPr>
        <w:rPr>
          <w:rFonts w:eastAsia="Times New Roman"/>
          <w:sz w:val="24"/>
          <w:szCs w:val="24"/>
          <w:shd w:val="clear" w:color="auto" w:fill="FFFFFF"/>
        </w:rPr>
      </w:pPr>
    </w:p>
    <w:p w14:paraId="37532380" w14:textId="6B9A4EC3" w:rsidR="009F6C3C" w:rsidRPr="003E403C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WU, M.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>et al</w:t>
      </w:r>
      <w:r w:rsidRPr="008B64A9">
        <w:rPr>
          <w:rFonts w:eastAsia="Times New Roman"/>
          <w:sz w:val="24"/>
          <w:shd w:val="clear" w:color="auto" w:fill="FFFFFF"/>
        </w:rPr>
        <w:t xml:space="preserve">. </w:t>
      </w:r>
      <w:r w:rsidR="003E403C">
        <w:rPr>
          <w:rFonts w:eastAsia="Times New Roman"/>
          <w:sz w:val="24"/>
          <w:shd w:val="clear" w:color="auto" w:fill="FFFFFF"/>
        </w:rPr>
        <w:t xml:space="preserve">Gastrointestinal Microbiota in </w:t>
      </w:r>
      <w:proofErr w:type="spellStart"/>
      <w:r w:rsidR="003E403C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3E403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3E403C">
        <w:rPr>
          <w:rFonts w:eastAsia="Times New Roman"/>
          <w:sz w:val="24"/>
          <w:shd w:val="clear" w:color="auto" w:fill="FFFFFF"/>
        </w:rPr>
        <w:t>Cancer</w:t>
      </w:r>
      <w:proofErr w:type="spellEnd"/>
      <w:r w:rsidR="003E403C">
        <w:rPr>
          <w:rFonts w:eastAsia="Times New Roman"/>
          <w:sz w:val="24"/>
          <w:shd w:val="clear" w:color="auto" w:fill="FFFFFF"/>
        </w:rPr>
        <w:t xml:space="preserve">: </w:t>
      </w:r>
      <w:proofErr w:type="spellStart"/>
      <w:r w:rsidR="003E403C">
        <w:rPr>
          <w:rFonts w:eastAsia="Times New Roman"/>
          <w:sz w:val="24"/>
          <w:shd w:val="clear" w:color="auto" w:fill="FFFFFF"/>
        </w:rPr>
        <w:t>Potential</w:t>
      </w:r>
      <w:proofErr w:type="spellEnd"/>
      <w:r w:rsidR="003E403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3E403C">
        <w:rPr>
          <w:rFonts w:eastAsia="Times New Roman"/>
          <w:sz w:val="24"/>
          <w:shd w:val="clear" w:color="auto" w:fill="FFFFFF"/>
        </w:rPr>
        <w:t>Mechanisms</w:t>
      </w:r>
      <w:proofErr w:type="spellEnd"/>
      <w:r w:rsidR="003E403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3E403C">
        <w:rPr>
          <w:rFonts w:eastAsia="Times New Roman"/>
          <w:sz w:val="24"/>
          <w:shd w:val="clear" w:color="auto" w:fill="FFFFFF"/>
        </w:rPr>
        <w:t>and</w:t>
      </w:r>
      <w:proofErr w:type="spellEnd"/>
      <w:r w:rsidR="003E403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3E403C">
        <w:rPr>
          <w:rFonts w:eastAsia="Times New Roman"/>
          <w:sz w:val="24"/>
          <w:shd w:val="clear" w:color="auto" w:fill="FFFFFF"/>
        </w:rPr>
        <w:t>Clinical</w:t>
      </w:r>
      <w:proofErr w:type="spellEnd"/>
      <w:r w:rsidR="003E403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3E403C">
        <w:rPr>
          <w:rFonts w:eastAsia="Times New Roman"/>
          <w:sz w:val="24"/>
          <w:shd w:val="clear" w:color="auto" w:fill="FFFFFF"/>
        </w:rPr>
        <w:t>Applications-A</w:t>
      </w:r>
      <w:proofErr w:type="spellEnd"/>
      <w:r w:rsidR="003E403C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3E403C">
        <w:rPr>
          <w:rFonts w:eastAsia="Times New Roman"/>
          <w:sz w:val="24"/>
          <w:shd w:val="clear" w:color="auto" w:fill="FFFFFF"/>
        </w:rPr>
        <w:t>Literature</w:t>
      </w:r>
      <w:proofErr w:type="spellEnd"/>
      <w:r w:rsidR="003E403C">
        <w:rPr>
          <w:rFonts w:eastAsia="Times New Roman"/>
          <w:sz w:val="24"/>
          <w:shd w:val="clear" w:color="auto" w:fill="FFFFFF"/>
        </w:rPr>
        <w:t xml:space="preserve"> Review</w:t>
      </w:r>
      <w:r w:rsidRPr="008B64A9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Cancers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 xml:space="preserve">, v. 16, n. 20, p. 3547, 2024. Disponível em: </w:t>
      </w:r>
      <w:hyperlink r:id="rId15" w:history="1">
        <w:r w:rsidR="007A3D29" w:rsidRPr="00EF28BF">
          <w:rPr>
            <w:rStyle w:val="Hyperlink"/>
            <w:rFonts w:eastAsia="Times New Roman"/>
            <w:color w:val="000000" w:themeColor="text1"/>
            <w:sz w:val="24"/>
            <w:u w:val="none"/>
            <w:shd w:val="clear" w:color="auto" w:fill="FFFFFF"/>
          </w:rPr>
          <w:t>https://pubmed.ncbi.nlm.nih.gov/39456641/</w:t>
        </w:r>
      </w:hyperlink>
      <w:r w:rsidR="007A3D29" w:rsidRPr="00EF28BF">
        <w:rPr>
          <w:rFonts w:eastAsia="Times New Roman"/>
          <w:color w:val="000000" w:themeColor="text1"/>
          <w:sz w:val="24"/>
          <w:shd w:val="clear" w:color="auto" w:fill="FFFFFF"/>
        </w:rPr>
        <w:t>.</w:t>
      </w:r>
      <w:r w:rsidR="007A3D29">
        <w:rPr>
          <w:rFonts w:eastAsia="Times New Roman"/>
          <w:sz w:val="24"/>
          <w:shd w:val="clear" w:color="auto" w:fill="FFFFFF"/>
        </w:rPr>
        <w:t xml:space="preserve"> </w:t>
      </w:r>
      <w:r w:rsidRPr="008B64A9">
        <w:rPr>
          <w:sz w:val="24"/>
        </w:rPr>
        <w:t xml:space="preserve">Acesso em: 27 de agosto de 2025. </w:t>
      </w:r>
    </w:p>
    <w:p w14:paraId="0B85BEF8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24FBDEED" w14:textId="25AD7F32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ZARAMELLA, A.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>et al</w:t>
      </w:r>
      <w:r w:rsidRPr="008B64A9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Predictive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Value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of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a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Microbiota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Dysbiosis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Test for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Stratifying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Cancer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Risk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in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Atrophic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Gastritis</w:t>
      </w:r>
      <w:proofErr w:type="spellEnd"/>
      <w:r w:rsidR="00642B23" w:rsidRPr="00642B23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642B23" w:rsidRPr="00642B23">
        <w:rPr>
          <w:rFonts w:eastAsia="Times New Roman"/>
          <w:sz w:val="24"/>
          <w:shd w:val="clear" w:color="auto" w:fill="FFFFFF"/>
        </w:rPr>
        <w:t>Patients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Nutrients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>, v. 17, n. 1, p. 142, 2024. Disponível em: https://pubmed.ncbi.nlm.nih.gov/39796578/</w:t>
      </w:r>
      <w:r w:rsidRPr="008B64A9">
        <w:rPr>
          <w:rFonts w:eastAsia="Times New Roman"/>
          <w:color w:val="000000" w:themeColor="text1"/>
          <w:sz w:val="24"/>
          <w:shd w:val="clear" w:color="auto" w:fill="FFFFFF"/>
        </w:rPr>
        <w:t xml:space="preserve">. </w:t>
      </w:r>
      <w:r w:rsidRPr="008B64A9">
        <w:rPr>
          <w:sz w:val="24"/>
        </w:rPr>
        <w:t xml:space="preserve">Acesso em: 27 de agosto de 2025. </w:t>
      </w:r>
    </w:p>
    <w:p w14:paraId="6DA3F1BA" w14:textId="77777777" w:rsidR="009F6C3C" w:rsidRPr="008B64A9" w:rsidRDefault="009F6C3C" w:rsidP="009F6C3C">
      <w:pPr>
        <w:rPr>
          <w:rFonts w:eastAsia="Times New Roman"/>
          <w:sz w:val="24"/>
          <w:shd w:val="clear" w:color="auto" w:fill="FFFFFF"/>
        </w:rPr>
      </w:pPr>
    </w:p>
    <w:p w14:paraId="457D5F49" w14:textId="1D7730FE" w:rsidR="009F6C3C" w:rsidRPr="009F6C3C" w:rsidRDefault="009F6C3C" w:rsidP="009F6C3C">
      <w:pPr>
        <w:rPr>
          <w:rFonts w:eastAsia="Times New Roman"/>
          <w:sz w:val="24"/>
          <w:shd w:val="clear" w:color="auto" w:fill="FFFFFF"/>
        </w:rPr>
      </w:pPr>
      <w:r w:rsidRPr="008B64A9">
        <w:rPr>
          <w:rFonts w:eastAsia="Times New Roman"/>
          <w:sz w:val="24"/>
          <w:shd w:val="clear" w:color="auto" w:fill="FFFFFF"/>
        </w:rPr>
        <w:t xml:space="preserve">ZHANG, Z. </w:t>
      </w:r>
      <w:r w:rsidRPr="008B64A9">
        <w:rPr>
          <w:rFonts w:eastAsia="Times New Roman"/>
          <w:i/>
          <w:iCs/>
          <w:sz w:val="24"/>
          <w:shd w:val="clear" w:color="auto" w:fill="FFFFFF"/>
        </w:rPr>
        <w:t>et al</w:t>
      </w:r>
      <w:r w:rsidRPr="008B64A9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Dysbiosis</w:t>
      </w:r>
      <w:proofErr w:type="spellEnd"/>
      <w:r w:rsidR="00A82B5E" w:rsidRPr="00A82B5E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of</w:t>
      </w:r>
      <w:proofErr w:type="spellEnd"/>
      <w:r w:rsidR="00A82B5E" w:rsidRPr="00A82B5E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A82B5E" w:rsidRPr="00A82B5E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Mucosal</w:t>
      </w:r>
      <w:proofErr w:type="spellEnd"/>
      <w:r w:rsidR="00A82B5E" w:rsidRPr="00A82B5E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Fungal</w:t>
      </w:r>
      <w:proofErr w:type="spellEnd"/>
      <w:r w:rsidR="00A82B5E" w:rsidRPr="00A82B5E">
        <w:rPr>
          <w:rFonts w:eastAsia="Times New Roman"/>
          <w:sz w:val="24"/>
          <w:shd w:val="clear" w:color="auto" w:fill="FFFFFF"/>
        </w:rPr>
        <w:t xml:space="preserve"> Microbiota in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the</w:t>
      </w:r>
      <w:proofErr w:type="spellEnd"/>
      <w:r w:rsidR="00A82B5E" w:rsidRPr="00A82B5E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Gastric</w:t>
      </w:r>
      <w:proofErr w:type="spellEnd"/>
      <w:r w:rsidR="00A82B5E" w:rsidRPr="00A82B5E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Cancer</w:t>
      </w:r>
      <w:proofErr w:type="spellEnd"/>
      <w:r w:rsidR="00A82B5E" w:rsidRPr="00A82B5E">
        <w:rPr>
          <w:rFonts w:eastAsia="Times New Roman"/>
          <w:sz w:val="24"/>
          <w:shd w:val="clear" w:color="auto" w:fill="FFFFFF"/>
        </w:rPr>
        <w:t xml:space="preserve"> </w:t>
      </w:r>
      <w:proofErr w:type="spellStart"/>
      <w:r w:rsidR="00A82B5E" w:rsidRPr="00A82B5E">
        <w:rPr>
          <w:rFonts w:eastAsia="Times New Roman"/>
          <w:sz w:val="24"/>
          <w:shd w:val="clear" w:color="auto" w:fill="FFFFFF"/>
        </w:rPr>
        <w:t>Microenvironment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 xml:space="preserve">.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Journal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of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Immunology</w:t>
      </w:r>
      <w:proofErr w:type="spellEnd"/>
      <w:r w:rsidRPr="008B64A9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proofErr w:type="spellStart"/>
      <w:r w:rsidRPr="008B64A9">
        <w:rPr>
          <w:rFonts w:eastAsia="Times New Roman"/>
          <w:b/>
          <w:bCs/>
          <w:sz w:val="24"/>
          <w:shd w:val="clear" w:color="auto" w:fill="FFFFFF"/>
        </w:rPr>
        <w:t>Research</w:t>
      </w:r>
      <w:proofErr w:type="spellEnd"/>
      <w:r w:rsidRPr="008B64A9">
        <w:rPr>
          <w:rFonts w:eastAsia="Times New Roman"/>
          <w:sz w:val="24"/>
          <w:shd w:val="clear" w:color="auto" w:fill="FFFFFF"/>
        </w:rPr>
        <w:t>, v. 2022, n. 1, p. 6011632, 2022. Disponível em: https://pubmed.ncbi.nlm.nih.gov/35340583/</w:t>
      </w:r>
      <w:r w:rsidRPr="008B64A9">
        <w:rPr>
          <w:rFonts w:eastAsia="Times New Roman"/>
          <w:color w:val="000000" w:themeColor="text1"/>
          <w:sz w:val="24"/>
          <w:shd w:val="clear" w:color="auto" w:fill="FFFFFF"/>
        </w:rPr>
        <w:t>.</w:t>
      </w:r>
      <w:r w:rsidRPr="008B64A9">
        <w:rPr>
          <w:rFonts w:eastAsia="Times New Roman"/>
          <w:sz w:val="24"/>
          <w:shd w:val="clear" w:color="auto" w:fill="FFFFFF"/>
        </w:rPr>
        <w:t xml:space="preserve"> </w:t>
      </w:r>
      <w:r w:rsidRPr="008B64A9">
        <w:rPr>
          <w:sz w:val="24"/>
        </w:rPr>
        <w:t>Acesso em: 27 de agosto de 2025.</w:t>
      </w:r>
      <w:r w:rsidRPr="009F6C3C">
        <w:rPr>
          <w:sz w:val="24"/>
        </w:rPr>
        <w:t xml:space="preserve"> </w:t>
      </w:r>
    </w:p>
    <w:p w14:paraId="75BD50F4" w14:textId="77777777" w:rsidR="009F6C3C" w:rsidRPr="005E2993" w:rsidRDefault="009F6C3C" w:rsidP="009F6C3C">
      <w:pPr>
        <w:rPr>
          <w:rFonts w:eastAsia="Times New Roman"/>
          <w:color w:val="222222"/>
          <w:shd w:val="clear" w:color="auto" w:fill="FFFFFF"/>
        </w:rPr>
      </w:pPr>
    </w:p>
    <w:p w14:paraId="545A5EF1" w14:textId="29F9390A" w:rsidR="009944CE" w:rsidRDefault="009944CE" w:rsidP="0014789D">
      <w:pPr>
        <w:pStyle w:val="Rodap"/>
      </w:pPr>
    </w:p>
    <w:p w14:paraId="49976F80" w14:textId="0BC669E3" w:rsidR="00820FF4" w:rsidRDefault="00820FF4" w:rsidP="0014789D">
      <w:pPr>
        <w:pStyle w:val="Rodap"/>
      </w:pPr>
      <w:r>
        <w:t xml:space="preserve"> </w:t>
      </w:r>
    </w:p>
    <w:p w14:paraId="716C895F" w14:textId="6BDEF87F" w:rsidR="009944CE" w:rsidRDefault="009944CE" w:rsidP="0014789D">
      <w:pPr>
        <w:pStyle w:val="Rodap"/>
      </w:pPr>
    </w:p>
    <w:p w14:paraId="63F00B0F" w14:textId="77777777" w:rsidR="009944CE" w:rsidRDefault="009944CE" w:rsidP="0014789D">
      <w:pPr>
        <w:pStyle w:val="Rodap"/>
      </w:pPr>
    </w:p>
    <w:p w14:paraId="06781D8C" w14:textId="77777777" w:rsidR="009944CE" w:rsidRPr="003933B9" w:rsidRDefault="009944CE" w:rsidP="009944CE">
      <w:pPr>
        <w:pStyle w:val="Rodap"/>
      </w:pPr>
    </w:p>
    <w:sectPr w:rsidR="009944CE" w:rsidRPr="003933B9" w:rsidSect="002B1188">
      <w:headerReference w:type="default" r:id="rId16"/>
      <w:footerReference w:type="default" r:id="rId17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D9F65" w14:textId="77777777" w:rsidR="00DA26F0" w:rsidRDefault="00DA26F0" w:rsidP="004071DD">
      <w:r>
        <w:separator/>
      </w:r>
    </w:p>
  </w:endnote>
  <w:endnote w:type="continuationSeparator" w:id="0">
    <w:p w14:paraId="310CFBA4" w14:textId="77777777" w:rsidR="00DA26F0" w:rsidRDefault="00DA26F0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1637" w14:textId="276E84BE" w:rsidR="006B297B" w:rsidRDefault="006B297B">
    <w:pPr>
      <w:pStyle w:val="Rodap"/>
    </w:pPr>
    <w:r>
      <w:t xml:space="preserve">¹ Graduanda </w:t>
    </w:r>
    <w:r w:rsidRPr="00F33874">
      <w:t xml:space="preserve">em </w:t>
    </w:r>
    <w:r>
      <w:t>Nutrição -</w:t>
    </w:r>
    <w:r w:rsidRPr="00F33874">
      <w:t xml:space="preserve"> Christus Faculdade do Piauí.</w:t>
    </w:r>
  </w:p>
  <w:p w14:paraId="7322F1B6" w14:textId="5F2803D4" w:rsidR="006B297B" w:rsidRDefault="006B297B">
    <w:pPr>
      <w:pStyle w:val="Rodap"/>
    </w:pPr>
    <w:r>
      <w:t xml:space="preserve">² Professora Especialista - </w:t>
    </w:r>
    <w:r w:rsidRPr="00F33874">
      <w:t>Christus Faculdade do Piauí.</w:t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EAF96" w14:textId="77777777" w:rsidR="00DA26F0" w:rsidRDefault="00DA26F0" w:rsidP="004071DD">
      <w:r>
        <w:separator/>
      </w:r>
    </w:p>
  </w:footnote>
  <w:footnote w:type="continuationSeparator" w:id="0">
    <w:p w14:paraId="51DC4097" w14:textId="77777777" w:rsidR="00DA26F0" w:rsidRDefault="00DA26F0" w:rsidP="00407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DD"/>
    <w:rsid w:val="0000287C"/>
    <w:rsid w:val="000145A4"/>
    <w:rsid w:val="00022FCE"/>
    <w:rsid w:val="000430C2"/>
    <w:rsid w:val="00043970"/>
    <w:rsid w:val="00044CF3"/>
    <w:rsid w:val="000524C6"/>
    <w:rsid w:val="00062FBE"/>
    <w:rsid w:val="00082808"/>
    <w:rsid w:val="00084BB2"/>
    <w:rsid w:val="00092C05"/>
    <w:rsid w:val="000B36AA"/>
    <w:rsid w:val="000C0A41"/>
    <w:rsid w:val="000D1505"/>
    <w:rsid w:val="000D1FDB"/>
    <w:rsid w:val="000E58AE"/>
    <w:rsid w:val="000E6208"/>
    <w:rsid w:val="000F63EC"/>
    <w:rsid w:val="001135A6"/>
    <w:rsid w:val="00117B45"/>
    <w:rsid w:val="00124A87"/>
    <w:rsid w:val="0014652C"/>
    <w:rsid w:val="00146632"/>
    <w:rsid w:val="0014789D"/>
    <w:rsid w:val="00151F9F"/>
    <w:rsid w:val="0015217F"/>
    <w:rsid w:val="00154180"/>
    <w:rsid w:val="00155BCB"/>
    <w:rsid w:val="00171BA4"/>
    <w:rsid w:val="00174159"/>
    <w:rsid w:val="001A1E18"/>
    <w:rsid w:val="001A7AF7"/>
    <w:rsid w:val="001B03E6"/>
    <w:rsid w:val="001B7AC8"/>
    <w:rsid w:val="001D4B4B"/>
    <w:rsid w:val="001D4BED"/>
    <w:rsid w:val="001D66E2"/>
    <w:rsid w:val="001D6B9D"/>
    <w:rsid w:val="001F72BD"/>
    <w:rsid w:val="00210C74"/>
    <w:rsid w:val="00216E40"/>
    <w:rsid w:val="00227528"/>
    <w:rsid w:val="00230611"/>
    <w:rsid w:val="002377F0"/>
    <w:rsid w:val="0024283F"/>
    <w:rsid w:val="00253FAB"/>
    <w:rsid w:val="002577B6"/>
    <w:rsid w:val="00272823"/>
    <w:rsid w:val="00277E9C"/>
    <w:rsid w:val="00280A8C"/>
    <w:rsid w:val="00293100"/>
    <w:rsid w:val="00293314"/>
    <w:rsid w:val="002A1E6B"/>
    <w:rsid w:val="002A396A"/>
    <w:rsid w:val="002A641D"/>
    <w:rsid w:val="002A75E4"/>
    <w:rsid w:val="002B1188"/>
    <w:rsid w:val="002B3FCE"/>
    <w:rsid w:val="002D0344"/>
    <w:rsid w:val="002E1309"/>
    <w:rsid w:val="002E3C26"/>
    <w:rsid w:val="002E469B"/>
    <w:rsid w:val="002F083E"/>
    <w:rsid w:val="002F7354"/>
    <w:rsid w:val="003135C0"/>
    <w:rsid w:val="00321602"/>
    <w:rsid w:val="0032440C"/>
    <w:rsid w:val="00337290"/>
    <w:rsid w:val="00346084"/>
    <w:rsid w:val="00361C9C"/>
    <w:rsid w:val="003636C7"/>
    <w:rsid w:val="00363B7C"/>
    <w:rsid w:val="00366E20"/>
    <w:rsid w:val="0036755F"/>
    <w:rsid w:val="00374F99"/>
    <w:rsid w:val="003826A1"/>
    <w:rsid w:val="003906FE"/>
    <w:rsid w:val="0039319D"/>
    <w:rsid w:val="003933B9"/>
    <w:rsid w:val="003C034C"/>
    <w:rsid w:val="003C08EF"/>
    <w:rsid w:val="003D36A1"/>
    <w:rsid w:val="003E403C"/>
    <w:rsid w:val="003E539B"/>
    <w:rsid w:val="004071DD"/>
    <w:rsid w:val="00412598"/>
    <w:rsid w:val="004127F2"/>
    <w:rsid w:val="004220E9"/>
    <w:rsid w:val="004312BD"/>
    <w:rsid w:val="00461259"/>
    <w:rsid w:val="004630B6"/>
    <w:rsid w:val="004727B8"/>
    <w:rsid w:val="00475069"/>
    <w:rsid w:val="0048024E"/>
    <w:rsid w:val="00482202"/>
    <w:rsid w:val="00484E60"/>
    <w:rsid w:val="00490ADF"/>
    <w:rsid w:val="00490CCD"/>
    <w:rsid w:val="00490CE9"/>
    <w:rsid w:val="004961DC"/>
    <w:rsid w:val="004B0EC7"/>
    <w:rsid w:val="004B3A5C"/>
    <w:rsid w:val="004B56EA"/>
    <w:rsid w:val="004C1B9F"/>
    <w:rsid w:val="004C44A6"/>
    <w:rsid w:val="004C5BC5"/>
    <w:rsid w:val="004E2546"/>
    <w:rsid w:val="004E3B85"/>
    <w:rsid w:val="004E7637"/>
    <w:rsid w:val="004F5963"/>
    <w:rsid w:val="00505E04"/>
    <w:rsid w:val="00535729"/>
    <w:rsid w:val="00543753"/>
    <w:rsid w:val="005457B2"/>
    <w:rsid w:val="005469FC"/>
    <w:rsid w:val="00552968"/>
    <w:rsid w:val="0057654D"/>
    <w:rsid w:val="00597442"/>
    <w:rsid w:val="005A75B3"/>
    <w:rsid w:val="005C4F4F"/>
    <w:rsid w:val="005D3955"/>
    <w:rsid w:val="005F11F5"/>
    <w:rsid w:val="00634095"/>
    <w:rsid w:val="00640652"/>
    <w:rsid w:val="00642B23"/>
    <w:rsid w:val="00653415"/>
    <w:rsid w:val="0066039E"/>
    <w:rsid w:val="006623D4"/>
    <w:rsid w:val="006628FA"/>
    <w:rsid w:val="0068466C"/>
    <w:rsid w:val="00685DB3"/>
    <w:rsid w:val="006B0FBC"/>
    <w:rsid w:val="006B297B"/>
    <w:rsid w:val="006D0F25"/>
    <w:rsid w:val="006D27D0"/>
    <w:rsid w:val="006E2D4A"/>
    <w:rsid w:val="006E49CD"/>
    <w:rsid w:val="006E5E90"/>
    <w:rsid w:val="00706685"/>
    <w:rsid w:val="00715E15"/>
    <w:rsid w:val="007169AF"/>
    <w:rsid w:val="007242CD"/>
    <w:rsid w:val="00724AF9"/>
    <w:rsid w:val="00730EED"/>
    <w:rsid w:val="0073799F"/>
    <w:rsid w:val="007475D6"/>
    <w:rsid w:val="00755003"/>
    <w:rsid w:val="00756677"/>
    <w:rsid w:val="00770C83"/>
    <w:rsid w:val="00783E9A"/>
    <w:rsid w:val="007A2A64"/>
    <w:rsid w:val="007A3D29"/>
    <w:rsid w:val="007A3E6E"/>
    <w:rsid w:val="007A51C5"/>
    <w:rsid w:val="007A5928"/>
    <w:rsid w:val="007B6198"/>
    <w:rsid w:val="007C255B"/>
    <w:rsid w:val="007F5899"/>
    <w:rsid w:val="00804E7E"/>
    <w:rsid w:val="008056EE"/>
    <w:rsid w:val="0080579D"/>
    <w:rsid w:val="00805D20"/>
    <w:rsid w:val="008125A2"/>
    <w:rsid w:val="00817C8A"/>
    <w:rsid w:val="00820FF4"/>
    <w:rsid w:val="00825CC8"/>
    <w:rsid w:val="00837FCB"/>
    <w:rsid w:val="008401DA"/>
    <w:rsid w:val="00845B8E"/>
    <w:rsid w:val="00846ACF"/>
    <w:rsid w:val="008474B1"/>
    <w:rsid w:val="00852577"/>
    <w:rsid w:val="00873FB6"/>
    <w:rsid w:val="008865CE"/>
    <w:rsid w:val="008A52F1"/>
    <w:rsid w:val="008B351A"/>
    <w:rsid w:val="008B39DE"/>
    <w:rsid w:val="008B64A9"/>
    <w:rsid w:val="008D0DA0"/>
    <w:rsid w:val="008E1D96"/>
    <w:rsid w:val="008E4217"/>
    <w:rsid w:val="008E460E"/>
    <w:rsid w:val="008F49AD"/>
    <w:rsid w:val="009140D1"/>
    <w:rsid w:val="00942F82"/>
    <w:rsid w:val="00945CA0"/>
    <w:rsid w:val="00954671"/>
    <w:rsid w:val="0095483B"/>
    <w:rsid w:val="009572D0"/>
    <w:rsid w:val="00963E7D"/>
    <w:rsid w:val="00975BB2"/>
    <w:rsid w:val="00983C85"/>
    <w:rsid w:val="00992C0F"/>
    <w:rsid w:val="00993964"/>
    <w:rsid w:val="009944CE"/>
    <w:rsid w:val="0099668B"/>
    <w:rsid w:val="009C395C"/>
    <w:rsid w:val="009C6204"/>
    <w:rsid w:val="009D31AB"/>
    <w:rsid w:val="009D52F7"/>
    <w:rsid w:val="009F6C3C"/>
    <w:rsid w:val="00A346F9"/>
    <w:rsid w:val="00A41509"/>
    <w:rsid w:val="00A5763C"/>
    <w:rsid w:val="00A6264A"/>
    <w:rsid w:val="00A72088"/>
    <w:rsid w:val="00A80D8A"/>
    <w:rsid w:val="00A82B5E"/>
    <w:rsid w:val="00A95EB7"/>
    <w:rsid w:val="00AA11F3"/>
    <w:rsid w:val="00AA21F5"/>
    <w:rsid w:val="00AA3268"/>
    <w:rsid w:val="00AC046B"/>
    <w:rsid w:val="00AD63EF"/>
    <w:rsid w:val="00AE0228"/>
    <w:rsid w:val="00AE7245"/>
    <w:rsid w:val="00AF2359"/>
    <w:rsid w:val="00B11A4B"/>
    <w:rsid w:val="00B12553"/>
    <w:rsid w:val="00B47C47"/>
    <w:rsid w:val="00B512D1"/>
    <w:rsid w:val="00B63FE8"/>
    <w:rsid w:val="00B64AAD"/>
    <w:rsid w:val="00B7370E"/>
    <w:rsid w:val="00B761A1"/>
    <w:rsid w:val="00B828B0"/>
    <w:rsid w:val="00B834FA"/>
    <w:rsid w:val="00B87598"/>
    <w:rsid w:val="00B90277"/>
    <w:rsid w:val="00BA033B"/>
    <w:rsid w:val="00BA6943"/>
    <w:rsid w:val="00BC10BF"/>
    <w:rsid w:val="00BD3774"/>
    <w:rsid w:val="00BE405B"/>
    <w:rsid w:val="00BF15FE"/>
    <w:rsid w:val="00BF51F6"/>
    <w:rsid w:val="00C16BFC"/>
    <w:rsid w:val="00C208F6"/>
    <w:rsid w:val="00C43042"/>
    <w:rsid w:val="00C46E72"/>
    <w:rsid w:val="00C50D1D"/>
    <w:rsid w:val="00C53AE2"/>
    <w:rsid w:val="00C556E2"/>
    <w:rsid w:val="00C56097"/>
    <w:rsid w:val="00C61BFE"/>
    <w:rsid w:val="00C76514"/>
    <w:rsid w:val="00C858B8"/>
    <w:rsid w:val="00C97566"/>
    <w:rsid w:val="00CA2ED7"/>
    <w:rsid w:val="00CA7EB3"/>
    <w:rsid w:val="00CB1ECB"/>
    <w:rsid w:val="00CB26AC"/>
    <w:rsid w:val="00CC3AC7"/>
    <w:rsid w:val="00CD21AB"/>
    <w:rsid w:val="00CF1AD2"/>
    <w:rsid w:val="00CF460E"/>
    <w:rsid w:val="00D13585"/>
    <w:rsid w:val="00D20085"/>
    <w:rsid w:val="00D21009"/>
    <w:rsid w:val="00D22AFB"/>
    <w:rsid w:val="00D23252"/>
    <w:rsid w:val="00D26C95"/>
    <w:rsid w:val="00D333C0"/>
    <w:rsid w:val="00D35409"/>
    <w:rsid w:val="00D434BD"/>
    <w:rsid w:val="00D44900"/>
    <w:rsid w:val="00D47AF6"/>
    <w:rsid w:val="00D531D2"/>
    <w:rsid w:val="00D66A98"/>
    <w:rsid w:val="00D674E8"/>
    <w:rsid w:val="00D710AB"/>
    <w:rsid w:val="00D73D70"/>
    <w:rsid w:val="00D859C1"/>
    <w:rsid w:val="00D97637"/>
    <w:rsid w:val="00DA26F0"/>
    <w:rsid w:val="00DA2F60"/>
    <w:rsid w:val="00DB1935"/>
    <w:rsid w:val="00DB46E6"/>
    <w:rsid w:val="00DD38E1"/>
    <w:rsid w:val="00DD54CA"/>
    <w:rsid w:val="00DD596F"/>
    <w:rsid w:val="00DF7CED"/>
    <w:rsid w:val="00E03F14"/>
    <w:rsid w:val="00E0722D"/>
    <w:rsid w:val="00E1448D"/>
    <w:rsid w:val="00E31819"/>
    <w:rsid w:val="00E4748E"/>
    <w:rsid w:val="00E8345B"/>
    <w:rsid w:val="00E8399D"/>
    <w:rsid w:val="00E94362"/>
    <w:rsid w:val="00E9465D"/>
    <w:rsid w:val="00E9722B"/>
    <w:rsid w:val="00EA5E60"/>
    <w:rsid w:val="00EC0EB2"/>
    <w:rsid w:val="00EC4B27"/>
    <w:rsid w:val="00EF28BF"/>
    <w:rsid w:val="00F01776"/>
    <w:rsid w:val="00F0187A"/>
    <w:rsid w:val="00F2148E"/>
    <w:rsid w:val="00F2175F"/>
    <w:rsid w:val="00F33874"/>
    <w:rsid w:val="00F36965"/>
    <w:rsid w:val="00F5573A"/>
    <w:rsid w:val="00F73CDA"/>
    <w:rsid w:val="00F76808"/>
    <w:rsid w:val="00F817AA"/>
    <w:rsid w:val="00F90724"/>
    <w:rsid w:val="00F928E1"/>
    <w:rsid w:val="00FA4973"/>
    <w:rsid w:val="00FA711B"/>
    <w:rsid w:val="00FC36FC"/>
    <w:rsid w:val="00FC6A80"/>
    <w:rsid w:val="00FC7574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table" w:styleId="Tabelacomgrade">
    <w:name w:val="Table Grid"/>
    <w:basedOn w:val="Tabelanormal"/>
    <w:uiPriority w:val="39"/>
    <w:rsid w:val="00D26C95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F6C3C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7AF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D0DA0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cimb.2025.1563061" TargetMode="External"/><Relationship Id="rId13" Type="http://schemas.openxmlformats.org/officeDocument/2006/relationships/hyperlink" Target="https://pmc.ncbi.nlm.nih.gov/articles/PMC941457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squisa.bvsalud.org/portal/resource/es/biblio-161124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mc.ncbi.nlm.nih.gov/articles/PMC860599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39456641/" TargetMode="External"/><Relationship Id="rId10" Type="http://schemas.openxmlformats.org/officeDocument/2006/relationships/hyperlink" Target="https://pmc.ncbi.nlm.nih.gov/articles/PMC5872614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40529304/.%20Acesso" TargetMode="External"/><Relationship Id="rId14" Type="http://schemas.openxmlformats.org/officeDocument/2006/relationships/hyperlink" Target="https://pmc.ncbi.nlm.nih.gov/articles/PMC1057235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948D-8508-4DF4-A11D-D04A2721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3826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Conta da Microsoft</cp:lastModifiedBy>
  <cp:revision>6</cp:revision>
  <cp:lastPrinted>2021-07-28T20:43:00Z</cp:lastPrinted>
  <dcterms:created xsi:type="dcterms:W3CDTF">2025-09-04T22:40:00Z</dcterms:created>
  <dcterms:modified xsi:type="dcterms:W3CDTF">2025-09-05T21:56:00Z</dcterms:modified>
</cp:coreProperties>
</file>