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96A52" w:rsidRDefault="00E96A52" w:rsidP="00C21FE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E96A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Pr="00C21FE2" w:rsidRDefault="00A0095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1F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Eixo Temático: </w:t>
      </w:r>
      <w:r w:rsidRPr="00C21FE2">
        <w:rPr>
          <w:rFonts w:ascii="Times New Roman" w:eastAsia="Times New Roman" w:hAnsi="Times New Roman" w:cs="Times New Roman"/>
          <w:b/>
          <w:sz w:val="24"/>
          <w:szCs w:val="24"/>
        </w:rPr>
        <w:t>Sistemas de Informação em Saúde</w:t>
      </w:r>
    </w:p>
    <w:p w:rsidR="00E96A52" w:rsidRDefault="00E96A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A00955" w:rsidP="00BD4F2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COLETA DE EXAME CITOPATOLÓGICO EM MULHERES NA ATENÇÃO PRIMÁRIA DE ITAPIPOCA ENTRE 2024 E 2025</w:t>
      </w:r>
      <w:bookmarkStart w:id="0" w:name="_GoBack"/>
      <w:bookmarkEnd w:id="0"/>
    </w:p>
    <w:p w:rsidR="00E96A52" w:rsidRDefault="00A0095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exame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citopatológico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colo do útero, também conhecido como Papanicolau, é a principal forma de rastreamento para detecção precoce do câncer do colo do útero e de lesões precursoras, sendo a Atenção Primária à Saúde (APS) o principal local de realização desse exame. Sua realização periódica permite identificar alterações celulares antes dos sintomas, favorecendo o diagnóstico precoce e aumentando a resolutividade do tratamento. No entanto, esse exame ainda enfrenta desafios, principalmente por barreiras culturais ou dificuldades de acesso aos serviços. Dessa forma, avaliar o número de mulheres com coletas é de suma importância para a compreensão da realidade local, para efetivarem ações preventivas e para fortalecer a saúde integral da mulher.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OBJETIVO: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Analisar a proporção de mulheres com coleta de exame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citopatológico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município de Itapipoca, Ceará, nos quadrimestres de 2024 e no primeiro quadrimestre de 2025.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MÉTODOS: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Trata-se de um estudo quantitativo, descritivo, baseado em dados secundários do Sistema de Informação em Saúde para a Atenção Básica (SISAB), utilizando a seção de indicadores de desempenho. Foi selecionado o indicador “Proporção de mulheres com coleta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citopatológico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 APS”, com nível de visualização por município, considerando todas as equipes da APS. A análise abrangeu do primeiro quadrimestre de 2024 ao primeiro quadrimestre de 2025. O numerador corresponde ao número de mulheres com exame realizado no período e o denominador ao total de mulheres cadastradas no município de Itapipoca. Ressalta-se que o segundo quadrimestre de 2025 ainda não está disponível na base pública, possivelmente em decorrência da mudança no financiamento do Previne Brasil e da migração do e-SUS APS/SISAB para o novo Sistema de Informação para Atenção Primária à Saúde (SIAPS), iniciada em 2024.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RESULTADOS: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Observou-se leve crescimento na proporção de mulheres com coleta de exame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citopatológico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 APS. No primeiro quadrimestre de 2024, registrou-se 33%, com 11.431 coletas entre 34.961 mulheres cadastradas. No segundo quadrimestre, o percentual aumentou para 34%, com 11.944 coletas entre 35.323 mulheres, mantendo-se em 34% no terceiro quadrimestre, com 12.293 coletas e 35.716 mulheres. No primeiro quadrimestre de 2025, houve aumento para 35%, com 12.723 coletas entre 35.857 mulheres. Os resultados evidenciam estabilidade na cobertura, com discreta evolução positiva. Quando analisado o número total de mulheres vinculadas às equipes no município, o sistema não permite em acesso público, a categorização por faixa etária, não sendo possível saber a quantidade de mulheres por idade entre 25 e 64 anos.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CONCLUSÃO: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Apesar da soberania da APS no quesito prevenção e promoção da saúde, há controvérsias sobre a sua completa efetividade, fazendo com que o município fortaleça suas ações a partir da busca ativa deste público. O estudo revela um perfil com constante evolução, e que mesmo atingindo a meta de público alcançado (&gt; 28%) do previne Brasil, ainda não atingiu o nível adequado de prevenção, no público geral estimado, perpetuando ações que impossibilita a detecção precoce do câncer de colo de útero ou de outras lesões precursoras.</w:t>
      </w:r>
    </w:p>
    <w:p w:rsidR="00E96A52" w:rsidRDefault="00E96A5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A0095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Teste de Papanicolau, Atenção Primária à Saúde, Mulheres.</w:t>
      </w:r>
    </w:p>
    <w:p w:rsidR="00E96A52" w:rsidRDefault="00E96A5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6A52" w:rsidRDefault="00A0095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REFERÊNCIAS:</w:t>
      </w:r>
    </w:p>
    <w:p w:rsidR="00E96A52" w:rsidRDefault="00E96A5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6A52" w:rsidRDefault="00A0095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FREITAS, V. C. A.; SOARES, P. R. A. L.; NICOLAU, A. I. O.; PINHEIRO, A. K. B.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Citopatológico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colo uterino e adequabilidade da amostra: ensaio clínico randomizado controlado.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Acta Paulista de Enfermagem</w:t>
      </w:r>
      <w:r>
        <w:rPr>
          <w:rFonts w:ascii="Times New Roman" w:eastAsia="Times New Roman" w:hAnsi="Times New Roman" w:cs="Times New Roman"/>
          <w:sz w:val="24"/>
          <w:szCs w:val="24"/>
        </w:rPr>
        <w:t>, v. 36, p. 1-9, 2023.</w:t>
      </w:r>
    </w:p>
    <w:p w:rsidR="00E96A52" w:rsidRDefault="00E96A5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6A52" w:rsidRDefault="00A0095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ROSA, V. H. J.; et al. Exame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Citopatológico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 Atenção Básica E Suas Consequências Multidisciplinares.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Brazilian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Journal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Implantology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Health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Sciences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v. 6, n. 1, p. 195-211, 2024.</w:t>
      </w:r>
    </w:p>
    <w:p w:rsidR="00E96A52" w:rsidRDefault="00E96A5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6A52" w:rsidRDefault="00A0095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SANTOS, M. S.; LOPES JÚNIOR, H. M. P.; SILVA, L. G. Saúde da Mulher: a Importância do Exame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Citopatológico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Revista Ibero-Americana de Humanidades, Ciência e Educação</w:t>
      </w:r>
      <w:r>
        <w:rPr>
          <w:rFonts w:ascii="Times New Roman" w:eastAsia="Times New Roman" w:hAnsi="Times New Roman" w:cs="Times New Roman"/>
          <w:sz w:val="24"/>
          <w:szCs w:val="24"/>
        </w:rPr>
        <w:t>, v. 10, n. 9, p. 1-12, set., 2024.</w:t>
      </w:r>
    </w:p>
    <w:p w:rsidR="00E96A52" w:rsidRDefault="00E96A5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6A52" w:rsidRDefault="00A0095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SILVA, G. A.; DAMACENA, G. N.; RIBEIRO, C. M.; ALCANTARA, L. L. M.; SOUZ</w:t>
      </w:r>
      <w:r w:rsidR="00C21FE2">
        <w:rPr>
          <w:rFonts w:ascii="Times New Roman" w:eastAsia="Times New Roman" w:hAnsi="Times New Roman" w:cs="Times New Roman"/>
          <w:sz w:val="24"/>
          <w:szCs w:val="24"/>
        </w:rPr>
        <w:t>A JÚNIOR, P. R. B.; SZWARCWALD,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C. L. Exame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Papanicolaou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Brasil: análise da Pesquisa Nacional de Saúde em 2013 e 2019.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Revista De Saúde Pública</w:t>
      </w:r>
      <w:r>
        <w:rPr>
          <w:rFonts w:ascii="Times New Roman" w:eastAsia="Times New Roman" w:hAnsi="Times New Roman" w:cs="Times New Roman"/>
          <w:sz w:val="24"/>
          <w:szCs w:val="24"/>
        </w:rPr>
        <w:t>, v. 57, n. 1, p. 1-12, out., 2023.</w:t>
      </w:r>
    </w:p>
    <w:p w:rsidR="00E96A52" w:rsidRDefault="00E96A5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6A52" w:rsidRDefault="00E96A5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E96A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E96A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E96A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E96A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E96A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E96A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E96A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E96A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E96A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E96A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E96A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E96A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E96A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E96A5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A52" w:rsidRDefault="00E96A5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E96A52">
      <w:headerReference w:type="default" r:id="rId7"/>
      <w:pgSz w:w="11906" w:h="16838"/>
      <w:pgMar w:top="1700" w:right="1133" w:bottom="1133" w:left="170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E27" w:rsidRDefault="00A97E27">
      <w:pPr>
        <w:spacing w:line="240" w:lineRule="auto"/>
      </w:pPr>
      <w:r>
        <w:separator/>
      </w:r>
    </w:p>
  </w:endnote>
  <w:endnote w:type="continuationSeparator" w:id="0">
    <w:p w:rsidR="00A97E27" w:rsidRDefault="00A97E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A614831-9F2D-4E4D-AE9F-4F5A48126A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A3E8B57-FC35-4E73-9B37-26E6929F58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E27" w:rsidRDefault="00A97E27">
      <w:pPr>
        <w:spacing w:line="240" w:lineRule="auto"/>
      </w:pPr>
      <w:r>
        <w:separator/>
      </w:r>
    </w:p>
  </w:footnote>
  <w:footnote w:type="continuationSeparator" w:id="0">
    <w:p w:rsidR="00A97E27" w:rsidRDefault="00A97E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A52" w:rsidRDefault="00A00955">
    <w:pPr>
      <w:jc w:val="center"/>
    </w:pPr>
    <w:r>
      <w:rPr>
        <w:noProof/>
      </w:rPr>
      <w:drawing>
        <wp:inline distT="0" distB="0" distL="0" distR="0">
          <wp:extent cx="2174400" cy="1537155"/>
          <wp:effectExtent l="0" t="0" r="0" b="0"/>
          <wp:docPr id="808396990" name="image1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4400" cy="1537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A52"/>
    <w:rsid w:val="00621E42"/>
    <w:rsid w:val="007715E7"/>
    <w:rsid w:val="00A00955"/>
    <w:rsid w:val="00A97E27"/>
    <w:rsid w:val="00BD4F21"/>
    <w:rsid w:val="00C21FE2"/>
    <w:rsid w:val="00E9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A79A4"/>
  <w15:docId w15:val="{6787EB50-D413-4B6D-8954-5669749A5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1565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5657"/>
  </w:style>
  <w:style w:type="paragraph" w:styleId="Rodap">
    <w:name w:val="footer"/>
    <w:basedOn w:val="Normal"/>
    <w:link w:val="RodapChar"/>
    <w:uiPriority w:val="99"/>
    <w:unhideWhenUsed/>
    <w:rsid w:val="0061565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5657"/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gT9sw+dJosDpBBRygipUO8AryQ==">CgMxLjAaJQoBMBIgCh4IB0IaCg9UaW1lcyBOZXcgUm9tYW4SB0d1bmdzdWg4AHIhMXpFMnBGVVZsSEtZcV9aelNGTVRQZ0QyUmdCWGx5RnZ3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675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 Moraes</dc:creator>
  <cp:lastModifiedBy>Lenovo</cp:lastModifiedBy>
  <cp:revision>4</cp:revision>
  <dcterms:created xsi:type="dcterms:W3CDTF">2025-11-16T17:38:00Z</dcterms:created>
  <dcterms:modified xsi:type="dcterms:W3CDTF">2025-11-16T17:44:00Z</dcterms:modified>
</cp:coreProperties>
</file>