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6FD8" w14:textId="77777777" w:rsidR="006E2F24" w:rsidRDefault="0044495C">
      <w:pPr>
        <w:keepNext/>
        <w:keepLines/>
        <w:spacing w:before="240" w:after="240" w:line="276" w:lineRule="auto"/>
        <w:ind w:left="1" w:hanging="3"/>
        <w:jc w:val="center"/>
        <w:rPr>
          <w:b/>
          <w:sz w:val="32"/>
          <w:szCs w:val="32"/>
        </w:rPr>
      </w:pPr>
      <w:bookmarkStart w:id="0" w:name="_heading=h.gjdgxs" w:colFirst="0" w:colLast="0"/>
      <w:bookmarkEnd w:id="0"/>
      <w:r>
        <w:rPr>
          <w:b/>
          <w:sz w:val="32"/>
          <w:szCs w:val="32"/>
        </w:rPr>
        <w:t>ESTADO DE LA SALUD MENTAL EN ESTUDIANTES DE EDUCACIÓN SUPERIOR EN MODALIDAD VIRTUAL</w:t>
      </w:r>
    </w:p>
    <w:p w14:paraId="57A89772" w14:textId="77777777" w:rsidR="006E2F24" w:rsidRDefault="006E2F24">
      <w:pPr>
        <w:keepNext/>
        <w:keepLines/>
        <w:pBdr>
          <w:top w:val="nil"/>
          <w:left w:val="nil"/>
          <w:bottom w:val="nil"/>
          <w:right w:val="nil"/>
          <w:between w:val="nil"/>
        </w:pBdr>
        <w:spacing w:before="120" w:after="0" w:line="276" w:lineRule="auto"/>
        <w:ind w:left="0" w:right="284" w:hanging="2"/>
        <w:jc w:val="center"/>
        <w:rPr>
          <w:sz w:val="24"/>
          <w:szCs w:val="24"/>
        </w:rPr>
      </w:pPr>
      <w:bookmarkStart w:id="1" w:name="_heading=h.aaky3ih93nxk" w:colFirst="0" w:colLast="0"/>
      <w:bookmarkEnd w:id="1"/>
    </w:p>
    <w:p w14:paraId="2D92E86E" w14:textId="4D70B899" w:rsidR="00E10B1C" w:rsidRPr="00DF6C66" w:rsidRDefault="0044495C" w:rsidP="00E10B1C">
      <w:pPr>
        <w:tabs>
          <w:tab w:val="left" w:pos="7078"/>
          <w:tab w:val="left" w:pos="9638"/>
        </w:tabs>
        <w:ind w:left="0" w:hanging="2"/>
        <w:rPr>
          <w:rFonts w:ascii="Roboto" w:hAnsi="Roboto"/>
          <w:sz w:val="21"/>
          <w:szCs w:val="21"/>
          <w:shd w:val="clear" w:color="auto" w:fill="FFFFFF"/>
        </w:rPr>
      </w:pPr>
      <w:r>
        <w:rPr>
          <w:b/>
          <w:sz w:val="24"/>
          <w:szCs w:val="24"/>
        </w:rPr>
        <w:t>Línea Temática</w:t>
      </w:r>
      <w:r>
        <w:rPr>
          <w:sz w:val="24"/>
          <w:szCs w:val="24"/>
        </w:rPr>
        <w:t xml:space="preserve">: </w:t>
      </w:r>
      <w:r w:rsidR="00F67983" w:rsidRPr="00DF6C66">
        <w:rPr>
          <w:sz w:val="24"/>
          <w:szCs w:val="24"/>
          <w:shd w:val="clear" w:color="auto" w:fill="FFFFFF"/>
          <w:lang w:val="es-ES_tradnl"/>
        </w:rPr>
        <w:t>lín</w:t>
      </w:r>
      <w:r w:rsidR="00F67983">
        <w:rPr>
          <w:sz w:val="24"/>
          <w:szCs w:val="24"/>
          <w:shd w:val="clear" w:color="auto" w:fill="FFFFFF"/>
          <w:lang w:val="es-ES_tradnl"/>
        </w:rPr>
        <w:t>ea</w:t>
      </w:r>
      <w:r w:rsidR="00F67983" w:rsidRPr="00DF6C66">
        <w:rPr>
          <w:sz w:val="24"/>
          <w:szCs w:val="24"/>
          <w:shd w:val="clear" w:color="auto" w:fill="FFFFFF"/>
          <w:lang w:val="es-ES_tradnl"/>
        </w:rPr>
        <w:t xml:space="preserve"> </w:t>
      </w:r>
      <w:r w:rsidR="00F67983">
        <w:rPr>
          <w:sz w:val="24"/>
          <w:szCs w:val="24"/>
          <w:shd w:val="clear" w:color="auto" w:fill="FFFFFF"/>
          <w:lang w:val="es-ES_tradnl"/>
        </w:rPr>
        <w:t>4</w:t>
      </w:r>
      <w:r w:rsidR="00E10B1C" w:rsidRPr="00DF6C66">
        <w:rPr>
          <w:sz w:val="24"/>
          <w:szCs w:val="24"/>
          <w:shd w:val="clear" w:color="auto" w:fill="FFFFFF"/>
          <w:lang w:val="es-ES_tradnl"/>
        </w:rPr>
        <w:t xml:space="preserve">: </w:t>
      </w:r>
      <w:r w:rsidR="00DF6C66" w:rsidRPr="00DF6C66">
        <w:rPr>
          <w:sz w:val="24"/>
          <w:szCs w:val="24"/>
          <w:shd w:val="clear" w:color="auto" w:fill="FFFFFF"/>
          <w:lang w:val="es-ES_tradnl"/>
        </w:rPr>
        <w:t>Prácticas</w:t>
      </w:r>
      <w:r w:rsidR="00E10B1C" w:rsidRPr="00DF6C66">
        <w:rPr>
          <w:sz w:val="24"/>
          <w:szCs w:val="24"/>
          <w:shd w:val="clear" w:color="auto" w:fill="FFFFFF"/>
          <w:lang w:val="es-ES_tradnl"/>
        </w:rPr>
        <w:t xml:space="preserve"> de </w:t>
      </w:r>
      <w:r w:rsidR="00DF6C66" w:rsidRPr="00DF6C66">
        <w:rPr>
          <w:sz w:val="24"/>
          <w:szCs w:val="24"/>
          <w:shd w:val="clear" w:color="auto" w:fill="FFFFFF"/>
          <w:lang w:val="es-ES_tradnl"/>
        </w:rPr>
        <w:t>integración</w:t>
      </w:r>
      <w:r w:rsidR="00E10B1C" w:rsidRPr="00DF6C66">
        <w:rPr>
          <w:sz w:val="24"/>
          <w:szCs w:val="24"/>
          <w:shd w:val="clear" w:color="auto" w:fill="FFFFFF"/>
          <w:lang w:val="es-ES_tradnl"/>
        </w:rPr>
        <w:t xml:space="preserve"> </w:t>
      </w:r>
      <w:r w:rsidR="00DF6C66" w:rsidRPr="00DF6C66">
        <w:rPr>
          <w:sz w:val="24"/>
          <w:szCs w:val="24"/>
          <w:shd w:val="clear" w:color="auto" w:fill="FFFFFF"/>
          <w:lang w:val="es-ES_tradnl"/>
        </w:rPr>
        <w:t>universitaria</w:t>
      </w:r>
      <w:r w:rsidR="00E10B1C" w:rsidRPr="00DF6C66">
        <w:rPr>
          <w:sz w:val="24"/>
          <w:szCs w:val="24"/>
          <w:shd w:val="clear" w:color="auto" w:fill="FFFFFF"/>
          <w:lang w:val="es-ES_tradnl"/>
        </w:rPr>
        <w:t xml:space="preserve"> para </w:t>
      </w:r>
      <w:r w:rsidR="00F67983">
        <w:rPr>
          <w:sz w:val="24"/>
          <w:szCs w:val="24"/>
          <w:shd w:val="clear" w:color="auto" w:fill="FFFFFF"/>
          <w:lang w:val="es-ES_tradnl"/>
        </w:rPr>
        <w:t>fomentar la permanencia y para la reducción del</w:t>
      </w:r>
      <w:r w:rsidR="00E10B1C" w:rsidRPr="00DF6C66">
        <w:rPr>
          <w:sz w:val="24"/>
          <w:szCs w:val="24"/>
          <w:shd w:val="clear" w:color="auto" w:fill="FFFFFF"/>
          <w:lang w:val="es-ES_tradnl"/>
        </w:rPr>
        <w:t xml:space="preserve"> abandono</w:t>
      </w:r>
    </w:p>
    <w:p w14:paraId="2C25FCD8" w14:textId="7B746851" w:rsidR="006E2F24" w:rsidRDefault="0044495C">
      <w:pPr>
        <w:tabs>
          <w:tab w:val="left" w:pos="9638"/>
        </w:tabs>
        <w:ind w:left="0" w:hanging="2"/>
        <w:jc w:val="right"/>
        <w:rPr>
          <w:i/>
          <w:color w:val="000000"/>
          <w:sz w:val="24"/>
          <w:szCs w:val="24"/>
        </w:rPr>
      </w:pPr>
      <w:proofErr w:type="spellStart"/>
      <w:r>
        <w:rPr>
          <w:i/>
          <w:color w:val="000000"/>
          <w:sz w:val="24"/>
          <w:szCs w:val="24"/>
        </w:rPr>
        <w:t>Janna</w:t>
      </w:r>
      <w:proofErr w:type="spellEnd"/>
      <w:r>
        <w:rPr>
          <w:i/>
          <w:color w:val="000000"/>
          <w:sz w:val="24"/>
          <w:szCs w:val="24"/>
        </w:rPr>
        <w:t xml:space="preserve"> Julieth Medina </w:t>
      </w:r>
      <w:r w:rsidR="00F67983">
        <w:rPr>
          <w:i/>
          <w:color w:val="000000"/>
          <w:sz w:val="24"/>
          <w:szCs w:val="24"/>
        </w:rPr>
        <w:t>Beltrán, Universidad</w:t>
      </w:r>
      <w:r>
        <w:rPr>
          <w:i/>
          <w:color w:val="000000"/>
          <w:sz w:val="24"/>
          <w:szCs w:val="24"/>
        </w:rPr>
        <w:t xml:space="preserve"> Nacional Abierta y a Distancia, </w:t>
      </w:r>
      <w:hyperlink r:id="rId11">
        <w:r>
          <w:rPr>
            <w:i/>
            <w:color w:val="0000FF"/>
            <w:sz w:val="24"/>
            <w:szCs w:val="24"/>
            <w:u w:val="single"/>
          </w:rPr>
          <w:t>janna.medina@unad.edu.co</w:t>
        </w:r>
      </w:hyperlink>
    </w:p>
    <w:p w14:paraId="4861B1E0" w14:textId="64B692D7" w:rsidR="006E2F24" w:rsidRDefault="0044495C">
      <w:pPr>
        <w:tabs>
          <w:tab w:val="left" w:pos="9638"/>
        </w:tabs>
        <w:ind w:left="0" w:hanging="2"/>
        <w:jc w:val="right"/>
        <w:rPr>
          <w:i/>
          <w:sz w:val="24"/>
          <w:szCs w:val="24"/>
        </w:rPr>
      </w:pPr>
      <w:r>
        <w:rPr>
          <w:i/>
          <w:color w:val="000000"/>
          <w:sz w:val="24"/>
          <w:szCs w:val="24"/>
        </w:rPr>
        <w:t xml:space="preserve">Rodrigo Eliseo Liz Bernal, Universidad Nacional Abierta y a Distancia, </w:t>
      </w:r>
      <w:hyperlink r:id="rId12">
        <w:r>
          <w:rPr>
            <w:i/>
            <w:color w:val="0000FF"/>
            <w:sz w:val="24"/>
            <w:szCs w:val="24"/>
            <w:u w:val="single"/>
          </w:rPr>
          <w:t>rodrigo.liz@unad.edu.co</w:t>
        </w:r>
      </w:hyperlink>
    </w:p>
    <w:p w14:paraId="66F1BC2F" w14:textId="69708A15" w:rsidR="006E2F24" w:rsidRDefault="0044495C">
      <w:pPr>
        <w:tabs>
          <w:tab w:val="left" w:pos="9638"/>
        </w:tabs>
        <w:ind w:left="0" w:hanging="2"/>
        <w:jc w:val="right"/>
        <w:rPr>
          <w:i/>
          <w:sz w:val="24"/>
          <w:szCs w:val="24"/>
        </w:rPr>
      </w:pPr>
      <w:r>
        <w:rPr>
          <w:i/>
          <w:sz w:val="24"/>
          <w:szCs w:val="24"/>
        </w:rPr>
        <w:t xml:space="preserve">Diego Fernando </w:t>
      </w:r>
      <w:r w:rsidR="007D0C3C">
        <w:rPr>
          <w:i/>
          <w:sz w:val="24"/>
          <w:szCs w:val="24"/>
        </w:rPr>
        <w:t>Z</w:t>
      </w:r>
      <w:r>
        <w:rPr>
          <w:i/>
          <w:sz w:val="24"/>
          <w:szCs w:val="24"/>
        </w:rPr>
        <w:t>ubieta Daza Universidad Nacional Abierta y a Distancia</w:t>
      </w:r>
    </w:p>
    <w:p w14:paraId="62CD40CC" w14:textId="77777777" w:rsidR="006E2F24" w:rsidRDefault="00000000">
      <w:pPr>
        <w:tabs>
          <w:tab w:val="left" w:pos="9638"/>
        </w:tabs>
        <w:ind w:left="0" w:hanging="2"/>
        <w:jc w:val="right"/>
        <w:rPr>
          <w:i/>
          <w:sz w:val="24"/>
          <w:szCs w:val="24"/>
        </w:rPr>
      </w:pPr>
      <w:hyperlink r:id="rId13">
        <w:r w:rsidR="0044495C">
          <w:rPr>
            <w:i/>
            <w:color w:val="1155CC"/>
            <w:sz w:val="24"/>
            <w:szCs w:val="24"/>
            <w:u w:val="single"/>
          </w:rPr>
          <w:t>diego.zubieta@unad.edu.co</w:t>
        </w:r>
      </w:hyperlink>
    </w:p>
    <w:p w14:paraId="773BB742" w14:textId="77777777" w:rsidR="006E2F24" w:rsidRDefault="0044495C">
      <w:pPr>
        <w:tabs>
          <w:tab w:val="left" w:pos="9638"/>
        </w:tabs>
        <w:ind w:left="0" w:hanging="2"/>
        <w:jc w:val="right"/>
        <w:rPr>
          <w:i/>
          <w:color w:val="000000"/>
          <w:sz w:val="24"/>
          <w:szCs w:val="24"/>
        </w:rPr>
      </w:pPr>
      <w:r>
        <w:rPr>
          <w:i/>
          <w:color w:val="000000"/>
          <w:sz w:val="24"/>
          <w:szCs w:val="24"/>
        </w:rPr>
        <w:t xml:space="preserve"> </w:t>
      </w:r>
      <w:r>
        <w:rPr>
          <w:sz w:val="24"/>
          <w:szCs w:val="24"/>
        </w:rPr>
        <w:t xml:space="preserve">    </w:t>
      </w:r>
    </w:p>
    <w:p w14:paraId="48F2676C" w14:textId="2D0330D7" w:rsidR="006E2F24" w:rsidRDefault="0044495C">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r>
        <w:rPr>
          <w:color w:val="000000"/>
          <w:sz w:val="24"/>
          <w:szCs w:val="24"/>
        </w:rPr>
        <w:t>La presente investigación tiene como objetivo la identificación del estado de la salud mental, que interfiere con los proceso de educación superior, causando la deserción académica, el abandono y la no graduación o graduación tardía, así como la afectación en la dinámica tutor- estudiante, para fortalecer y favorecer la continuidad y graduación de la población estudiantil; la población objeto de estudio está compuesta por 3</w:t>
      </w:r>
      <w:r>
        <w:rPr>
          <w:sz w:val="24"/>
          <w:szCs w:val="24"/>
        </w:rPr>
        <w:t>9</w:t>
      </w:r>
      <w:r w:rsidR="00466E50">
        <w:rPr>
          <w:sz w:val="24"/>
          <w:szCs w:val="24"/>
        </w:rPr>
        <w:t>7</w:t>
      </w:r>
      <w:r>
        <w:rPr>
          <w:color w:val="000000"/>
          <w:sz w:val="24"/>
          <w:szCs w:val="24"/>
        </w:rPr>
        <w:t xml:space="preserve"> individuos correspondiente a estudiantes, egresados y talento humano, donde el 75% corresponde al sexo femenino y el 25% al sexo masculino, con un  rango  de edad entre 15 a 60 años, integrantes de la Universidad Nacional Abierta y a Distancia [UNAD], institución de educación superior de modalidad a distancia y virtual, cuyo modelo se sustenta a partir de la unión adecuada de la tecnología, diseños </w:t>
      </w:r>
      <w:r w:rsidR="00CA3433">
        <w:rPr>
          <w:color w:val="000000"/>
          <w:sz w:val="24"/>
          <w:szCs w:val="24"/>
        </w:rPr>
        <w:t>tecnopedagógicos</w:t>
      </w:r>
      <w:r>
        <w:rPr>
          <w:color w:val="000000"/>
          <w:sz w:val="24"/>
          <w:szCs w:val="24"/>
        </w:rPr>
        <w:t xml:space="preserve"> con sustento técnico y teórico, tutores con competencias en el modelo virtual, fundamento teórico y epistemológico pedagógico y un diseño organizacional metasistémico, en la cual el proceso de formación de los estudiantes se sustenta en el aprendizaje autónomo, aprendizaje significativo y aprendizaje colaborativo, siendo la autonomía, el compromiso y la auto gestión, fundamentales para la adaptación al modelo pedagógico; es importante resaltar que los servicios ofertados para mitigar el impacto de las dificultades en la salud mental en el desarrollo de la formación, se extiende a egresados y tutores, por ser parte de la dinámica institucional que favorece el desarrollo de la formación, graduación y continuidad académica, de los estudiantes, el análisis de los datos se realizó con la ayuda del paquete estadístico SPSS con licencia actualizada, a partir de un diseño no experimental, de alcance explicativ</w:t>
      </w:r>
      <w:r>
        <w:rPr>
          <w:color w:val="000000"/>
          <w:sz w:val="24"/>
          <w:szCs w:val="24"/>
          <w:highlight w:val="white"/>
        </w:rPr>
        <w:t>o, de orden longitudinal, de</w:t>
      </w:r>
      <w:r>
        <w:rPr>
          <w:color w:val="000000"/>
          <w:sz w:val="24"/>
          <w:szCs w:val="24"/>
        </w:rPr>
        <w:t xml:space="preserve"> los casos atendidos en el  proceso de atención y acompañamiento psicosocial desde la modalidad de Telepsicología, este modelo de atención surge como un proyecto de atención asincrónica ofreciendo material de consulta de tipo psicoeducativo en nodos virtuales de libre exploración; en cuanto a la atención sincrónica, a partir del 2017 se habilitó el Chat “Tu Psicólogo en Línea”, ofreciendo una sola atención desde los primeros au</w:t>
      </w:r>
      <w:r>
        <w:rPr>
          <w:sz w:val="24"/>
          <w:szCs w:val="24"/>
        </w:rPr>
        <w:t>xilios psicológicos</w:t>
      </w:r>
      <w:r>
        <w:rPr>
          <w:color w:val="000000"/>
          <w:sz w:val="24"/>
          <w:szCs w:val="24"/>
        </w:rPr>
        <w:t xml:space="preserve"> y desde el 2020, se amplió el servicio a un acompañamiento a casos realizado en 4 a 7 encuentros desde un ámbito de aplicación psicoeducativo, este proceso parte de la atención por profesionales capacitados en atención desde la telepsicología, quienes definen la necesidad de ampliar la atención acorde a la severidad del caso y el impacto que pueda tener en sus ejes de vida; dicha exploración de los casos atendidos demostró que el 67% corresponde a situaciones de mediana y baja </w:t>
      </w:r>
      <w:r>
        <w:rPr>
          <w:sz w:val="24"/>
          <w:szCs w:val="24"/>
        </w:rPr>
        <w:lastRenderedPageBreak/>
        <w:t>severidad</w:t>
      </w:r>
      <w:r>
        <w:rPr>
          <w:color w:val="000000"/>
          <w:sz w:val="24"/>
          <w:szCs w:val="24"/>
        </w:rPr>
        <w:t xml:space="preserve">, asociados a autoestima, regulación de emociones, toma de decisiones, resolución de problemas, habilidades sociales, fortalecimiento de habilidades académicas, entre otras,  mientras que el  33 % presentan situación de alta severidad, con </w:t>
      </w:r>
      <w:r>
        <w:rPr>
          <w:sz w:val="24"/>
          <w:szCs w:val="24"/>
        </w:rPr>
        <w:t>prevalencia</w:t>
      </w:r>
      <w:r>
        <w:rPr>
          <w:color w:val="000000"/>
          <w:sz w:val="24"/>
          <w:szCs w:val="24"/>
        </w:rPr>
        <w:t xml:space="preserve"> de sí</w:t>
      </w:r>
      <w:r>
        <w:rPr>
          <w:sz w:val="24"/>
          <w:szCs w:val="24"/>
        </w:rPr>
        <w:t xml:space="preserve">ntomas asociados a  depresión, ansiedad, violencias de género e ideación suicida. El estudio permite concluir, la necesidad de prestar servicios de orientación en salud mental a la comunidad académica, ya que dicha problemática repercute en el reconocimiento y gestión de emociones, específicamente aquellas que generan malestar, esto, se relaciona con la motivación, proyección y cumplimiento de responsabilidades, así como una perspectiva positiva y propositiva de vida; adicionalmente, se identifica el alcance de atención en la modalidad Telepsicología, permitiendo una mayor cobertura y accesibilidad al servicio acortando distancias. </w:t>
      </w:r>
    </w:p>
    <w:p w14:paraId="16766B3C" w14:textId="284864C3" w:rsidR="006E2F24" w:rsidRDefault="0044495C">
      <w:pPr>
        <w:pBdr>
          <w:top w:val="nil"/>
          <w:left w:val="nil"/>
          <w:bottom w:val="nil"/>
          <w:right w:val="nil"/>
          <w:between w:val="nil"/>
        </w:pBdr>
        <w:tabs>
          <w:tab w:val="center" w:pos="4419"/>
          <w:tab w:val="right" w:pos="8838"/>
        </w:tabs>
        <w:ind w:left="0" w:hanging="2"/>
        <w:rPr>
          <w:sz w:val="24"/>
          <w:szCs w:val="24"/>
        </w:rPr>
      </w:pPr>
      <w:r>
        <w:rPr>
          <w:sz w:val="24"/>
          <w:szCs w:val="24"/>
        </w:rPr>
        <w:t xml:space="preserve"> Palabras claves: salud </w:t>
      </w:r>
      <w:r>
        <w:rPr>
          <w:sz w:val="24"/>
          <w:szCs w:val="24"/>
          <w:highlight w:val="white"/>
        </w:rPr>
        <w:t>mental D008603, Deserción D013332, telepsicología DDCS057970, calidad de vida, calidad de vida D011788, sincrónico D011788</w:t>
      </w:r>
      <w:r w:rsidR="007D0C3C">
        <w:rPr>
          <w:sz w:val="24"/>
          <w:szCs w:val="24"/>
        </w:rPr>
        <w:t>.</w:t>
      </w:r>
    </w:p>
    <w:p w14:paraId="57FC9DD5" w14:textId="77777777" w:rsidR="006E2F24" w:rsidRDefault="0044495C">
      <w:pPr>
        <w:ind w:left="0" w:hanging="2"/>
        <w:rPr>
          <w:sz w:val="24"/>
          <w:szCs w:val="24"/>
        </w:rPr>
      </w:pPr>
      <w:r>
        <w:rPr>
          <w:sz w:val="24"/>
          <w:szCs w:val="24"/>
        </w:rPr>
        <w:t xml:space="preserve">     </w:t>
      </w:r>
    </w:p>
    <w:p w14:paraId="113FE7B2" w14:textId="77777777" w:rsidR="006E2F24" w:rsidRDefault="0044495C">
      <w:pPr>
        <w:keepNext/>
        <w:keepLines/>
        <w:pBdr>
          <w:top w:val="nil"/>
          <w:left w:val="nil"/>
          <w:bottom w:val="nil"/>
          <w:right w:val="nil"/>
          <w:between w:val="nil"/>
        </w:pBdr>
        <w:tabs>
          <w:tab w:val="left" w:pos="9638"/>
        </w:tabs>
        <w:spacing w:line="240" w:lineRule="auto"/>
        <w:ind w:left="0" w:hanging="2"/>
        <w:rPr>
          <w:b/>
          <w:sz w:val="24"/>
          <w:szCs w:val="24"/>
        </w:rPr>
      </w:pPr>
      <w:r>
        <w:rPr>
          <w:b/>
          <w:sz w:val="24"/>
          <w:szCs w:val="24"/>
        </w:rPr>
        <w:t>1. Introducción</w:t>
      </w:r>
    </w:p>
    <w:p w14:paraId="5BA8600B" w14:textId="2D8E0C82" w:rsidR="006E2F24" w:rsidRDefault="0044495C">
      <w:pPr>
        <w:tabs>
          <w:tab w:val="left" w:pos="9638"/>
        </w:tabs>
        <w:spacing w:before="240" w:after="240"/>
        <w:ind w:left="0" w:hanging="2"/>
        <w:rPr>
          <w:sz w:val="24"/>
          <w:szCs w:val="24"/>
        </w:rPr>
      </w:pPr>
      <w:r>
        <w:rPr>
          <w:sz w:val="24"/>
          <w:szCs w:val="24"/>
        </w:rPr>
        <w:t xml:space="preserve">En primera instancia es pertinente resaltar la importancia que tiene el concepto de deserción académica en la actualidad, tomando el estudio realizado por  Suárez y Díaz (2014) en el que citando a Tinto y </w:t>
      </w:r>
      <w:proofErr w:type="spellStart"/>
      <w:r>
        <w:rPr>
          <w:sz w:val="24"/>
          <w:szCs w:val="24"/>
        </w:rPr>
        <w:t>Giovagnoli</w:t>
      </w:r>
      <w:proofErr w:type="spellEnd"/>
      <w:r>
        <w:rPr>
          <w:sz w:val="24"/>
          <w:szCs w:val="24"/>
        </w:rPr>
        <w:t xml:space="preserve">, afirma que la deserción hace </w:t>
      </w:r>
      <w:r w:rsidR="00E70195">
        <w:rPr>
          <w:sz w:val="24"/>
          <w:szCs w:val="24"/>
        </w:rPr>
        <w:t xml:space="preserve">referencia  </w:t>
      </w:r>
      <w:r>
        <w:rPr>
          <w:sz w:val="24"/>
          <w:szCs w:val="24"/>
        </w:rPr>
        <w:t>a la situación en la que un estudiante no logra culminar su proyecto educativo a pesar de contar con el deseo, así mismo</w:t>
      </w:r>
      <w:r w:rsidR="002C1AD6">
        <w:rPr>
          <w:sz w:val="24"/>
          <w:szCs w:val="24"/>
        </w:rPr>
        <w:t>,</w:t>
      </w:r>
      <w:r>
        <w:rPr>
          <w:sz w:val="24"/>
          <w:szCs w:val="24"/>
        </w:rPr>
        <w:t xml:space="preserve"> plantea las diferentes miradas al fenómeno desde diversos enfoques, exponiendo que</w:t>
      </w:r>
      <w:r w:rsidR="002C1AD6">
        <w:rPr>
          <w:sz w:val="24"/>
          <w:szCs w:val="24"/>
        </w:rPr>
        <w:t>,</w:t>
      </w:r>
      <w:r>
        <w:rPr>
          <w:sz w:val="24"/>
          <w:szCs w:val="24"/>
        </w:rPr>
        <w:t xml:space="preserve"> para la psicología se consideran los rasgos de personalidad de quienes cumplen con su proyecto en relación a quienes no lo hacen, de igual forma argumenta que la sociología contempla los componentes externo del sujeto que hacen parte de los factores que predisponen la deserción, por su parte, el enfoque interaccionista propone que la deserción está influenciada por la relación del estudiante con la institución y la interpretación que este haga de la universidad.</w:t>
      </w:r>
    </w:p>
    <w:p w14:paraId="657971AB" w14:textId="4F6781EA" w:rsidR="006E2F24" w:rsidRDefault="001F6A79">
      <w:pPr>
        <w:tabs>
          <w:tab w:val="left" w:pos="9638"/>
        </w:tabs>
        <w:ind w:left="0" w:hanging="2"/>
        <w:rPr>
          <w:sz w:val="24"/>
          <w:szCs w:val="24"/>
          <w:highlight w:val="white"/>
        </w:rPr>
      </w:pPr>
      <w:r>
        <w:rPr>
          <w:sz w:val="24"/>
          <w:szCs w:val="24"/>
          <w:highlight w:val="white"/>
        </w:rPr>
        <w:t>Así mismo</w:t>
      </w:r>
      <w:r w:rsidR="00DD7A36">
        <w:rPr>
          <w:sz w:val="24"/>
          <w:szCs w:val="24"/>
          <w:highlight w:val="white"/>
        </w:rPr>
        <w:t>,</w:t>
      </w:r>
      <w:r>
        <w:rPr>
          <w:sz w:val="24"/>
          <w:szCs w:val="24"/>
          <w:highlight w:val="white"/>
        </w:rPr>
        <w:t xml:space="preserve"> p</w:t>
      </w:r>
      <w:r w:rsidR="0044495C">
        <w:rPr>
          <w:sz w:val="24"/>
          <w:szCs w:val="24"/>
          <w:highlight w:val="white"/>
        </w:rPr>
        <w:t>ara Marte y Lamec (2021) la deserción es un fenómeno multicausal en el que confluyen diferentes aspectos de tipo personal, económico, académico y sociodemográfico, por tanto, es entendido como el abandono del proceso formativo por el estudiante de forma voluntaria o involuntaria y puede ser una decisión definitiva o temporal, producto de la convergencia de diferentes factores.</w:t>
      </w:r>
    </w:p>
    <w:p w14:paraId="7F0A87A2" w14:textId="34286A04" w:rsidR="006E2F24" w:rsidRDefault="003203C3">
      <w:pPr>
        <w:tabs>
          <w:tab w:val="left" w:pos="9638"/>
        </w:tabs>
        <w:spacing w:before="240" w:after="240"/>
        <w:ind w:left="0" w:hanging="2"/>
        <w:rPr>
          <w:sz w:val="24"/>
          <w:szCs w:val="24"/>
          <w:highlight w:val="white"/>
        </w:rPr>
      </w:pPr>
      <w:r>
        <w:rPr>
          <w:sz w:val="24"/>
          <w:szCs w:val="24"/>
          <w:highlight w:val="white"/>
        </w:rPr>
        <w:t>Lo anteriormente mencionado</w:t>
      </w:r>
      <w:r w:rsidR="00DD7A36">
        <w:rPr>
          <w:sz w:val="24"/>
          <w:szCs w:val="24"/>
          <w:highlight w:val="white"/>
        </w:rPr>
        <w:t>,</w:t>
      </w:r>
      <w:r>
        <w:rPr>
          <w:sz w:val="24"/>
          <w:szCs w:val="24"/>
          <w:highlight w:val="white"/>
        </w:rPr>
        <w:t xml:space="preserve"> permite argumentar que e</w:t>
      </w:r>
      <w:r w:rsidR="0044495C">
        <w:rPr>
          <w:sz w:val="24"/>
          <w:szCs w:val="24"/>
          <w:highlight w:val="white"/>
        </w:rPr>
        <w:t>ste es un problema de carácter mundial, está presente en todas las instituciones de educación superior y para el caso de Colombia es definido por el ministerio de educación nacional [MEN] (2009)</w:t>
      </w:r>
      <w:r>
        <w:rPr>
          <w:sz w:val="24"/>
          <w:szCs w:val="24"/>
          <w:highlight w:val="white"/>
        </w:rPr>
        <w:t>, c</w:t>
      </w:r>
      <w:r w:rsidR="0044495C">
        <w:rPr>
          <w:sz w:val="24"/>
          <w:szCs w:val="24"/>
          <w:highlight w:val="white"/>
        </w:rPr>
        <w:t xml:space="preserve">omo la desvinculación del proceso académico por parte del estudiante durante un periodo consecutivo de 2 semestres, </w:t>
      </w:r>
      <w:r>
        <w:rPr>
          <w:sz w:val="24"/>
          <w:szCs w:val="24"/>
          <w:highlight w:val="white"/>
        </w:rPr>
        <w:t>siendo un</w:t>
      </w:r>
      <w:r w:rsidR="0044495C">
        <w:rPr>
          <w:sz w:val="24"/>
          <w:szCs w:val="24"/>
          <w:highlight w:val="white"/>
        </w:rPr>
        <w:t xml:space="preserve"> fenómeno importante que afecta a los países en vías de desarrollo, lo que ha generado una gran cantidad de investigaci</w:t>
      </w:r>
      <w:r>
        <w:rPr>
          <w:sz w:val="24"/>
          <w:szCs w:val="24"/>
          <w:highlight w:val="white"/>
        </w:rPr>
        <w:t>ones</w:t>
      </w:r>
      <w:r w:rsidR="0044495C">
        <w:rPr>
          <w:sz w:val="24"/>
          <w:szCs w:val="24"/>
          <w:highlight w:val="white"/>
        </w:rPr>
        <w:t xml:space="preserve"> para identificar los factores que la motivan  y desarrollar propuestas que disminuyan el impacto de la deserción académica</w:t>
      </w:r>
      <w:r>
        <w:rPr>
          <w:sz w:val="24"/>
          <w:szCs w:val="24"/>
          <w:highlight w:val="white"/>
        </w:rPr>
        <w:t>;</w:t>
      </w:r>
      <w:r w:rsidR="0044495C">
        <w:rPr>
          <w:sz w:val="24"/>
          <w:szCs w:val="24"/>
          <w:highlight w:val="white"/>
        </w:rPr>
        <w:t xml:space="preserve"> en Colombia de acuerdo al sistema para la prevención de la deserción de la educación superior SPADIES (2016)</w:t>
      </w:r>
      <w:r w:rsidR="0042663F">
        <w:rPr>
          <w:sz w:val="24"/>
          <w:szCs w:val="24"/>
          <w:highlight w:val="white"/>
        </w:rPr>
        <w:t>, u</w:t>
      </w:r>
      <w:r w:rsidR="0044495C">
        <w:rPr>
          <w:sz w:val="24"/>
          <w:szCs w:val="24"/>
          <w:highlight w:val="white"/>
        </w:rPr>
        <w:t>no de cada 2 estudiantes no culminan su proceso de formación universitario (Vera Cala y otros 2020).</w:t>
      </w:r>
    </w:p>
    <w:p w14:paraId="52023BE0" w14:textId="5168F3E7" w:rsidR="006E2F24" w:rsidRDefault="0044495C">
      <w:pPr>
        <w:tabs>
          <w:tab w:val="left" w:pos="9638"/>
        </w:tabs>
        <w:ind w:left="0" w:hanging="2"/>
        <w:rPr>
          <w:sz w:val="24"/>
          <w:szCs w:val="24"/>
          <w:highlight w:val="white"/>
        </w:rPr>
      </w:pPr>
      <w:r>
        <w:rPr>
          <w:sz w:val="24"/>
          <w:szCs w:val="24"/>
          <w:highlight w:val="white"/>
        </w:rPr>
        <w:t>De igual forma</w:t>
      </w:r>
      <w:r w:rsidR="00DF6253">
        <w:rPr>
          <w:sz w:val="24"/>
          <w:szCs w:val="24"/>
          <w:highlight w:val="white"/>
        </w:rPr>
        <w:t>,</w:t>
      </w:r>
      <w:r>
        <w:rPr>
          <w:sz w:val="24"/>
          <w:szCs w:val="24"/>
          <w:highlight w:val="white"/>
        </w:rPr>
        <w:t xml:space="preserve"> es importante mencionar las determinantes de la deserción, sin embargo</w:t>
      </w:r>
      <w:r w:rsidR="0042663F">
        <w:rPr>
          <w:sz w:val="24"/>
          <w:szCs w:val="24"/>
          <w:highlight w:val="white"/>
        </w:rPr>
        <w:t>,</w:t>
      </w:r>
      <w:r>
        <w:rPr>
          <w:sz w:val="24"/>
          <w:szCs w:val="24"/>
          <w:highlight w:val="white"/>
        </w:rPr>
        <w:t xml:space="preserve"> se debe resaltar que no se ha llegado al acuerdo de </w:t>
      </w:r>
      <w:r w:rsidR="0042663F">
        <w:rPr>
          <w:sz w:val="24"/>
          <w:szCs w:val="24"/>
          <w:highlight w:val="white"/>
        </w:rPr>
        <w:t>cuáles</w:t>
      </w:r>
      <w:r>
        <w:rPr>
          <w:sz w:val="24"/>
          <w:szCs w:val="24"/>
          <w:highlight w:val="white"/>
        </w:rPr>
        <w:t xml:space="preserve"> son las variables más predominantes, para Marte y Lamec (2021) y </w:t>
      </w:r>
      <w:r>
        <w:rPr>
          <w:sz w:val="24"/>
          <w:szCs w:val="24"/>
        </w:rPr>
        <w:t xml:space="preserve">Palacio y Martínez de </w:t>
      </w:r>
      <w:proofErr w:type="spellStart"/>
      <w:r>
        <w:rPr>
          <w:sz w:val="24"/>
          <w:szCs w:val="24"/>
        </w:rPr>
        <w:t>Biava</w:t>
      </w:r>
      <w:proofErr w:type="spellEnd"/>
      <w:r>
        <w:rPr>
          <w:sz w:val="24"/>
          <w:szCs w:val="24"/>
        </w:rPr>
        <w:t xml:space="preserve"> (2007)</w:t>
      </w:r>
      <w:r>
        <w:rPr>
          <w:sz w:val="24"/>
          <w:szCs w:val="24"/>
          <w:highlight w:val="white"/>
        </w:rPr>
        <w:t xml:space="preserve"> </w:t>
      </w:r>
      <w:r w:rsidR="0042663F">
        <w:rPr>
          <w:sz w:val="24"/>
          <w:szCs w:val="24"/>
          <w:highlight w:val="white"/>
        </w:rPr>
        <w:t xml:space="preserve">dentro de las variables institucionales se encuentra: </w:t>
      </w:r>
      <w:r>
        <w:rPr>
          <w:sz w:val="24"/>
          <w:szCs w:val="24"/>
          <w:highlight w:val="white"/>
        </w:rPr>
        <w:t>la falta de actitud de logro en el crecimiento profesional, incompatibilidad de tiempos entre las jornadas laborales y de estudio, y para el caso de variables de tipo pedagógico se presentan</w:t>
      </w:r>
      <w:r w:rsidR="0042663F">
        <w:rPr>
          <w:sz w:val="24"/>
          <w:szCs w:val="24"/>
          <w:highlight w:val="white"/>
        </w:rPr>
        <w:t>:</w:t>
      </w:r>
      <w:r>
        <w:rPr>
          <w:sz w:val="24"/>
          <w:szCs w:val="24"/>
          <w:highlight w:val="white"/>
        </w:rPr>
        <w:t xml:space="preserve"> los procesos deficientes en la orientación brindada por las instituciones de tipo vocacional y profesional; de igual forma</w:t>
      </w:r>
      <w:r w:rsidR="00AF4A8D">
        <w:rPr>
          <w:sz w:val="24"/>
          <w:szCs w:val="24"/>
          <w:highlight w:val="white"/>
        </w:rPr>
        <w:t>,</w:t>
      </w:r>
      <w:r>
        <w:rPr>
          <w:sz w:val="24"/>
          <w:szCs w:val="24"/>
          <w:highlight w:val="white"/>
        </w:rPr>
        <w:t xml:space="preserve"> se destacan los problemas de tipo personal, las variables socioeconómicas y la </w:t>
      </w:r>
      <w:r>
        <w:rPr>
          <w:sz w:val="24"/>
          <w:szCs w:val="24"/>
          <w:highlight w:val="white"/>
        </w:rPr>
        <w:lastRenderedPageBreak/>
        <w:t>identificación con las instituciones de educación superior, sin embargo</w:t>
      </w:r>
      <w:r w:rsidR="00AF4A8D">
        <w:rPr>
          <w:sz w:val="24"/>
          <w:szCs w:val="24"/>
          <w:highlight w:val="white"/>
        </w:rPr>
        <w:t>,</w:t>
      </w:r>
      <w:r>
        <w:rPr>
          <w:sz w:val="24"/>
          <w:szCs w:val="24"/>
          <w:highlight w:val="white"/>
        </w:rPr>
        <w:t xml:space="preserve"> y pese a los diversos estudios, son pocos los que han abordado el impacto que tienen los problemas de salud mental de los estudiantes en el rendimiento académico y en la continuidad de sus procesos formativos (Vera Cala y otros 2020).</w:t>
      </w:r>
    </w:p>
    <w:p w14:paraId="716C27C8" w14:textId="39367D4A" w:rsidR="00DF6C66" w:rsidRPr="00AF4A8D" w:rsidRDefault="00EA6EC9" w:rsidP="00AF4A8D">
      <w:pPr>
        <w:tabs>
          <w:tab w:val="left" w:pos="9638"/>
        </w:tabs>
        <w:spacing w:before="240" w:after="240"/>
        <w:ind w:left="0" w:hanging="2"/>
        <w:rPr>
          <w:sz w:val="24"/>
          <w:szCs w:val="24"/>
          <w:highlight w:val="white"/>
        </w:rPr>
      </w:pPr>
      <w:r>
        <w:rPr>
          <w:sz w:val="24"/>
          <w:szCs w:val="24"/>
          <w:highlight w:val="white"/>
        </w:rPr>
        <w:t>Con respecto a los factores de salud mental,</w:t>
      </w:r>
      <w:r w:rsidR="0044495C">
        <w:rPr>
          <w:sz w:val="24"/>
          <w:szCs w:val="24"/>
          <w:highlight w:val="white"/>
        </w:rPr>
        <w:t xml:space="preserve"> es importante resaltar que un alto número de estudiantes que ingresan al ámbito de la educación superior, se encuentran en un rango de edad que representa un alto riesgo, </w:t>
      </w:r>
      <w:r>
        <w:rPr>
          <w:sz w:val="24"/>
          <w:szCs w:val="24"/>
          <w:highlight w:val="white"/>
        </w:rPr>
        <w:t>ya que,</w:t>
      </w:r>
      <w:r w:rsidR="0044495C">
        <w:rPr>
          <w:sz w:val="24"/>
          <w:szCs w:val="24"/>
          <w:highlight w:val="white"/>
        </w:rPr>
        <w:t xml:space="preserve"> en ese momento del ciclo vital, se ha demostrado un incremento importante en problemas relacionados con trastornos de ansiedad y depresión según lo menciona el ministerio de salud para el año 2015 (Vera Cala y otros 2020).</w:t>
      </w:r>
      <w:r w:rsidR="00AF4A8D">
        <w:rPr>
          <w:sz w:val="24"/>
          <w:szCs w:val="24"/>
          <w:highlight w:val="white"/>
        </w:rPr>
        <w:t xml:space="preserve"> </w:t>
      </w:r>
      <w:r w:rsidR="0044495C">
        <w:rPr>
          <w:sz w:val="24"/>
          <w:szCs w:val="24"/>
          <w:highlight w:val="white"/>
        </w:rPr>
        <w:t>Considerando la importancia que tiene el concepto de salud mental dentro de la dimensión de la salud integral, es importante tener presente que, la salud mental es el estado de bienestar que le permite al sujeto, afrontar de forma apropiada las dificultades de su cotidianidad a partir de la conciencias plena de sus capacidades y potencialidades, de igual forma, aportar a la construcción de la comunidad, desde el desarrollo productivo y laboral, así mismo, la salud mental, posibilita, el adecuado funcionamiento psicológico y de todas las áreas en general de participación del sujeto, por ellos es vital su intervención (Mogollón, Villamizar y Padilla  2016)</w:t>
      </w:r>
      <w:r w:rsidR="00DF6C66">
        <w:rPr>
          <w:sz w:val="24"/>
          <w:szCs w:val="24"/>
          <w:highlight w:val="white"/>
        </w:rPr>
        <w:t>.</w:t>
      </w:r>
    </w:p>
    <w:p w14:paraId="27E773BF" w14:textId="74DC863D" w:rsidR="006E2F24" w:rsidRDefault="00EA6EC9">
      <w:pPr>
        <w:tabs>
          <w:tab w:val="left" w:pos="9638"/>
        </w:tabs>
        <w:spacing w:before="240" w:after="240"/>
        <w:ind w:left="0" w:hanging="2"/>
        <w:rPr>
          <w:sz w:val="24"/>
          <w:szCs w:val="24"/>
        </w:rPr>
      </w:pPr>
      <w:r>
        <w:rPr>
          <w:sz w:val="24"/>
          <w:szCs w:val="24"/>
          <w:highlight w:val="white"/>
        </w:rPr>
        <w:t>En esta vía, p</w:t>
      </w:r>
      <w:r w:rsidR="0044495C">
        <w:rPr>
          <w:sz w:val="24"/>
          <w:szCs w:val="24"/>
          <w:highlight w:val="white"/>
        </w:rPr>
        <w:t xml:space="preserve">ara </w:t>
      </w:r>
      <w:r w:rsidR="0044495C">
        <w:rPr>
          <w:sz w:val="24"/>
          <w:szCs w:val="24"/>
        </w:rPr>
        <w:t xml:space="preserve">Palacio y Martínez de </w:t>
      </w:r>
      <w:proofErr w:type="spellStart"/>
      <w:r w:rsidR="0044495C">
        <w:rPr>
          <w:sz w:val="24"/>
          <w:szCs w:val="24"/>
        </w:rPr>
        <w:t>Biava</w:t>
      </w:r>
      <w:proofErr w:type="spellEnd"/>
      <w:r w:rsidR="0044495C">
        <w:rPr>
          <w:sz w:val="24"/>
          <w:szCs w:val="24"/>
        </w:rPr>
        <w:t xml:space="preserve"> (2007), la salud mental es una variable que impacta diferentes ejes de vida de los individuos, especialmente en los estudiantes de educación superior, en este caso, entre otros aspectos, el rendimiento académico es uno de los factores</w:t>
      </w:r>
      <w:r w:rsidR="00DF6C66">
        <w:rPr>
          <w:sz w:val="24"/>
          <w:szCs w:val="24"/>
        </w:rPr>
        <w:t>,</w:t>
      </w:r>
      <w:r w:rsidR="0044495C">
        <w:rPr>
          <w:sz w:val="24"/>
          <w:szCs w:val="24"/>
        </w:rPr>
        <w:t xml:space="preserve"> que de forma directa como consecuencias de valores alto</w:t>
      </w:r>
      <w:r w:rsidR="00293B19">
        <w:rPr>
          <w:sz w:val="24"/>
          <w:szCs w:val="24"/>
        </w:rPr>
        <w:t>s</w:t>
      </w:r>
      <w:r w:rsidR="0044495C">
        <w:rPr>
          <w:sz w:val="24"/>
          <w:szCs w:val="24"/>
        </w:rPr>
        <w:t xml:space="preserve"> en ansiedad y depresión de los estudiantes, lleva a la deserción académica tras verse damnificado por el impacto que la ansiedad y la depresión tiene en la salud mental y el equilibro que los estudiantes necesitan para cumplir con las responsabilidades académicas.</w:t>
      </w:r>
    </w:p>
    <w:p w14:paraId="7550392E" w14:textId="7A1FBD2C" w:rsidR="006E2F24" w:rsidRDefault="00DF6C66">
      <w:pPr>
        <w:tabs>
          <w:tab w:val="left" w:pos="9638"/>
        </w:tabs>
        <w:spacing w:before="240" w:after="240" w:line="276" w:lineRule="auto"/>
        <w:ind w:left="0" w:hanging="2"/>
        <w:rPr>
          <w:sz w:val="24"/>
          <w:szCs w:val="24"/>
        </w:rPr>
      </w:pPr>
      <w:r>
        <w:rPr>
          <w:sz w:val="24"/>
          <w:szCs w:val="24"/>
        </w:rPr>
        <w:t xml:space="preserve">Como ejemplo de lo anterior, </w:t>
      </w:r>
      <w:proofErr w:type="spellStart"/>
      <w:r w:rsidR="0044495C">
        <w:rPr>
          <w:sz w:val="24"/>
          <w:szCs w:val="24"/>
        </w:rPr>
        <w:t>Cuamba</w:t>
      </w:r>
      <w:proofErr w:type="spellEnd"/>
      <w:r w:rsidR="0044495C">
        <w:rPr>
          <w:sz w:val="24"/>
          <w:szCs w:val="24"/>
        </w:rPr>
        <w:t xml:space="preserve"> y Zazueta (2020) en su investigación retoma el término “Burnout académico” entendido como esa incapacidad de afrontamiento y adaptación al contexto universitario ya que el estudiante asume una serie de responsabilidades que requiere de autonomía y disciplina y de acuerdo a sus habilidades y actitudes de afrontamiento puede presentar estrés, a esto se suma las demandas de sus diferentes áreas de ajuste – familiar, social, laboral, sentimental, etc.,  las que aumentan la probabilidad de presentar una afectación o deterioro en la salud mental y el rendimiento académico del estudiante. De igual manera, mencionan los estudios de </w:t>
      </w:r>
      <w:proofErr w:type="spellStart"/>
      <w:r w:rsidR="0044495C">
        <w:rPr>
          <w:sz w:val="24"/>
          <w:szCs w:val="24"/>
        </w:rPr>
        <w:t>Micin</w:t>
      </w:r>
      <w:proofErr w:type="spellEnd"/>
      <w:r w:rsidR="0044495C">
        <w:rPr>
          <w:sz w:val="24"/>
          <w:szCs w:val="24"/>
        </w:rPr>
        <w:t xml:space="preserve"> y </w:t>
      </w:r>
      <w:proofErr w:type="spellStart"/>
      <w:r w:rsidR="0044495C">
        <w:rPr>
          <w:sz w:val="24"/>
          <w:szCs w:val="24"/>
        </w:rPr>
        <w:t>Bagladi</w:t>
      </w:r>
      <w:proofErr w:type="spellEnd"/>
      <w:r w:rsidR="0044495C">
        <w:rPr>
          <w:sz w:val="24"/>
          <w:szCs w:val="24"/>
        </w:rPr>
        <w:t xml:space="preserve"> (2011) quienes encontraron una mayor prevalencia de trastornos asociados al estado de ánimo, ansiedad y desadaptación.</w:t>
      </w:r>
    </w:p>
    <w:p w14:paraId="21AE8EE7" w14:textId="3ED24ED7" w:rsidR="006E2F24" w:rsidRDefault="00EE10F0">
      <w:pPr>
        <w:tabs>
          <w:tab w:val="left" w:pos="9638"/>
        </w:tabs>
        <w:spacing w:before="240" w:after="240" w:line="276" w:lineRule="auto"/>
        <w:ind w:left="0" w:hanging="2"/>
        <w:rPr>
          <w:sz w:val="24"/>
          <w:szCs w:val="24"/>
          <w:highlight w:val="yellow"/>
        </w:rPr>
      </w:pPr>
      <w:r>
        <w:rPr>
          <w:sz w:val="24"/>
          <w:szCs w:val="24"/>
        </w:rPr>
        <w:t>Así mismo, l</w:t>
      </w:r>
      <w:r w:rsidR="0044495C">
        <w:rPr>
          <w:sz w:val="24"/>
          <w:szCs w:val="24"/>
        </w:rPr>
        <w:t xml:space="preserve">a investigación, abordada por </w:t>
      </w:r>
      <w:proofErr w:type="spellStart"/>
      <w:r w:rsidR="0044495C">
        <w:rPr>
          <w:sz w:val="24"/>
          <w:szCs w:val="24"/>
        </w:rPr>
        <w:t>Cuamba</w:t>
      </w:r>
      <w:proofErr w:type="spellEnd"/>
      <w:r w:rsidR="0044495C">
        <w:rPr>
          <w:sz w:val="24"/>
          <w:szCs w:val="24"/>
        </w:rPr>
        <w:t xml:space="preserve"> y Zazueta (2020) tuvo como objetivo identificar los indicadores de problemas en salud mental y reconocer las habilidades de afrontamiento en relación con el rendimiento académico de estudiantes universitarios en la ciudad de México, logrando evaluar diferentes carreras</w:t>
      </w:r>
      <w:r>
        <w:rPr>
          <w:sz w:val="24"/>
          <w:szCs w:val="24"/>
        </w:rPr>
        <w:t>,</w:t>
      </w:r>
      <w:r w:rsidR="0044495C">
        <w:rPr>
          <w:sz w:val="24"/>
          <w:szCs w:val="24"/>
        </w:rPr>
        <w:t xml:space="preserve"> encontrando semejanza en los resultados,</w:t>
      </w:r>
      <w:r>
        <w:rPr>
          <w:sz w:val="24"/>
          <w:szCs w:val="24"/>
        </w:rPr>
        <w:t xml:space="preserve"> que indican</w:t>
      </w:r>
      <w:r w:rsidR="0044495C">
        <w:rPr>
          <w:sz w:val="24"/>
          <w:szCs w:val="24"/>
        </w:rPr>
        <w:t xml:space="preserve"> que los estudiantes con  bajo promedio académico cuentan con un mayor indicador en afectaciones en la salud mental, lo que repercute en el desarrollo y ejecución de los procesos psicológicos básicos, de igua</w:t>
      </w:r>
      <w:r>
        <w:rPr>
          <w:sz w:val="24"/>
          <w:szCs w:val="24"/>
        </w:rPr>
        <w:t>l</w:t>
      </w:r>
      <w:r w:rsidR="0044495C">
        <w:rPr>
          <w:sz w:val="24"/>
          <w:szCs w:val="24"/>
        </w:rPr>
        <w:t xml:space="preserve"> forma, citando a Sepúlveda, Romero y Jaramillo (2012) </w:t>
      </w:r>
      <w:r>
        <w:rPr>
          <w:sz w:val="24"/>
          <w:szCs w:val="24"/>
        </w:rPr>
        <w:t xml:space="preserve">mostraron como esto </w:t>
      </w:r>
      <w:r w:rsidR="0044495C">
        <w:rPr>
          <w:sz w:val="24"/>
          <w:szCs w:val="24"/>
        </w:rPr>
        <w:t xml:space="preserve">afecta las funciones ejecutivas del estudiante, presentando un estilo de afrontamiento pasivo. </w:t>
      </w:r>
    </w:p>
    <w:p w14:paraId="40ACEAB1" w14:textId="64FCF985" w:rsidR="006E2F24" w:rsidRDefault="0044495C" w:rsidP="00DC1A9D">
      <w:pPr>
        <w:tabs>
          <w:tab w:val="left" w:pos="9638"/>
        </w:tabs>
        <w:spacing w:line="276" w:lineRule="auto"/>
        <w:ind w:left="0" w:hanging="2"/>
        <w:rPr>
          <w:sz w:val="24"/>
          <w:szCs w:val="24"/>
        </w:rPr>
      </w:pPr>
      <w:r>
        <w:rPr>
          <w:sz w:val="24"/>
          <w:szCs w:val="24"/>
          <w:highlight w:val="white"/>
        </w:rPr>
        <w:t>En este espectro aparece la variable salud mental</w:t>
      </w:r>
      <w:r w:rsidR="00DC1A9D">
        <w:rPr>
          <w:sz w:val="24"/>
          <w:szCs w:val="24"/>
          <w:highlight w:val="white"/>
        </w:rPr>
        <w:t>,</w:t>
      </w:r>
      <w:r>
        <w:rPr>
          <w:sz w:val="24"/>
          <w:szCs w:val="24"/>
          <w:highlight w:val="white"/>
        </w:rPr>
        <w:t xml:space="preserve"> como un factor determinante en la deserción de los estudiantes, para </w:t>
      </w:r>
      <w:r>
        <w:rPr>
          <w:sz w:val="24"/>
          <w:szCs w:val="24"/>
        </w:rPr>
        <w:t xml:space="preserve">Suárez y Díaz (2014), el estrés presenta una alta relación con </w:t>
      </w:r>
      <w:r>
        <w:rPr>
          <w:sz w:val="24"/>
          <w:szCs w:val="24"/>
          <w:highlight w:val="white"/>
        </w:rPr>
        <w:t>la depresión, siendo el estrés académico un factor que actúa en el estrés crónico y por ende la salud mental, l</w:t>
      </w:r>
      <w:r>
        <w:rPr>
          <w:sz w:val="24"/>
          <w:szCs w:val="24"/>
        </w:rPr>
        <w:t xml:space="preserve">o que genera </w:t>
      </w:r>
      <w:r w:rsidR="00EE10F0">
        <w:rPr>
          <w:sz w:val="24"/>
          <w:szCs w:val="24"/>
        </w:rPr>
        <w:t xml:space="preserve">que </w:t>
      </w:r>
      <w:r>
        <w:rPr>
          <w:sz w:val="24"/>
          <w:szCs w:val="24"/>
        </w:rPr>
        <w:t xml:space="preserve">en los estudiantes contemplen la deserción académica como una </w:t>
      </w:r>
      <w:r w:rsidR="00DC1A9D">
        <w:rPr>
          <w:sz w:val="24"/>
          <w:szCs w:val="24"/>
        </w:rPr>
        <w:t>estrategia viable</w:t>
      </w:r>
      <w:r>
        <w:rPr>
          <w:sz w:val="24"/>
          <w:szCs w:val="24"/>
        </w:rPr>
        <w:t xml:space="preserve"> dentro de su proyecto de formación. </w:t>
      </w:r>
    </w:p>
    <w:p w14:paraId="44B459AC" w14:textId="605059DC" w:rsidR="006E2F24" w:rsidRDefault="00EE10F0">
      <w:pPr>
        <w:tabs>
          <w:tab w:val="left" w:pos="9638"/>
        </w:tabs>
        <w:spacing w:before="240" w:after="240" w:line="240" w:lineRule="auto"/>
        <w:ind w:left="0" w:hanging="2"/>
        <w:rPr>
          <w:sz w:val="24"/>
          <w:szCs w:val="24"/>
        </w:rPr>
      </w:pPr>
      <w:r>
        <w:rPr>
          <w:sz w:val="24"/>
          <w:szCs w:val="24"/>
        </w:rPr>
        <w:lastRenderedPageBreak/>
        <w:t>Teniendo en cuenta lo mencionado hasta el momento, es importante indicar algunas de las estrategias identificadas para el acompañamiento de los estudiantes que presentan dificultades en su salud mental, p</w:t>
      </w:r>
      <w:r w:rsidR="0044495C">
        <w:rPr>
          <w:sz w:val="24"/>
          <w:szCs w:val="24"/>
        </w:rPr>
        <w:t>ara abordar el burnout en el contexto educativo, Barona y Jiménez (2005) proponen estrategias psicopedagógicas con enfoque cognitivo – conductual a fin de moldear hábitos y estilos de vida orientados a mejorar la calidad de vida. Las estrategias primarias, de tipo preventivas contemplan el fortalecimiento de habilidades, actitudes, así como la obtención de estrategias orientadas a la adaptación, toma de decisiones, control del estrés y manejo de emociones</w:t>
      </w:r>
      <w:r>
        <w:rPr>
          <w:sz w:val="24"/>
          <w:szCs w:val="24"/>
        </w:rPr>
        <w:t>, e</w:t>
      </w:r>
      <w:r w:rsidR="0044495C">
        <w:rPr>
          <w:sz w:val="24"/>
          <w:szCs w:val="24"/>
        </w:rPr>
        <w:t>n cuanto a las estrategias secundarias implica una intervención desde el acompañamiento individual o grupal.</w:t>
      </w:r>
    </w:p>
    <w:p w14:paraId="55E0FF5D" w14:textId="4F7E8CA8" w:rsidR="006E2F24" w:rsidRPr="00EE10F0" w:rsidRDefault="0044495C">
      <w:pPr>
        <w:tabs>
          <w:tab w:val="left" w:pos="9638"/>
        </w:tabs>
        <w:spacing w:before="240" w:after="240" w:line="240" w:lineRule="auto"/>
        <w:ind w:left="0" w:hanging="2"/>
        <w:rPr>
          <w:sz w:val="24"/>
          <w:szCs w:val="24"/>
        </w:rPr>
      </w:pPr>
      <w:r>
        <w:rPr>
          <w:sz w:val="24"/>
          <w:szCs w:val="24"/>
        </w:rPr>
        <w:t xml:space="preserve">Las estrategias de índole individual, se contemplan desde tres factores, </w:t>
      </w:r>
      <w:r w:rsidRPr="00EE10F0">
        <w:rPr>
          <w:iCs/>
          <w:sz w:val="24"/>
          <w:szCs w:val="24"/>
        </w:rPr>
        <w:t>1. Técnicas fisiológicas</w:t>
      </w:r>
      <w:r>
        <w:rPr>
          <w:i/>
          <w:sz w:val="24"/>
          <w:szCs w:val="24"/>
        </w:rPr>
        <w:t xml:space="preserve">: </w:t>
      </w:r>
      <w:r>
        <w:rPr>
          <w:sz w:val="24"/>
          <w:szCs w:val="24"/>
        </w:rPr>
        <w:t xml:space="preserve">apropiación de control de la respiración, relajación física y </w:t>
      </w:r>
      <w:proofErr w:type="spellStart"/>
      <w:r>
        <w:rPr>
          <w:sz w:val="24"/>
          <w:szCs w:val="24"/>
        </w:rPr>
        <w:t>biofeedback</w:t>
      </w:r>
      <w:proofErr w:type="spellEnd"/>
      <w:r w:rsidRPr="00EE10F0">
        <w:rPr>
          <w:sz w:val="24"/>
          <w:szCs w:val="24"/>
        </w:rPr>
        <w:t>, 2. Técnicas conductuales: entrenamiento en habilidades sociales, técnicas de solución de problemas, toma de decisiones y autocontrol, 3.Técnicas cognitivas: orientadas a mejorar la percepción e interpretación de los pensamientos asociados a las actividades de índole académico o personal,</w:t>
      </w:r>
      <w:r w:rsidR="00EE10F0">
        <w:rPr>
          <w:sz w:val="24"/>
          <w:szCs w:val="24"/>
        </w:rPr>
        <w:t xml:space="preserve"> así mismo, </w:t>
      </w:r>
      <w:r w:rsidRPr="00EE10F0">
        <w:rPr>
          <w:sz w:val="24"/>
          <w:szCs w:val="24"/>
        </w:rPr>
        <w:t xml:space="preserve"> se contemplan técnica de desensibilización sistemática, detención del pensamiento, reestructuración cognitiva, etc. (Guerrero y Vicente 2001 citado por Barona y Jiménez 2005). Finalmente, la intervención de tipo grupal o </w:t>
      </w:r>
      <w:r w:rsidR="00EE10F0" w:rsidRPr="00EE10F0">
        <w:rPr>
          <w:sz w:val="24"/>
          <w:szCs w:val="24"/>
        </w:rPr>
        <w:t>social</w:t>
      </w:r>
      <w:r w:rsidRPr="00EE10F0">
        <w:rPr>
          <w:sz w:val="24"/>
          <w:szCs w:val="24"/>
        </w:rPr>
        <w:t xml:space="preserve"> tiene como objetivo promover escenarios de diálogo en el equipo</w:t>
      </w:r>
      <w:r w:rsidR="00EE10F0">
        <w:rPr>
          <w:sz w:val="24"/>
          <w:szCs w:val="24"/>
        </w:rPr>
        <w:t>,</w:t>
      </w:r>
      <w:r w:rsidRPr="00EE10F0">
        <w:rPr>
          <w:sz w:val="24"/>
          <w:szCs w:val="24"/>
        </w:rPr>
        <w:t xml:space="preserve"> interactuando desde la asertividad, permitiendo el reconocimiento de las redes de apoyo.</w:t>
      </w:r>
    </w:p>
    <w:p w14:paraId="33B1717F" w14:textId="3CD7BE50" w:rsidR="006E2F24" w:rsidRDefault="0044495C">
      <w:pPr>
        <w:tabs>
          <w:tab w:val="left" w:pos="9638"/>
        </w:tabs>
        <w:ind w:left="0" w:hanging="2"/>
        <w:rPr>
          <w:sz w:val="24"/>
          <w:szCs w:val="24"/>
        </w:rPr>
      </w:pPr>
      <w:r>
        <w:rPr>
          <w:sz w:val="24"/>
          <w:szCs w:val="24"/>
        </w:rPr>
        <w:t xml:space="preserve">Por lo anterior, la Universidad Nacional Abierta y a Distancia [UNAD], establece los programas necesario para la reducción de la deserción académica, partiendo de la identificación de necesidades básicas por medio de la prueba de caracterización, estrategia desarrollada por el sistema nacional de consejería académica, dispositivo de carácter misional adscrito a la Vicerrectoría de Servicios al Aspirante, Estudiante y Egresado </w:t>
      </w:r>
      <w:r w:rsidR="00EE10F0">
        <w:rPr>
          <w:sz w:val="24"/>
          <w:szCs w:val="24"/>
        </w:rPr>
        <w:t>–</w:t>
      </w:r>
      <w:r>
        <w:rPr>
          <w:sz w:val="24"/>
          <w:szCs w:val="24"/>
        </w:rPr>
        <w:t xml:space="preserve"> VISAE</w:t>
      </w:r>
      <w:r w:rsidR="00EE10F0">
        <w:rPr>
          <w:sz w:val="24"/>
          <w:szCs w:val="24"/>
        </w:rPr>
        <w:t>,</w:t>
      </w:r>
      <w:r>
        <w:rPr>
          <w:sz w:val="24"/>
          <w:szCs w:val="24"/>
        </w:rPr>
        <w:t xml:space="preserve"> que tiene como propósito promover la permanencia y el éxito académico de los estudiantes (UNAD, Consejo Superior Universitario - Secretaría General 2019).</w:t>
      </w:r>
    </w:p>
    <w:p w14:paraId="395BDF64" w14:textId="57FD611F" w:rsidR="006E2F24" w:rsidRDefault="0013416D">
      <w:pPr>
        <w:tabs>
          <w:tab w:val="left" w:pos="9638"/>
        </w:tabs>
        <w:ind w:left="0" w:hanging="2"/>
        <w:rPr>
          <w:sz w:val="24"/>
          <w:szCs w:val="24"/>
        </w:rPr>
      </w:pPr>
      <w:r>
        <w:rPr>
          <w:sz w:val="24"/>
          <w:szCs w:val="24"/>
        </w:rPr>
        <w:t>Por tanto</w:t>
      </w:r>
      <w:r w:rsidR="00DC1A9D">
        <w:rPr>
          <w:sz w:val="24"/>
          <w:szCs w:val="24"/>
        </w:rPr>
        <w:t>,</w:t>
      </w:r>
      <w:r w:rsidR="0044495C">
        <w:rPr>
          <w:sz w:val="24"/>
          <w:szCs w:val="24"/>
        </w:rPr>
        <w:t xml:space="preserve"> la UNAD en el acuerdo 002 del 30 de enero de 2018 Política de Retención y Permanencia, dentro de las estrategias, abre la posibilidad de incorporar acciones destinadas a intervenir los factores de tipo emocional, para motivar al estudiante a permanecer en su proceso formativo y evitar la deserción,  (UNAD, Consejo Superior Universitario - Secretaría General 2018), de igual forma, el Sistema Nacional de Consejería debe desarrollar actividades de tipo pedagógico, didáctico y psicosocial que faciliten la autogestión de los procesos formativos a partir del desarrollo de las competencias de aprendizaje autónomo.  </w:t>
      </w:r>
    </w:p>
    <w:p w14:paraId="1495D965" w14:textId="3A8494BB" w:rsidR="006E2F24" w:rsidRDefault="0044495C">
      <w:pPr>
        <w:tabs>
          <w:tab w:val="left" w:pos="9638"/>
        </w:tabs>
        <w:ind w:left="0" w:hanging="2"/>
        <w:rPr>
          <w:color w:val="000000"/>
          <w:sz w:val="24"/>
          <w:szCs w:val="24"/>
          <w:highlight w:val="white"/>
        </w:rPr>
      </w:pPr>
      <w:r>
        <w:rPr>
          <w:color w:val="000000"/>
          <w:sz w:val="24"/>
          <w:szCs w:val="24"/>
          <w:highlight w:val="white"/>
        </w:rPr>
        <w:t xml:space="preserve">De igual manera, la VISAE cuenta con el Sistema de Bienestar Integral Unadista, donde se promueven actividades extracurriculares desde el arte, la cultura, el deporte, el emprendimiento, el medio ambiente y la salud mental. Desde el nodo de Crecimiento Personal, el objetivo es generar estrategias en pro de la prevención, promoción, atención y acompañamiento en la salud mental y el bienestar de la comunidad Unadista, teniendo en cuenta el contexto sociocultural del individuo, así como aspectos psicoafectivos/emocionales que influyan en las áreas de ajuste familiar, laboral, académico, social, sentimental y espiritual. De tal manera, desde el 2017 se oferta el servicio Chat tu Psicólogo en línea, canal de atención sincrónico, espacio de escucha activa, validación emocional y orientación de estrategias acorde al motivo de consulta. Desde el 2020, se amplía el servicio a un acompañamiento de hasta 6 encuentros desde la modalidad de telepsicología, así mismo se elaboró el protocolo para la atención psicosocial en la UNAD, determinando las rutas de atención y acciones correspondientes según el estamento académico, la edad y severidad del motivo de consulta, contando así con una ruta definida para la atención a nivel general y en casos específicos como ideación suicida, consumo de sustancias psicoactivas y violencia sexual. </w:t>
      </w:r>
    </w:p>
    <w:p w14:paraId="53C1B7E7" w14:textId="332F0B28" w:rsidR="006E2F24" w:rsidRDefault="0044495C">
      <w:pPr>
        <w:tabs>
          <w:tab w:val="left" w:pos="9638"/>
        </w:tabs>
        <w:ind w:left="0" w:hanging="2"/>
        <w:rPr>
          <w:sz w:val="24"/>
          <w:szCs w:val="24"/>
        </w:rPr>
      </w:pPr>
      <w:r>
        <w:rPr>
          <w:sz w:val="24"/>
          <w:szCs w:val="24"/>
        </w:rPr>
        <w:t>Por lo anterior</w:t>
      </w:r>
      <w:r w:rsidR="00646969">
        <w:rPr>
          <w:sz w:val="24"/>
          <w:szCs w:val="24"/>
        </w:rPr>
        <w:t xml:space="preserve">, </w:t>
      </w:r>
      <w:r>
        <w:rPr>
          <w:sz w:val="24"/>
          <w:szCs w:val="24"/>
        </w:rPr>
        <w:t xml:space="preserve">se plantea la exploración del estado de salud mental de los estudiantes que han participado en los servicios de atención psicosocial ofertados por la Consejería académica, desde el </w:t>
      </w:r>
      <w:r>
        <w:rPr>
          <w:sz w:val="24"/>
          <w:szCs w:val="24"/>
        </w:rPr>
        <w:lastRenderedPageBreak/>
        <w:t>nodo de atención psicosocial, para determinar el impacto</w:t>
      </w:r>
      <w:r w:rsidR="00E77B4B">
        <w:rPr>
          <w:sz w:val="24"/>
          <w:szCs w:val="24"/>
        </w:rPr>
        <w:t xml:space="preserve"> que ha tenido</w:t>
      </w:r>
      <w:r>
        <w:rPr>
          <w:sz w:val="24"/>
          <w:szCs w:val="24"/>
        </w:rPr>
        <w:t xml:space="preserve"> de</w:t>
      </w:r>
      <w:r w:rsidR="00E77B4B">
        <w:rPr>
          <w:sz w:val="24"/>
          <w:szCs w:val="24"/>
        </w:rPr>
        <w:t xml:space="preserve"> la</w:t>
      </w:r>
      <w:r>
        <w:rPr>
          <w:sz w:val="24"/>
          <w:szCs w:val="24"/>
        </w:rPr>
        <w:t xml:space="preserve"> atención, </w:t>
      </w:r>
      <w:r w:rsidR="00466E50">
        <w:rPr>
          <w:sz w:val="24"/>
          <w:szCs w:val="24"/>
        </w:rPr>
        <w:t xml:space="preserve">dividida en </w:t>
      </w:r>
      <w:r w:rsidR="00646969">
        <w:rPr>
          <w:sz w:val="24"/>
          <w:szCs w:val="24"/>
        </w:rPr>
        <w:t>a</w:t>
      </w:r>
      <w:r>
        <w:rPr>
          <w:sz w:val="24"/>
          <w:szCs w:val="24"/>
        </w:rPr>
        <w:t xml:space="preserve">lta o </w:t>
      </w:r>
      <w:r w:rsidR="00646969">
        <w:rPr>
          <w:sz w:val="24"/>
          <w:szCs w:val="24"/>
        </w:rPr>
        <w:t>b</w:t>
      </w:r>
      <w:r>
        <w:rPr>
          <w:sz w:val="24"/>
          <w:szCs w:val="24"/>
        </w:rPr>
        <w:t>aja complejidad, agrupando las dificultades del consultante acorde con criterios diagnósticos</w:t>
      </w:r>
      <w:r w:rsidR="00466E50">
        <w:rPr>
          <w:sz w:val="24"/>
          <w:szCs w:val="24"/>
        </w:rPr>
        <w:t>, sobre la</w:t>
      </w:r>
      <w:r>
        <w:rPr>
          <w:sz w:val="24"/>
          <w:szCs w:val="24"/>
        </w:rPr>
        <w:t xml:space="preserve"> severidad en la afectación de los ejes de vida y probabilidad de riesgo de deserción académica, el análisis de los datos se realizó con la ayuda del paquete estadístico SPSS con licencia actualizada, a partir de un diseño no experimental, de alcance explicativ</w:t>
      </w:r>
      <w:r>
        <w:rPr>
          <w:sz w:val="24"/>
          <w:szCs w:val="24"/>
          <w:highlight w:val="white"/>
        </w:rPr>
        <w:t>o, de orden longitudinal, de</w:t>
      </w:r>
      <w:r>
        <w:rPr>
          <w:sz w:val="24"/>
          <w:szCs w:val="24"/>
        </w:rPr>
        <w:t xml:space="preserve"> los casos atendidos en el  proceso de atención y acompañamiento psicosocial desde la modalidad de Telepsicología.</w:t>
      </w:r>
    </w:p>
    <w:p w14:paraId="49B90C4F" w14:textId="77777777" w:rsidR="006E2F24" w:rsidRDefault="006E2F24">
      <w:pPr>
        <w:tabs>
          <w:tab w:val="left" w:pos="9638"/>
        </w:tabs>
        <w:ind w:left="0" w:hanging="2"/>
        <w:rPr>
          <w:color w:val="0000FF"/>
          <w:sz w:val="24"/>
          <w:szCs w:val="24"/>
        </w:rPr>
      </w:pPr>
    </w:p>
    <w:p w14:paraId="5B1A020C" w14:textId="77777777" w:rsidR="006E2F24" w:rsidRDefault="0044495C">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3. Resultados</w:t>
      </w:r>
    </w:p>
    <w:p w14:paraId="0FCD6DEA" w14:textId="77777777" w:rsidR="006E2F24" w:rsidRDefault="0044495C">
      <w:pPr>
        <w:spacing w:after="0" w:line="240" w:lineRule="auto"/>
        <w:ind w:left="0" w:hanging="2"/>
        <w:rPr>
          <w:color w:val="000000"/>
          <w:sz w:val="24"/>
          <w:szCs w:val="24"/>
        </w:rPr>
      </w:pPr>
      <w:r>
        <w:rPr>
          <w:color w:val="000000"/>
          <w:sz w:val="24"/>
          <w:szCs w:val="24"/>
        </w:rPr>
        <w:t>Correlaciones no paramétricas</w:t>
      </w:r>
    </w:p>
    <w:p w14:paraId="56FE5E88" w14:textId="77777777" w:rsidR="006E2F24" w:rsidRDefault="006E2F24">
      <w:pPr>
        <w:spacing w:after="0" w:line="240" w:lineRule="auto"/>
        <w:ind w:left="0" w:hanging="2"/>
        <w:rPr>
          <w:sz w:val="24"/>
          <w:szCs w:val="24"/>
        </w:rPr>
      </w:pPr>
    </w:p>
    <w:tbl>
      <w:tblPr>
        <w:tblStyle w:val="2"/>
        <w:tblW w:w="9747" w:type="dxa"/>
        <w:tblInd w:w="0" w:type="dxa"/>
        <w:tblLayout w:type="fixed"/>
        <w:tblLook w:val="0000" w:firstRow="0" w:lastRow="0" w:firstColumn="0" w:lastColumn="0" w:noHBand="0" w:noVBand="0"/>
      </w:tblPr>
      <w:tblGrid>
        <w:gridCol w:w="1571"/>
        <w:gridCol w:w="2241"/>
        <w:gridCol w:w="2148"/>
        <w:gridCol w:w="1338"/>
        <w:gridCol w:w="1338"/>
        <w:gridCol w:w="1111"/>
      </w:tblGrid>
      <w:tr w:rsidR="006E2F24" w14:paraId="21EE49B4" w14:textId="77777777">
        <w:trPr>
          <w:cantSplit/>
          <w:trHeight w:val="136"/>
        </w:trPr>
        <w:tc>
          <w:tcPr>
            <w:tcW w:w="9747" w:type="dxa"/>
            <w:gridSpan w:val="6"/>
            <w:tcBorders>
              <w:top w:val="nil"/>
              <w:left w:val="nil"/>
              <w:bottom w:val="nil"/>
              <w:right w:val="nil"/>
            </w:tcBorders>
            <w:shd w:val="clear" w:color="auto" w:fill="FFFFFF"/>
            <w:vAlign w:val="center"/>
          </w:tcPr>
          <w:p w14:paraId="777D6DE8" w14:textId="77777777" w:rsidR="006E2F24" w:rsidRDefault="0044495C">
            <w:pPr>
              <w:spacing w:after="0"/>
              <w:ind w:left="0" w:right="60" w:hanging="2"/>
              <w:jc w:val="center"/>
              <w:rPr>
                <w:rFonts w:ascii="Arial" w:eastAsia="Arial" w:hAnsi="Arial" w:cs="Arial"/>
                <w:color w:val="010205"/>
                <w:sz w:val="16"/>
                <w:szCs w:val="16"/>
              </w:rPr>
            </w:pPr>
            <w:r>
              <w:rPr>
                <w:rFonts w:ascii="Arial" w:eastAsia="Arial" w:hAnsi="Arial" w:cs="Arial"/>
                <w:b/>
                <w:color w:val="010205"/>
                <w:sz w:val="16"/>
                <w:szCs w:val="16"/>
              </w:rPr>
              <w:t>Correlaciones</w:t>
            </w:r>
          </w:p>
        </w:tc>
      </w:tr>
      <w:tr w:rsidR="006E2F24" w14:paraId="372368DF" w14:textId="77777777">
        <w:trPr>
          <w:cantSplit/>
          <w:trHeight w:val="405"/>
        </w:trPr>
        <w:tc>
          <w:tcPr>
            <w:tcW w:w="5960" w:type="dxa"/>
            <w:gridSpan w:val="3"/>
            <w:tcBorders>
              <w:top w:val="nil"/>
              <w:left w:val="nil"/>
              <w:bottom w:val="single" w:sz="8" w:space="0" w:color="152935"/>
              <w:right w:val="nil"/>
            </w:tcBorders>
            <w:shd w:val="clear" w:color="auto" w:fill="FFFFFF"/>
            <w:vAlign w:val="bottom"/>
          </w:tcPr>
          <w:p w14:paraId="4D8E51EF" w14:textId="77777777" w:rsidR="006E2F24" w:rsidRDefault="006E2F24">
            <w:pPr>
              <w:spacing w:after="0" w:line="240" w:lineRule="auto"/>
              <w:ind w:left="0" w:hanging="2"/>
              <w:rPr>
                <w:sz w:val="24"/>
                <w:szCs w:val="24"/>
              </w:rPr>
            </w:pPr>
          </w:p>
        </w:tc>
        <w:tc>
          <w:tcPr>
            <w:tcW w:w="1338" w:type="dxa"/>
            <w:tcBorders>
              <w:top w:val="nil"/>
              <w:left w:val="nil"/>
              <w:bottom w:val="single" w:sz="8" w:space="0" w:color="152935"/>
              <w:right w:val="single" w:sz="8" w:space="0" w:color="E0E0E0"/>
            </w:tcBorders>
            <w:shd w:val="clear" w:color="auto" w:fill="FFFFFF"/>
            <w:vAlign w:val="bottom"/>
          </w:tcPr>
          <w:p w14:paraId="67EA2BF7" w14:textId="77777777" w:rsidR="006E2F24" w:rsidRDefault="0044495C">
            <w:pPr>
              <w:spacing w:after="0"/>
              <w:ind w:left="0" w:right="60" w:hanging="2"/>
              <w:jc w:val="center"/>
              <w:rPr>
                <w:rFonts w:ascii="Arial" w:eastAsia="Arial" w:hAnsi="Arial" w:cs="Arial"/>
                <w:color w:val="264A60"/>
                <w:sz w:val="16"/>
                <w:szCs w:val="16"/>
              </w:rPr>
            </w:pPr>
            <w:r>
              <w:rPr>
                <w:rFonts w:ascii="Arial" w:eastAsia="Arial" w:hAnsi="Arial" w:cs="Arial"/>
                <w:color w:val="264A60"/>
                <w:sz w:val="16"/>
                <w:szCs w:val="16"/>
              </w:rPr>
              <w:t>CATEGORÍA DE ATENCIÓN</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1DA5A362" w14:textId="77777777" w:rsidR="006E2F24" w:rsidRDefault="0044495C">
            <w:pPr>
              <w:spacing w:after="0"/>
              <w:ind w:left="0" w:right="60" w:hanging="2"/>
              <w:jc w:val="center"/>
              <w:rPr>
                <w:rFonts w:ascii="Arial" w:eastAsia="Arial" w:hAnsi="Arial" w:cs="Arial"/>
                <w:color w:val="264A60"/>
                <w:sz w:val="16"/>
                <w:szCs w:val="16"/>
              </w:rPr>
            </w:pPr>
            <w:r>
              <w:rPr>
                <w:rFonts w:ascii="Arial" w:eastAsia="Arial" w:hAnsi="Arial" w:cs="Arial"/>
                <w:color w:val="264A60"/>
                <w:sz w:val="16"/>
                <w:szCs w:val="16"/>
              </w:rPr>
              <w:t>CATEGORÍA DE ATENCIÓN</w:t>
            </w:r>
          </w:p>
        </w:tc>
        <w:tc>
          <w:tcPr>
            <w:tcW w:w="1111" w:type="dxa"/>
            <w:tcBorders>
              <w:top w:val="nil"/>
              <w:left w:val="single" w:sz="8" w:space="0" w:color="E0E0E0"/>
              <w:bottom w:val="single" w:sz="8" w:space="0" w:color="152935"/>
              <w:right w:val="nil"/>
            </w:tcBorders>
            <w:shd w:val="clear" w:color="auto" w:fill="FFFFFF"/>
            <w:vAlign w:val="bottom"/>
          </w:tcPr>
          <w:p w14:paraId="7679BBB8" w14:textId="77777777" w:rsidR="006E2F24" w:rsidRDefault="0044495C">
            <w:pPr>
              <w:spacing w:after="0"/>
              <w:ind w:left="0" w:right="60" w:hanging="2"/>
              <w:jc w:val="center"/>
              <w:rPr>
                <w:rFonts w:ascii="Arial" w:eastAsia="Arial" w:hAnsi="Arial" w:cs="Arial"/>
                <w:color w:val="264A60"/>
                <w:sz w:val="16"/>
                <w:szCs w:val="16"/>
              </w:rPr>
            </w:pPr>
            <w:r>
              <w:rPr>
                <w:rFonts w:ascii="Arial" w:eastAsia="Arial" w:hAnsi="Arial" w:cs="Arial"/>
                <w:color w:val="264A60"/>
                <w:sz w:val="16"/>
                <w:szCs w:val="16"/>
              </w:rPr>
              <w:t>Continuidad</w:t>
            </w:r>
          </w:p>
        </w:tc>
      </w:tr>
      <w:tr w:rsidR="006E2F24" w14:paraId="3F369291" w14:textId="77777777">
        <w:trPr>
          <w:cantSplit/>
          <w:trHeight w:val="273"/>
        </w:trPr>
        <w:tc>
          <w:tcPr>
            <w:tcW w:w="1571" w:type="dxa"/>
            <w:vMerge w:val="restart"/>
            <w:tcBorders>
              <w:top w:val="single" w:sz="8" w:space="0" w:color="152935"/>
              <w:left w:val="nil"/>
              <w:bottom w:val="single" w:sz="8" w:space="0" w:color="152935"/>
              <w:right w:val="nil"/>
            </w:tcBorders>
            <w:shd w:val="clear" w:color="auto" w:fill="E0E0E0"/>
          </w:tcPr>
          <w:p w14:paraId="647B038F" w14:textId="77777777" w:rsidR="006E2F24" w:rsidRDefault="0044495C">
            <w:pPr>
              <w:spacing w:after="0"/>
              <w:ind w:left="0" w:right="60" w:hanging="2"/>
              <w:rPr>
                <w:color w:val="264A60"/>
                <w:sz w:val="16"/>
                <w:szCs w:val="16"/>
              </w:rPr>
            </w:pPr>
            <w:r>
              <w:rPr>
                <w:color w:val="264A60"/>
                <w:sz w:val="16"/>
                <w:szCs w:val="16"/>
              </w:rPr>
              <w:t>Rho de Spearman</w:t>
            </w:r>
          </w:p>
        </w:tc>
        <w:tc>
          <w:tcPr>
            <w:tcW w:w="2241" w:type="dxa"/>
            <w:vMerge w:val="restart"/>
            <w:tcBorders>
              <w:top w:val="single" w:sz="8" w:space="0" w:color="152935"/>
              <w:left w:val="nil"/>
              <w:bottom w:val="nil"/>
              <w:right w:val="nil"/>
            </w:tcBorders>
            <w:shd w:val="clear" w:color="auto" w:fill="E0E0E0"/>
          </w:tcPr>
          <w:p w14:paraId="5E4468E7" w14:textId="77777777" w:rsidR="006E2F24" w:rsidRDefault="0044495C">
            <w:pPr>
              <w:spacing w:after="0"/>
              <w:ind w:left="0" w:right="60" w:hanging="2"/>
              <w:rPr>
                <w:color w:val="264A60"/>
                <w:sz w:val="16"/>
                <w:szCs w:val="16"/>
              </w:rPr>
            </w:pPr>
            <w:r>
              <w:rPr>
                <w:color w:val="264A60"/>
                <w:sz w:val="16"/>
                <w:szCs w:val="16"/>
              </w:rPr>
              <w:t>CATEGORÍA DE ATENCIÓN</w:t>
            </w:r>
          </w:p>
        </w:tc>
        <w:tc>
          <w:tcPr>
            <w:tcW w:w="2148" w:type="dxa"/>
            <w:tcBorders>
              <w:top w:val="single" w:sz="8" w:space="0" w:color="152935"/>
              <w:left w:val="nil"/>
              <w:bottom w:val="single" w:sz="8" w:space="0" w:color="AEAEAE"/>
              <w:right w:val="nil"/>
            </w:tcBorders>
            <w:shd w:val="clear" w:color="auto" w:fill="E0E0E0"/>
          </w:tcPr>
          <w:p w14:paraId="01794B9A" w14:textId="77777777" w:rsidR="006E2F24" w:rsidRDefault="0044495C">
            <w:pPr>
              <w:spacing w:after="0"/>
              <w:ind w:left="0" w:right="60" w:hanging="2"/>
              <w:rPr>
                <w:color w:val="264A60"/>
                <w:sz w:val="16"/>
                <w:szCs w:val="16"/>
              </w:rPr>
            </w:pPr>
            <w:r>
              <w:rPr>
                <w:color w:val="264A60"/>
                <w:sz w:val="16"/>
                <w:szCs w:val="16"/>
              </w:rPr>
              <w:t>Coeficiente de correlación</w:t>
            </w:r>
          </w:p>
        </w:tc>
        <w:tc>
          <w:tcPr>
            <w:tcW w:w="1338" w:type="dxa"/>
            <w:tcBorders>
              <w:top w:val="single" w:sz="8" w:space="0" w:color="152935"/>
              <w:left w:val="nil"/>
              <w:bottom w:val="single" w:sz="8" w:space="0" w:color="AEAEAE"/>
              <w:right w:val="single" w:sz="8" w:space="0" w:color="E0E0E0"/>
            </w:tcBorders>
            <w:shd w:val="clear" w:color="auto" w:fill="F9F9FB"/>
          </w:tcPr>
          <w:p w14:paraId="2555F2B8"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1.000</w:t>
            </w:r>
          </w:p>
        </w:tc>
        <w:tc>
          <w:tcPr>
            <w:tcW w:w="1338" w:type="dxa"/>
            <w:tcBorders>
              <w:top w:val="single" w:sz="8" w:space="0" w:color="152935"/>
              <w:left w:val="single" w:sz="8" w:space="0" w:color="E0E0E0"/>
              <w:bottom w:val="single" w:sz="8" w:space="0" w:color="AEAEAE"/>
              <w:right w:val="single" w:sz="8" w:space="0" w:color="E0E0E0"/>
            </w:tcBorders>
            <w:shd w:val="clear" w:color="auto" w:fill="F9F9FB"/>
          </w:tcPr>
          <w:p w14:paraId="6D4D30EB"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-.087</w:t>
            </w:r>
          </w:p>
        </w:tc>
        <w:tc>
          <w:tcPr>
            <w:tcW w:w="1111" w:type="dxa"/>
            <w:tcBorders>
              <w:top w:val="single" w:sz="8" w:space="0" w:color="152935"/>
              <w:left w:val="single" w:sz="8" w:space="0" w:color="E0E0E0"/>
              <w:bottom w:val="single" w:sz="8" w:space="0" w:color="AEAEAE"/>
              <w:right w:val="nil"/>
            </w:tcBorders>
            <w:shd w:val="clear" w:color="auto" w:fill="F9F9FB"/>
          </w:tcPr>
          <w:p w14:paraId="455A95EE"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-.113</w:t>
            </w:r>
            <w:r>
              <w:rPr>
                <w:rFonts w:ascii="Arial" w:eastAsia="Arial" w:hAnsi="Arial" w:cs="Arial"/>
                <w:color w:val="010205"/>
                <w:sz w:val="16"/>
                <w:szCs w:val="16"/>
                <w:vertAlign w:val="superscript"/>
              </w:rPr>
              <w:t>*</w:t>
            </w:r>
          </w:p>
        </w:tc>
      </w:tr>
      <w:tr w:rsidR="006E2F24" w14:paraId="1B38415B" w14:textId="77777777">
        <w:trPr>
          <w:cantSplit/>
          <w:trHeight w:val="102"/>
        </w:trPr>
        <w:tc>
          <w:tcPr>
            <w:tcW w:w="1571" w:type="dxa"/>
            <w:vMerge/>
            <w:tcBorders>
              <w:top w:val="single" w:sz="8" w:space="0" w:color="152935"/>
              <w:left w:val="nil"/>
              <w:bottom w:val="single" w:sz="8" w:space="0" w:color="152935"/>
              <w:right w:val="nil"/>
            </w:tcBorders>
            <w:shd w:val="clear" w:color="auto" w:fill="E0E0E0"/>
          </w:tcPr>
          <w:p w14:paraId="2BA1ACFA"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241" w:type="dxa"/>
            <w:vMerge/>
            <w:tcBorders>
              <w:top w:val="single" w:sz="8" w:space="0" w:color="152935"/>
              <w:left w:val="nil"/>
              <w:bottom w:val="nil"/>
              <w:right w:val="nil"/>
            </w:tcBorders>
            <w:shd w:val="clear" w:color="auto" w:fill="E0E0E0"/>
          </w:tcPr>
          <w:p w14:paraId="7475C6AA"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148" w:type="dxa"/>
            <w:tcBorders>
              <w:top w:val="single" w:sz="8" w:space="0" w:color="AEAEAE"/>
              <w:left w:val="nil"/>
              <w:bottom w:val="single" w:sz="8" w:space="0" w:color="AEAEAE"/>
              <w:right w:val="nil"/>
            </w:tcBorders>
            <w:shd w:val="clear" w:color="auto" w:fill="E0E0E0"/>
          </w:tcPr>
          <w:p w14:paraId="65534B69" w14:textId="77777777" w:rsidR="006E2F24" w:rsidRDefault="0044495C">
            <w:pPr>
              <w:spacing w:after="0"/>
              <w:ind w:left="0" w:right="60" w:hanging="2"/>
              <w:rPr>
                <w:color w:val="264A60"/>
                <w:sz w:val="16"/>
                <w:szCs w:val="16"/>
              </w:rPr>
            </w:pPr>
            <w:r>
              <w:rPr>
                <w:color w:val="264A60"/>
                <w:sz w:val="16"/>
                <w:szCs w:val="16"/>
              </w:rPr>
              <w:t>Sig. (bilateral)</w:t>
            </w:r>
          </w:p>
        </w:tc>
        <w:tc>
          <w:tcPr>
            <w:tcW w:w="1338" w:type="dxa"/>
            <w:tcBorders>
              <w:top w:val="single" w:sz="8" w:space="0" w:color="AEAEAE"/>
              <w:left w:val="nil"/>
              <w:bottom w:val="single" w:sz="8" w:space="0" w:color="AEAEAE"/>
              <w:right w:val="single" w:sz="8" w:space="0" w:color="E0E0E0"/>
            </w:tcBorders>
            <w:shd w:val="clear" w:color="auto" w:fill="F9F9FB"/>
          </w:tcPr>
          <w:p w14:paraId="4780EB76"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w:t>
            </w:r>
          </w:p>
        </w:tc>
        <w:tc>
          <w:tcPr>
            <w:tcW w:w="1338" w:type="dxa"/>
            <w:tcBorders>
              <w:top w:val="single" w:sz="8" w:space="0" w:color="AEAEAE"/>
              <w:left w:val="single" w:sz="8" w:space="0" w:color="E0E0E0"/>
              <w:bottom w:val="single" w:sz="8" w:space="0" w:color="AEAEAE"/>
              <w:right w:val="single" w:sz="8" w:space="0" w:color="E0E0E0"/>
            </w:tcBorders>
            <w:shd w:val="clear" w:color="auto" w:fill="F9F9FB"/>
          </w:tcPr>
          <w:p w14:paraId="37D5F26C"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.090</w:t>
            </w:r>
          </w:p>
        </w:tc>
        <w:tc>
          <w:tcPr>
            <w:tcW w:w="1111" w:type="dxa"/>
            <w:tcBorders>
              <w:top w:val="single" w:sz="8" w:space="0" w:color="AEAEAE"/>
              <w:left w:val="single" w:sz="8" w:space="0" w:color="E0E0E0"/>
              <w:bottom w:val="single" w:sz="8" w:space="0" w:color="AEAEAE"/>
              <w:right w:val="nil"/>
            </w:tcBorders>
            <w:shd w:val="clear" w:color="auto" w:fill="F9F9FB"/>
          </w:tcPr>
          <w:p w14:paraId="25C1E9EF"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.025</w:t>
            </w:r>
          </w:p>
        </w:tc>
      </w:tr>
      <w:tr w:rsidR="006E2F24" w14:paraId="0472280B" w14:textId="77777777">
        <w:trPr>
          <w:cantSplit/>
          <w:trHeight w:val="43"/>
        </w:trPr>
        <w:tc>
          <w:tcPr>
            <w:tcW w:w="1571" w:type="dxa"/>
            <w:vMerge/>
            <w:tcBorders>
              <w:top w:val="single" w:sz="8" w:space="0" w:color="152935"/>
              <w:left w:val="nil"/>
              <w:bottom w:val="single" w:sz="8" w:space="0" w:color="152935"/>
              <w:right w:val="nil"/>
            </w:tcBorders>
            <w:shd w:val="clear" w:color="auto" w:fill="E0E0E0"/>
          </w:tcPr>
          <w:p w14:paraId="582FF721"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241" w:type="dxa"/>
            <w:vMerge/>
            <w:tcBorders>
              <w:top w:val="single" w:sz="8" w:space="0" w:color="152935"/>
              <w:left w:val="nil"/>
              <w:bottom w:val="nil"/>
              <w:right w:val="nil"/>
            </w:tcBorders>
            <w:shd w:val="clear" w:color="auto" w:fill="E0E0E0"/>
          </w:tcPr>
          <w:p w14:paraId="43289A3C"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148" w:type="dxa"/>
            <w:tcBorders>
              <w:top w:val="single" w:sz="8" w:space="0" w:color="AEAEAE"/>
              <w:left w:val="nil"/>
              <w:bottom w:val="nil"/>
              <w:right w:val="nil"/>
            </w:tcBorders>
            <w:shd w:val="clear" w:color="auto" w:fill="E0E0E0"/>
          </w:tcPr>
          <w:p w14:paraId="07B1C332" w14:textId="77777777" w:rsidR="006E2F24" w:rsidRDefault="0044495C">
            <w:pPr>
              <w:spacing w:after="0"/>
              <w:ind w:left="0" w:right="60" w:hanging="2"/>
              <w:rPr>
                <w:color w:val="264A60"/>
                <w:sz w:val="16"/>
                <w:szCs w:val="16"/>
              </w:rPr>
            </w:pPr>
            <w:r>
              <w:rPr>
                <w:color w:val="264A60"/>
                <w:sz w:val="16"/>
                <w:szCs w:val="16"/>
              </w:rPr>
              <w:t>N</w:t>
            </w:r>
          </w:p>
        </w:tc>
        <w:tc>
          <w:tcPr>
            <w:tcW w:w="1338" w:type="dxa"/>
            <w:tcBorders>
              <w:top w:val="single" w:sz="8" w:space="0" w:color="AEAEAE"/>
              <w:left w:val="nil"/>
              <w:bottom w:val="nil"/>
              <w:right w:val="single" w:sz="8" w:space="0" w:color="E0E0E0"/>
            </w:tcBorders>
            <w:shd w:val="clear" w:color="auto" w:fill="F9F9FB"/>
          </w:tcPr>
          <w:p w14:paraId="499A0F02"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397</w:t>
            </w:r>
          </w:p>
        </w:tc>
        <w:tc>
          <w:tcPr>
            <w:tcW w:w="1338" w:type="dxa"/>
            <w:tcBorders>
              <w:top w:val="single" w:sz="8" w:space="0" w:color="AEAEAE"/>
              <w:left w:val="single" w:sz="8" w:space="0" w:color="E0E0E0"/>
              <w:bottom w:val="nil"/>
              <w:right w:val="single" w:sz="8" w:space="0" w:color="E0E0E0"/>
            </w:tcBorders>
            <w:shd w:val="clear" w:color="auto" w:fill="F9F9FB"/>
          </w:tcPr>
          <w:p w14:paraId="363EA242"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382</w:t>
            </w:r>
          </w:p>
        </w:tc>
        <w:tc>
          <w:tcPr>
            <w:tcW w:w="1111" w:type="dxa"/>
            <w:tcBorders>
              <w:top w:val="single" w:sz="8" w:space="0" w:color="AEAEAE"/>
              <w:left w:val="single" w:sz="8" w:space="0" w:color="E0E0E0"/>
              <w:bottom w:val="nil"/>
              <w:right w:val="nil"/>
            </w:tcBorders>
            <w:shd w:val="clear" w:color="auto" w:fill="F9F9FB"/>
          </w:tcPr>
          <w:p w14:paraId="1BE39259"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397</w:t>
            </w:r>
          </w:p>
        </w:tc>
      </w:tr>
      <w:tr w:rsidR="006E2F24" w14:paraId="24710FA0" w14:textId="77777777">
        <w:trPr>
          <w:cantSplit/>
          <w:trHeight w:val="278"/>
        </w:trPr>
        <w:tc>
          <w:tcPr>
            <w:tcW w:w="1571" w:type="dxa"/>
            <w:vMerge/>
            <w:tcBorders>
              <w:top w:val="single" w:sz="8" w:space="0" w:color="152935"/>
              <w:left w:val="nil"/>
              <w:bottom w:val="single" w:sz="8" w:space="0" w:color="152935"/>
              <w:right w:val="nil"/>
            </w:tcBorders>
            <w:shd w:val="clear" w:color="auto" w:fill="E0E0E0"/>
          </w:tcPr>
          <w:p w14:paraId="2A76DAF4"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241" w:type="dxa"/>
            <w:vMerge w:val="restart"/>
            <w:tcBorders>
              <w:top w:val="single" w:sz="8" w:space="0" w:color="AEAEAE"/>
              <w:left w:val="nil"/>
              <w:bottom w:val="nil"/>
              <w:right w:val="nil"/>
            </w:tcBorders>
            <w:shd w:val="clear" w:color="auto" w:fill="E0E0E0"/>
          </w:tcPr>
          <w:p w14:paraId="2CBA9BE2" w14:textId="77777777" w:rsidR="006E2F24" w:rsidRDefault="0044495C">
            <w:pPr>
              <w:spacing w:after="0"/>
              <w:ind w:left="0" w:right="60" w:hanging="2"/>
              <w:rPr>
                <w:color w:val="264A60"/>
                <w:sz w:val="16"/>
                <w:szCs w:val="16"/>
              </w:rPr>
            </w:pPr>
            <w:r>
              <w:rPr>
                <w:color w:val="264A60"/>
                <w:sz w:val="16"/>
                <w:szCs w:val="16"/>
              </w:rPr>
              <w:t>CATEGORÍA DE ATENCIÓN</w:t>
            </w:r>
          </w:p>
        </w:tc>
        <w:tc>
          <w:tcPr>
            <w:tcW w:w="2148" w:type="dxa"/>
            <w:tcBorders>
              <w:top w:val="single" w:sz="8" w:space="0" w:color="AEAEAE"/>
              <w:left w:val="nil"/>
              <w:bottom w:val="single" w:sz="8" w:space="0" w:color="AEAEAE"/>
              <w:right w:val="nil"/>
            </w:tcBorders>
            <w:shd w:val="clear" w:color="auto" w:fill="E0E0E0"/>
          </w:tcPr>
          <w:p w14:paraId="0DFAED65" w14:textId="77777777" w:rsidR="006E2F24" w:rsidRDefault="0044495C">
            <w:pPr>
              <w:spacing w:after="0"/>
              <w:ind w:left="0" w:right="60" w:hanging="2"/>
              <w:rPr>
                <w:color w:val="264A60"/>
                <w:sz w:val="16"/>
                <w:szCs w:val="16"/>
              </w:rPr>
            </w:pPr>
            <w:r>
              <w:rPr>
                <w:color w:val="264A60"/>
                <w:sz w:val="16"/>
                <w:szCs w:val="16"/>
              </w:rPr>
              <w:t>Coeficiente de correlación</w:t>
            </w:r>
          </w:p>
        </w:tc>
        <w:tc>
          <w:tcPr>
            <w:tcW w:w="1338" w:type="dxa"/>
            <w:tcBorders>
              <w:top w:val="single" w:sz="8" w:space="0" w:color="AEAEAE"/>
              <w:left w:val="nil"/>
              <w:bottom w:val="single" w:sz="8" w:space="0" w:color="AEAEAE"/>
              <w:right w:val="single" w:sz="8" w:space="0" w:color="E0E0E0"/>
            </w:tcBorders>
            <w:shd w:val="clear" w:color="auto" w:fill="F9F9FB"/>
          </w:tcPr>
          <w:p w14:paraId="6E71E952"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-.087</w:t>
            </w:r>
          </w:p>
        </w:tc>
        <w:tc>
          <w:tcPr>
            <w:tcW w:w="1338" w:type="dxa"/>
            <w:tcBorders>
              <w:top w:val="single" w:sz="8" w:space="0" w:color="AEAEAE"/>
              <w:left w:val="single" w:sz="8" w:space="0" w:color="E0E0E0"/>
              <w:bottom w:val="single" w:sz="8" w:space="0" w:color="AEAEAE"/>
              <w:right w:val="single" w:sz="8" w:space="0" w:color="E0E0E0"/>
            </w:tcBorders>
            <w:shd w:val="clear" w:color="auto" w:fill="F9F9FB"/>
          </w:tcPr>
          <w:p w14:paraId="2310E062"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1.000</w:t>
            </w:r>
          </w:p>
        </w:tc>
        <w:tc>
          <w:tcPr>
            <w:tcW w:w="1111" w:type="dxa"/>
            <w:tcBorders>
              <w:top w:val="single" w:sz="8" w:space="0" w:color="AEAEAE"/>
              <w:left w:val="single" w:sz="8" w:space="0" w:color="E0E0E0"/>
              <w:bottom w:val="single" w:sz="8" w:space="0" w:color="AEAEAE"/>
              <w:right w:val="nil"/>
            </w:tcBorders>
            <w:shd w:val="clear" w:color="auto" w:fill="F9F9FB"/>
          </w:tcPr>
          <w:p w14:paraId="597CD12A"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.018</w:t>
            </w:r>
          </w:p>
        </w:tc>
      </w:tr>
      <w:tr w:rsidR="006E2F24" w14:paraId="1C4715FF" w14:textId="77777777">
        <w:trPr>
          <w:cantSplit/>
          <w:trHeight w:val="145"/>
        </w:trPr>
        <w:tc>
          <w:tcPr>
            <w:tcW w:w="1571" w:type="dxa"/>
            <w:vMerge/>
            <w:tcBorders>
              <w:top w:val="single" w:sz="8" w:space="0" w:color="152935"/>
              <w:left w:val="nil"/>
              <w:bottom w:val="single" w:sz="8" w:space="0" w:color="152935"/>
              <w:right w:val="nil"/>
            </w:tcBorders>
            <w:shd w:val="clear" w:color="auto" w:fill="E0E0E0"/>
          </w:tcPr>
          <w:p w14:paraId="20713F06"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241" w:type="dxa"/>
            <w:vMerge/>
            <w:tcBorders>
              <w:top w:val="single" w:sz="8" w:space="0" w:color="AEAEAE"/>
              <w:left w:val="nil"/>
              <w:bottom w:val="nil"/>
              <w:right w:val="nil"/>
            </w:tcBorders>
            <w:shd w:val="clear" w:color="auto" w:fill="E0E0E0"/>
          </w:tcPr>
          <w:p w14:paraId="338B911D"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148" w:type="dxa"/>
            <w:tcBorders>
              <w:top w:val="single" w:sz="8" w:space="0" w:color="AEAEAE"/>
              <w:left w:val="nil"/>
              <w:bottom w:val="single" w:sz="8" w:space="0" w:color="AEAEAE"/>
              <w:right w:val="nil"/>
            </w:tcBorders>
            <w:shd w:val="clear" w:color="auto" w:fill="E0E0E0"/>
          </w:tcPr>
          <w:p w14:paraId="0C4AC767" w14:textId="77777777" w:rsidR="006E2F24" w:rsidRDefault="0044495C">
            <w:pPr>
              <w:spacing w:after="0"/>
              <w:ind w:left="0" w:right="60" w:hanging="2"/>
              <w:rPr>
                <w:color w:val="264A60"/>
                <w:sz w:val="16"/>
                <w:szCs w:val="16"/>
              </w:rPr>
            </w:pPr>
            <w:r>
              <w:rPr>
                <w:color w:val="264A60"/>
                <w:sz w:val="16"/>
                <w:szCs w:val="16"/>
              </w:rPr>
              <w:t>Sig. (bilateral)</w:t>
            </w:r>
          </w:p>
        </w:tc>
        <w:tc>
          <w:tcPr>
            <w:tcW w:w="1338" w:type="dxa"/>
            <w:tcBorders>
              <w:top w:val="single" w:sz="8" w:space="0" w:color="AEAEAE"/>
              <w:left w:val="nil"/>
              <w:bottom w:val="single" w:sz="8" w:space="0" w:color="AEAEAE"/>
              <w:right w:val="single" w:sz="8" w:space="0" w:color="E0E0E0"/>
            </w:tcBorders>
            <w:shd w:val="clear" w:color="auto" w:fill="F9F9FB"/>
          </w:tcPr>
          <w:p w14:paraId="2BD060EF"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.090</w:t>
            </w:r>
          </w:p>
        </w:tc>
        <w:tc>
          <w:tcPr>
            <w:tcW w:w="1338" w:type="dxa"/>
            <w:tcBorders>
              <w:top w:val="single" w:sz="8" w:space="0" w:color="AEAEAE"/>
              <w:left w:val="single" w:sz="8" w:space="0" w:color="E0E0E0"/>
              <w:bottom w:val="single" w:sz="8" w:space="0" w:color="AEAEAE"/>
              <w:right w:val="single" w:sz="8" w:space="0" w:color="E0E0E0"/>
            </w:tcBorders>
            <w:shd w:val="clear" w:color="auto" w:fill="F9F9FB"/>
          </w:tcPr>
          <w:p w14:paraId="7423723C"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w:t>
            </w:r>
          </w:p>
        </w:tc>
        <w:tc>
          <w:tcPr>
            <w:tcW w:w="1111" w:type="dxa"/>
            <w:tcBorders>
              <w:top w:val="single" w:sz="8" w:space="0" w:color="AEAEAE"/>
              <w:left w:val="single" w:sz="8" w:space="0" w:color="E0E0E0"/>
              <w:bottom w:val="single" w:sz="8" w:space="0" w:color="AEAEAE"/>
              <w:right w:val="nil"/>
            </w:tcBorders>
            <w:shd w:val="clear" w:color="auto" w:fill="F9F9FB"/>
          </w:tcPr>
          <w:p w14:paraId="0EE25798"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.722</w:t>
            </w:r>
          </w:p>
        </w:tc>
      </w:tr>
      <w:tr w:rsidR="006E2F24" w14:paraId="29566E12" w14:textId="77777777">
        <w:trPr>
          <w:cantSplit/>
          <w:trHeight w:val="145"/>
        </w:trPr>
        <w:tc>
          <w:tcPr>
            <w:tcW w:w="1571" w:type="dxa"/>
            <w:vMerge/>
            <w:tcBorders>
              <w:top w:val="single" w:sz="8" w:space="0" w:color="152935"/>
              <w:left w:val="nil"/>
              <w:bottom w:val="single" w:sz="8" w:space="0" w:color="152935"/>
              <w:right w:val="nil"/>
            </w:tcBorders>
            <w:shd w:val="clear" w:color="auto" w:fill="E0E0E0"/>
          </w:tcPr>
          <w:p w14:paraId="6E239ED1"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241" w:type="dxa"/>
            <w:vMerge/>
            <w:tcBorders>
              <w:top w:val="single" w:sz="8" w:space="0" w:color="AEAEAE"/>
              <w:left w:val="nil"/>
              <w:bottom w:val="nil"/>
              <w:right w:val="nil"/>
            </w:tcBorders>
            <w:shd w:val="clear" w:color="auto" w:fill="E0E0E0"/>
          </w:tcPr>
          <w:p w14:paraId="6790A731"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148" w:type="dxa"/>
            <w:tcBorders>
              <w:top w:val="single" w:sz="8" w:space="0" w:color="AEAEAE"/>
              <w:left w:val="nil"/>
              <w:bottom w:val="nil"/>
              <w:right w:val="nil"/>
            </w:tcBorders>
            <w:shd w:val="clear" w:color="auto" w:fill="E0E0E0"/>
          </w:tcPr>
          <w:p w14:paraId="336AF8F7" w14:textId="77777777" w:rsidR="006E2F24" w:rsidRDefault="0044495C">
            <w:pPr>
              <w:spacing w:after="0"/>
              <w:ind w:left="0" w:right="60" w:hanging="2"/>
              <w:rPr>
                <w:color w:val="264A60"/>
                <w:sz w:val="16"/>
                <w:szCs w:val="16"/>
              </w:rPr>
            </w:pPr>
            <w:r>
              <w:rPr>
                <w:color w:val="264A60"/>
                <w:sz w:val="16"/>
                <w:szCs w:val="16"/>
              </w:rPr>
              <w:t>N</w:t>
            </w:r>
          </w:p>
        </w:tc>
        <w:tc>
          <w:tcPr>
            <w:tcW w:w="1338" w:type="dxa"/>
            <w:tcBorders>
              <w:top w:val="single" w:sz="8" w:space="0" w:color="AEAEAE"/>
              <w:left w:val="nil"/>
              <w:bottom w:val="nil"/>
              <w:right w:val="single" w:sz="8" w:space="0" w:color="E0E0E0"/>
            </w:tcBorders>
            <w:shd w:val="clear" w:color="auto" w:fill="F9F9FB"/>
          </w:tcPr>
          <w:p w14:paraId="29DDE05E"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382</w:t>
            </w:r>
          </w:p>
        </w:tc>
        <w:tc>
          <w:tcPr>
            <w:tcW w:w="1338" w:type="dxa"/>
            <w:tcBorders>
              <w:top w:val="single" w:sz="8" w:space="0" w:color="AEAEAE"/>
              <w:left w:val="single" w:sz="8" w:space="0" w:color="E0E0E0"/>
              <w:bottom w:val="nil"/>
              <w:right w:val="single" w:sz="8" w:space="0" w:color="E0E0E0"/>
            </w:tcBorders>
            <w:shd w:val="clear" w:color="auto" w:fill="F9F9FB"/>
          </w:tcPr>
          <w:p w14:paraId="3FF5384F"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382</w:t>
            </w:r>
          </w:p>
        </w:tc>
        <w:tc>
          <w:tcPr>
            <w:tcW w:w="1111" w:type="dxa"/>
            <w:tcBorders>
              <w:top w:val="single" w:sz="8" w:space="0" w:color="AEAEAE"/>
              <w:left w:val="single" w:sz="8" w:space="0" w:color="E0E0E0"/>
              <w:bottom w:val="nil"/>
              <w:right w:val="nil"/>
            </w:tcBorders>
            <w:shd w:val="clear" w:color="auto" w:fill="F9F9FB"/>
          </w:tcPr>
          <w:p w14:paraId="3D7E1773"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382</w:t>
            </w:r>
          </w:p>
        </w:tc>
      </w:tr>
      <w:tr w:rsidR="006E2F24" w14:paraId="72E3C000" w14:textId="77777777">
        <w:trPr>
          <w:cantSplit/>
          <w:trHeight w:val="278"/>
        </w:trPr>
        <w:tc>
          <w:tcPr>
            <w:tcW w:w="1571" w:type="dxa"/>
            <w:vMerge/>
            <w:tcBorders>
              <w:top w:val="single" w:sz="8" w:space="0" w:color="152935"/>
              <w:left w:val="nil"/>
              <w:bottom w:val="single" w:sz="8" w:space="0" w:color="152935"/>
              <w:right w:val="nil"/>
            </w:tcBorders>
            <w:shd w:val="clear" w:color="auto" w:fill="E0E0E0"/>
          </w:tcPr>
          <w:p w14:paraId="73C97377"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241" w:type="dxa"/>
            <w:vMerge w:val="restart"/>
            <w:tcBorders>
              <w:top w:val="single" w:sz="8" w:space="0" w:color="AEAEAE"/>
              <w:left w:val="nil"/>
              <w:bottom w:val="single" w:sz="8" w:space="0" w:color="152935"/>
              <w:right w:val="nil"/>
            </w:tcBorders>
            <w:shd w:val="clear" w:color="auto" w:fill="E0E0E0"/>
          </w:tcPr>
          <w:p w14:paraId="125F8EA6" w14:textId="77777777" w:rsidR="006E2F24" w:rsidRDefault="0044495C">
            <w:pPr>
              <w:spacing w:after="0"/>
              <w:ind w:left="0" w:right="60" w:hanging="2"/>
              <w:rPr>
                <w:color w:val="264A60"/>
                <w:sz w:val="16"/>
                <w:szCs w:val="16"/>
              </w:rPr>
            </w:pPr>
            <w:r>
              <w:rPr>
                <w:color w:val="264A60"/>
                <w:sz w:val="16"/>
                <w:szCs w:val="16"/>
              </w:rPr>
              <w:t>Continuidad</w:t>
            </w:r>
          </w:p>
        </w:tc>
        <w:tc>
          <w:tcPr>
            <w:tcW w:w="2148" w:type="dxa"/>
            <w:tcBorders>
              <w:top w:val="single" w:sz="8" w:space="0" w:color="AEAEAE"/>
              <w:left w:val="nil"/>
              <w:bottom w:val="single" w:sz="8" w:space="0" w:color="AEAEAE"/>
              <w:right w:val="nil"/>
            </w:tcBorders>
            <w:shd w:val="clear" w:color="auto" w:fill="E0E0E0"/>
          </w:tcPr>
          <w:p w14:paraId="76F037DD" w14:textId="77777777" w:rsidR="006E2F24" w:rsidRDefault="0044495C">
            <w:pPr>
              <w:spacing w:after="0"/>
              <w:ind w:left="0" w:right="60" w:hanging="2"/>
              <w:rPr>
                <w:color w:val="264A60"/>
                <w:sz w:val="16"/>
                <w:szCs w:val="16"/>
              </w:rPr>
            </w:pPr>
            <w:r>
              <w:rPr>
                <w:color w:val="264A60"/>
                <w:sz w:val="16"/>
                <w:szCs w:val="16"/>
              </w:rPr>
              <w:t>Coeficiente de correlación</w:t>
            </w:r>
          </w:p>
        </w:tc>
        <w:tc>
          <w:tcPr>
            <w:tcW w:w="1338" w:type="dxa"/>
            <w:tcBorders>
              <w:top w:val="single" w:sz="8" w:space="0" w:color="AEAEAE"/>
              <w:left w:val="nil"/>
              <w:bottom w:val="single" w:sz="8" w:space="0" w:color="AEAEAE"/>
              <w:right w:val="single" w:sz="8" w:space="0" w:color="E0E0E0"/>
            </w:tcBorders>
            <w:shd w:val="clear" w:color="auto" w:fill="F9F9FB"/>
          </w:tcPr>
          <w:p w14:paraId="789C1703"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-.113</w:t>
            </w:r>
            <w:r>
              <w:rPr>
                <w:rFonts w:ascii="Arial" w:eastAsia="Arial" w:hAnsi="Arial" w:cs="Arial"/>
                <w:color w:val="010205"/>
                <w:sz w:val="16"/>
                <w:szCs w:val="16"/>
                <w:vertAlign w:val="superscript"/>
              </w:rPr>
              <w:t>*</w:t>
            </w:r>
          </w:p>
        </w:tc>
        <w:tc>
          <w:tcPr>
            <w:tcW w:w="1338" w:type="dxa"/>
            <w:tcBorders>
              <w:top w:val="single" w:sz="8" w:space="0" w:color="AEAEAE"/>
              <w:left w:val="single" w:sz="8" w:space="0" w:color="E0E0E0"/>
              <w:bottom w:val="single" w:sz="8" w:space="0" w:color="AEAEAE"/>
              <w:right w:val="single" w:sz="8" w:space="0" w:color="E0E0E0"/>
            </w:tcBorders>
            <w:shd w:val="clear" w:color="auto" w:fill="F9F9FB"/>
          </w:tcPr>
          <w:p w14:paraId="172BC681"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.018</w:t>
            </w:r>
          </w:p>
        </w:tc>
        <w:tc>
          <w:tcPr>
            <w:tcW w:w="1111" w:type="dxa"/>
            <w:tcBorders>
              <w:top w:val="single" w:sz="8" w:space="0" w:color="AEAEAE"/>
              <w:left w:val="single" w:sz="8" w:space="0" w:color="E0E0E0"/>
              <w:bottom w:val="single" w:sz="8" w:space="0" w:color="AEAEAE"/>
              <w:right w:val="nil"/>
            </w:tcBorders>
            <w:shd w:val="clear" w:color="auto" w:fill="F9F9FB"/>
          </w:tcPr>
          <w:p w14:paraId="056AF272"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1.000</w:t>
            </w:r>
          </w:p>
        </w:tc>
      </w:tr>
      <w:tr w:rsidR="006E2F24" w14:paraId="18EFAEA3" w14:textId="77777777">
        <w:trPr>
          <w:cantSplit/>
          <w:trHeight w:val="145"/>
        </w:trPr>
        <w:tc>
          <w:tcPr>
            <w:tcW w:w="1571" w:type="dxa"/>
            <w:vMerge/>
            <w:tcBorders>
              <w:top w:val="single" w:sz="8" w:space="0" w:color="152935"/>
              <w:left w:val="nil"/>
              <w:bottom w:val="single" w:sz="8" w:space="0" w:color="152935"/>
              <w:right w:val="nil"/>
            </w:tcBorders>
            <w:shd w:val="clear" w:color="auto" w:fill="E0E0E0"/>
          </w:tcPr>
          <w:p w14:paraId="2649AFDF"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241" w:type="dxa"/>
            <w:vMerge/>
            <w:tcBorders>
              <w:top w:val="single" w:sz="8" w:space="0" w:color="AEAEAE"/>
              <w:left w:val="nil"/>
              <w:bottom w:val="single" w:sz="8" w:space="0" w:color="152935"/>
              <w:right w:val="nil"/>
            </w:tcBorders>
            <w:shd w:val="clear" w:color="auto" w:fill="E0E0E0"/>
          </w:tcPr>
          <w:p w14:paraId="73ECB8D4"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148" w:type="dxa"/>
            <w:tcBorders>
              <w:top w:val="single" w:sz="8" w:space="0" w:color="AEAEAE"/>
              <w:left w:val="nil"/>
              <w:bottom w:val="single" w:sz="8" w:space="0" w:color="AEAEAE"/>
              <w:right w:val="nil"/>
            </w:tcBorders>
            <w:shd w:val="clear" w:color="auto" w:fill="E0E0E0"/>
          </w:tcPr>
          <w:p w14:paraId="5B7B8D68" w14:textId="77777777" w:rsidR="006E2F24" w:rsidRDefault="0044495C">
            <w:pPr>
              <w:spacing w:after="0"/>
              <w:ind w:left="0" w:right="60" w:hanging="2"/>
              <w:rPr>
                <w:color w:val="264A60"/>
                <w:sz w:val="16"/>
                <w:szCs w:val="16"/>
              </w:rPr>
            </w:pPr>
            <w:r>
              <w:rPr>
                <w:color w:val="264A60"/>
                <w:sz w:val="16"/>
                <w:szCs w:val="16"/>
              </w:rPr>
              <w:t>Sig. (bilateral)</w:t>
            </w:r>
          </w:p>
        </w:tc>
        <w:tc>
          <w:tcPr>
            <w:tcW w:w="1338" w:type="dxa"/>
            <w:tcBorders>
              <w:top w:val="single" w:sz="8" w:space="0" w:color="AEAEAE"/>
              <w:left w:val="nil"/>
              <w:bottom w:val="single" w:sz="8" w:space="0" w:color="AEAEAE"/>
              <w:right w:val="single" w:sz="8" w:space="0" w:color="E0E0E0"/>
            </w:tcBorders>
            <w:shd w:val="clear" w:color="auto" w:fill="F9F9FB"/>
          </w:tcPr>
          <w:p w14:paraId="2DECBA4E"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.025</w:t>
            </w:r>
          </w:p>
        </w:tc>
        <w:tc>
          <w:tcPr>
            <w:tcW w:w="1338" w:type="dxa"/>
            <w:tcBorders>
              <w:top w:val="single" w:sz="8" w:space="0" w:color="AEAEAE"/>
              <w:left w:val="single" w:sz="8" w:space="0" w:color="E0E0E0"/>
              <w:bottom w:val="single" w:sz="8" w:space="0" w:color="AEAEAE"/>
              <w:right w:val="single" w:sz="8" w:space="0" w:color="E0E0E0"/>
            </w:tcBorders>
            <w:shd w:val="clear" w:color="auto" w:fill="F9F9FB"/>
          </w:tcPr>
          <w:p w14:paraId="6DB40EE9"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.722</w:t>
            </w:r>
          </w:p>
        </w:tc>
        <w:tc>
          <w:tcPr>
            <w:tcW w:w="1111" w:type="dxa"/>
            <w:tcBorders>
              <w:top w:val="single" w:sz="8" w:space="0" w:color="AEAEAE"/>
              <w:left w:val="single" w:sz="8" w:space="0" w:color="E0E0E0"/>
              <w:bottom w:val="single" w:sz="8" w:space="0" w:color="AEAEAE"/>
              <w:right w:val="nil"/>
            </w:tcBorders>
            <w:shd w:val="clear" w:color="auto" w:fill="F9F9FB"/>
          </w:tcPr>
          <w:p w14:paraId="2FACF2E9"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w:t>
            </w:r>
          </w:p>
        </w:tc>
      </w:tr>
      <w:tr w:rsidR="006E2F24" w14:paraId="0C911B6D" w14:textId="77777777">
        <w:trPr>
          <w:cantSplit/>
          <w:trHeight w:val="140"/>
        </w:trPr>
        <w:tc>
          <w:tcPr>
            <w:tcW w:w="1571" w:type="dxa"/>
            <w:vMerge/>
            <w:tcBorders>
              <w:top w:val="single" w:sz="8" w:space="0" w:color="152935"/>
              <w:left w:val="nil"/>
              <w:bottom w:val="single" w:sz="8" w:space="0" w:color="152935"/>
              <w:right w:val="nil"/>
            </w:tcBorders>
            <w:shd w:val="clear" w:color="auto" w:fill="E0E0E0"/>
          </w:tcPr>
          <w:p w14:paraId="3E0B5C76"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241" w:type="dxa"/>
            <w:vMerge/>
            <w:tcBorders>
              <w:top w:val="single" w:sz="8" w:space="0" w:color="AEAEAE"/>
              <w:left w:val="nil"/>
              <w:bottom w:val="single" w:sz="8" w:space="0" w:color="152935"/>
              <w:right w:val="nil"/>
            </w:tcBorders>
            <w:shd w:val="clear" w:color="auto" w:fill="E0E0E0"/>
          </w:tcPr>
          <w:p w14:paraId="54E6EC03" w14:textId="77777777" w:rsidR="006E2F24" w:rsidRDefault="006E2F24">
            <w:pPr>
              <w:widowControl w:val="0"/>
              <w:pBdr>
                <w:top w:val="nil"/>
                <w:left w:val="nil"/>
                <w:bottom w:val="nil"/>
                <w:right w:val="nil"/>
                <w:between w:val="nil"/>
              </w:pBdr>
              <w:spacing w:after="0" w:line="276" w:lineRule="auto"/>
              <w:ind w:left="0" w:hanging="2"/>
              <w:jc w:val="left"/>
              <w:rPr>
                <w:rFonts w:ascii="Arial" w:eastAsia="Arial" w:hAnsi="Arial" w:cs="Arial"/>
                <w:color w:val="010205"/>
                <w:sz w:val="16"/>
                <w:szCs w:val="16"/>
              </w:rPr>
            </w:pPr>
          </w:p>
        </w:tc>
        <w:tc>
          <w:tcPr>
            <w:tcW w:w="2148" w:type="dxa"/>
            <w:tcBorders>
              <w:top w:val="single" w:sz="8" w:space="0" w:color="AEAEAE"/>
              <w:left w:val="nil"/>
              <w:bottom w:val="single" w:sz="8" w:space="0" w:color="152935"/>
              <w:right w:val="nil"/>
            </w:tcBorders>
            <w:shd w:val="clear" w:color="auto" w:fill="E0E0E0"/>
          </w:tcPr>
          <w:p w14:paraId="39F9246E" w14:textId="77777777" w:rsidR="006E2F24" w:rsidRDefault="0044495C">
            <w:pPr>
              <w:spacing w:after="0"/>
              <w:ind w:left="0" w:right="60" w:hanging="2"/>
              <w:rPr>
                <w:color w:val="264A60"/>
                <w:sz w:val="16"/>
                <w:szCs w:val="16"/>
              </w:rPr>
            </w:pPr>
            <w:r>
              <w:rPr>
                <w:color w:val="264A60"/>
                <w:sz w:val="16"/>
                <w:szCs w:val="16"/>
              </w:rPr>
              <w:t>N</w:t>
            </w:r>
          </w:p>
        </w:tc>
        <w:tc>
          <w:tcPr>
            <w:tcW w:w="1338" w:type="dxa"/>
            <w:tcBorders>
              <w:top w:val="single" w:sz="8" w:space="0" w:color="AEAEAE"/>
              <w:left w:val="nil"/>
              <w:bottom w:val="single" w:sz="8" w:space="0" w:color="152935"/>
              <w:right w:val="single" w:sz="8" w:space="0" w:color="E0E0E0"/>
            </w:tcBorders>
            <w:shd w:val="clear" w:color="auto" w:fill="F9F9FB"/>
          </w:tcPr>
          <w:p w14:paraId="25F754AC"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397</w:t>
            </w:r>
          </w:p>
        </w:tc>
        <w:tc>
          <w:tcPr>
            <w:tcW w:w="1338" w:type="dxa"/>
            <w:tcBorders>
              <w:top w:val="single" w:sz="8" w:space="0" w:color="AEAEAE"/>
              <w:left w:val="single" w:sz="8" w:space="0" w:color="E0E0E0"/>
              <w:bottom w:val="single" w:sz="8" w:space="0" w:color="152935"/>
              <w:right w:val="single" w:sz="8" w:space="0" w:color="E0E0E0"/>
            </w:tcBorders>
            <w:shd w:val="clear" w:color="auto" w:fill="F9F9FB"/>
          </w:tcPr>
          <w:p w14:paraId="1C78139E"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382</w:t>
            </w:r>
          </w:p>
        </w:tc>
        <w:tc>
          <w:tcPr>
            <w:tcW w:w="1111" w:type="dxa"/>
            <w:tcBorders>
              <w:top w:val="single" w:sz="8" w:space="0" w:color="AEAEAE"/>
              <w:left w:val="single" w:sz="8" w:space="0" w:color="E0E0E0"/>
              <w:bottom w:val="single" w:sz="8" w:space="0" w:color="152935"/>
              <w:right w:val="nil"/>
            </w:tcBorders>
            <w:shd w:val="clear" w:color="auto" w:fill="F9F9FB"/>
          </w:tcPr>
          <w:p w14:paraId="459552AA" w14:textId="77777777" w:rsidR="006E2F24" w:rsidRDefault="0044495C">
            <w:pPr>
              <w:spacing w:after="0"/>
              <w:ind w:left="0" w:right="60" w:hanging="2"/>
              <w:jc w:val="right"/>
              <w:rPr>
                <w:rFonts w:ascii="Arial" w:eastAsia="Arial" w:hAnsi="Arial" w:cs="Arial"/>
                <w:color w:val="010205"/>
                <w:sz w:val="16"/>
                <w:szCs w:val="16"/>
              </w:rPr>
            </w:pPr>
            <w:r>
              <w:rPr>
                <w:rFonts w:ascii="Arial" w:eastAsia="Arial" w:hAnsi="Arial" w:cs="Arial"/>
                <w:color w:val="010205"/>
                <w:sz w:val="16"/>
                <w:szCs w:val="16"/>
              </w:rPr>
              <w:t>397</w:t>
            </w:r>
          </w:p>
        </w:tc>
      </w:tr>
      <w:tr w:rsidR="006E2F24" w14:paraId="6ACBC02C" w14:textId="77777777">
        <w:trPr>
          <w:cantSplit/>
          <w:trHeight w:val="24"/>
        </w:trPr>
        <w:tc>
          <w:tcPr>
            <w:tcW w:w="9747" w:type="dxa"/>
            <w:gridSpan w:val="6"/>
            <w:tcBorders>
              <w:top w:val="nil"/>
              <w:left w:val="nil"/>
              <w:bottom w:val="nil"/>
              <w:right w:val="nil"/>
            </w:tcBorders>
            <w:shd w:val="clear" w:color="auto" w:fill="FFFFFF"/>
          </w:tcPr>
          <w:p w14:paraId="35D5EC01" w14:textId="77777777" w:rsidR="006E2F24" w:rsidRDefault="0044495C">
            <w:pPr>
              <w:spacing w:after="0"/>
              <w:ind w:left="0" w:right="60" w:hanging="2"/>
              <w:rPr>
                <w:rFonts w:ascii="Arial" w:eastAsia="Arial" w:hAnsi="Arial" w:cs="Arial"/>
                <w:color w:val="010205"/>
                <w:sz w:val="16"/>
                <w:szCs w:val="16"/>
              </w:rPr>
            </w:pPr>
            <w:r>
              <w:rPr>
                <w:rFonts w:ascii="Arial" w:eastAsia="Arial" w:hAnsi="Arial" w:cs="Arial"/>
                <w:color w:val="010205"/>
                <w:sz w:val="16"/>
                <w:szCs w:val="16"/>
              </w:rPr>
              <w:t>*. La correlación es significativa en el nivel 0,05 (bilateral).</w:t>
            </w:r>
          </w:p>
        </w:tc>
      </w:tr>
    </w:tbl>
    <w:p w14:paraId="259841B6" w14:textId="77777777" w:rsidR="006E2F24" w:rsidRDefault="006E2F24">
      <w:pPr>
        <w:spacing w:after="0"/>
        <w:ind w:left="0" w:hanging="2"/>
        <w:rPr>
          <w:sz w:val="24"/>
          <w:szCs w:val="24"/>
        </w:rPr>
      </w:pPr>
    </w:p>
    <w:p w14:paraId="5D1DA1FB" w14:textId="33D17D64" w:rsidR="006E2F24" w:rsidRDefault="0044495C">
      <w:pPr>
        <w:spacing w:after="0"/>
        <w:ind w:left="0" w:hanging="2"/>
        <w:rPr>
          <w:sz w:val="24"/>
          <w:szCs w:val="24"/>
        </w:rPr>
      </w:pPr>
      <w:r>
        <w:rPr>
          <w:sz w:val="24"/>
          <w:szCs w:val="24"/>
        </w:rPr>
        <w:t xml:space="preserve">Los resultados que arroja el análisis estadístico de Rho de </w:t>
      </w:r>
      <w:proofErr w:type="spellStart"/>
      <w:r>
        <w:rPr>
          <w:sz w:val="24"/>
          <w:szCs w:val="24"/>
        </w:rPr>
        <w:t>Sperman</w:t>
      </w:r>
      <w:proofErr w:type="spellEnd"/>
      <w:r>
        <w:rPr>
          <w:sz w:val="24"/>
          <w:szCs w:val="24"/>
        </w:rPr>
        <w:t xml:space="preserve"> muestran una alta correlación entre las variables analizadas, </w:t>
      </w:r>
      <w:r w:rsidR="006A1324">
        <w:rPr>
          <w:sz w:val="24"/>
          <w:szCs w:val="24"/>
        </w:rPr>
        <w:t>exponiendo</w:t>
      </w:r>
      <w:r>
        <w:rPr>
          <w:sz w:val="24"/>
          <w:szCs w:val="24"/>
        </w:rPr>
        <w:t xml:space="preserve"> una significancia bilateral en 0.025 entre el nivel de complejidad en los rangos establecidos en la atención e intervención y continuidad académica, destacando un impacto positivo en la atención desde el chat del psicólogo en la continuidad académica del estudiante.</w:t>
      </w:r>
    </w:p>
    <w:p w14:paraId="54DC033B" w14:textId="77777777" w:rsidR="006E2F24" w:rsidRDefault="006E2F24">
      <w:pPr>
        <w:spacing w:after="0"/>
        <w:ind w:left="0" w:hanging="2"/>
        <w:rPr>
          <w:sz w:val="24"/>
          <w:szCs w:val="24"/>
        </w:rPr>
      </w:pPr>
    </w:p>
    <w:tbl>
      <w:tblPr>
        <w:tblStyle w:val="1"/>
        <w:tblW w:w="9538" w:type="dxa"/>
        <w:tblInd w:w="0" w:type="dxa"/>
        <w:tblLayout w:type="fixed"/>
        <w:tblLook w:val="0000" w:firstRow="0" w:lastRow="0" w:firstColumn="0" w:lastColumn="0" w:noHBand="0" w:noVBand="0"/>
      </w:tblPr>
      <w:tblGrid>
        <w:gridCol w:w="1739"/>
        <w:gridCol w:w="466"/>
        <w:gridCol w:w="254"/>
        <w:gridCol w:w="403"/>
        <w:gridCol w:w="316"/>
        <w:gridCol w:w="1039"/>
        <w:gridCol w:w="847"/>
        <w:gridCol w:w="190"/>
        <w:gridCol w:w="722"/>
        <w:gridCol w:w="315"/>
        <w:gridCol w:w="597"/>
        <w:gridCol w:w="444"/>
        <w:gridCol w:w="468"/>
        <w:gridCol w:w="1738"/>
      </w:tblGrid>
      <w:tr w:rsidR="006E2F24" w14:paraId="79FF8B63" w14:textId="77777777">
        <w:trPr>
          <w:gridAfter w:val="2"/>
          <w:wAfter w:w="2206" w:type="dxa"/>
          <w:cantSplit/>
          <w:trHeight w:val="235"/>
        </w:trPr>
        <w:tc>
          <w:tcPr>
            <w:tcW w:w="7332" w:type="dxa"/>
            <w:gridSpan w:val="12"/>
            <w:tcBorders>
              <w:top w:val="nil"/>
              <w:left w:val="nil"/>
              <w:bottom w:val="nil"/>
              <w:right w:val="nil"/>
            </w:tcBorders>
            <w:shd w:val="clear" w:color="auto" w:fill="FFFFFF"/>
            <w:vAlign w:val="center"/>
          </w:tcPr>
          <w:p w14:paraId="1774E19A" w14:textId="77777777" w:rsidR="006E2F24" w:rsidRDefault="0044495C">
            <w:pPr>
              <w:spacing w:after="0"/>
              <w:ind w:left="0" w:right="60" w:hanging="2"/>
              <w:jc w:val="left"/>
              <w:rPr>
                <w:color w:val="010205"/>
                <w:sz w:val="24"/>
                <w:szCs w:val="24"/>
              </w:rPr>
            </w:pPr>
            <w:r>
              <w:rPr>
                <w:color w:val="010205"/>
                <w:sz w:val="24"/>
                <w:szCs w:val="24"/>
              </w:rPr>
              <w:t>Pruebas de chi-cuadrado</w:t>
            </w:r>
          </w:p>
        </w:tc>
      </w:tr>
      <w:tr w:rsidR="006E2F24" w14:paraId="1B475A81" w14:textId="77777777">
        <w:trPr>
          <w:cantSplit/>
          <w:trHeight w:val="699"/>
        </w:trPr>
        <w:tc>
          <w:tcPr>
            <w:tcW w:w="1739" w:type="dxa"/>
            <w:tcBorders>
              <w:top w:val="nil"/>
              <w:left w:val="nil"/>
              <w:bottom w:val="nil"/>
              <w:right w:val="nil"/>
            </w:tcBorders>
            <w:shd w:val="clear" w:color="auto" w:fill="FFFFFF"/>
            <w:vAlign w:val="center"/>
          </w:tcPr>
          <w:p w14:paraId="5B9348E1" w14:textId="77777777" w:rsidR="006E2F24" w:rsidRDefault="006E2F24">
            <w:pPr>
              <w:spacing w:after="0"/>
              <w:ind w:left="0" w:right="60" w:hanging="2"/>
              <w:jc w:val="left"/>
              <w:rPr>
                <w:color w:val="010205"/>
                <w:sz w:val="24"/>
                <w:szCs w:val="24"/>
              </w:rPr>
            </w:pPr>
          </w:p>
        </w:tc>
        <w:tc>
          <w:tcPr>
            <w:tcW w:w="466" w:type="dxa"/>
            <w:tcBorders>
              <w:top w:val="nil"/>
              <w:left w:val="nil"/>
              <w:bottom w:val="single" w:sz="8" w:space="0" w:color="152935"/>
              <w:right w:val="nil"/>
            </w:tcBorders>
            <w:shd w:val="clear" w:color="auto" w:fill="FFFFFF"/>
            <w:vAlign w:val="bottom"/>
          </w:tcPr>
          <w:p w14:paraId="3C5FB994" w14:textId="77777777" w:rsidR="006E2F24" w:rsidRDefault="006E2F24">
            <w:pPr>
              <w:spacing w:after="0" w:line="240" w:lineRule="auto"/>
              <w:ind w:left="0" w:hanging="2"/>
              <w:rPr>
                <w:sz w:val="16"/>
                <w:szCs w:val="16"/>
              </w:rPr>
            </w:pPr>
          </w:p>
        </w:tc>
        <w:tc>
          <w:tcPr>
            <w:tcW w:w="657" w:type="dxa"/>
            <w:gridSpan w:val="2"/>
            <w:tcBorders>
              <w:top w:val="nil"/>
              <w:left w:val="nil"/>
              <w:bottom w:val="single" w:sz="8" w:space="0" w:color="152935"/>
              <w:right w:val="single" w:sz="8" w:space="0" w:color="E0E0E0"/>
            </w:tcBorders>
            <w:shd w:val="clear" w:color="auto" w:fill="FFFFFF"/>
            <w:vAlign w:val="bottom"/>
          </w:tcPr>
          <w:p w14:paraId="3F5F3470" w14:textId="77777777" w:rsidR="006E2F24" w:rsidRDefault="0044495C">
            <w:pPr>
              <w:spacing w:after="0"/>
              <w:ind w:left="0" w:right="60" w:hanging="2"/>
              <w:jc w:val="center"/>
              <w:rPr>
                <w:color w:val="264A60"/>
                <w:sz w:val="16"/>
                <w:szCs w:val="16"/>
              </w:rPr>
            </w:pPr>
            <w:r>
              <w:rPr>
                <w:color w:val="264A60"/>
                <w:sz w:val="16"/>
                <w:szCs w:val="16"/>
              </w:rPr>
              <w:t>Valor</w:t>
            </w:r>
          </w:p>
        </w:tc>
        <w:tc>
          <w:tcPr>
            <w:tcW w:w="1355" w:type="dxa"/>
            <w:gridSpan w:val="2"/>
            <w:tcBorders>
              <w:top w:val="nil"/>
              <w:left w:val="single" w:sz="8" w:space="0" w:color="E0E0E0"/>
              <w:bottom w:val="single" w:sz="8" w:space="0" w:color="152935"/>
              <w:right w:val="single" w:sz="8" w:space="0" w:color="E0E0E0"/>
            </w:tcBorders>
            <w:shd w:val="clear" w:color="auto" w:fill="FFFFFF"/>
            <w:vAlign w:val="bottom"/>
          </w:tcPr>
          <w:p w14:paraId="426B8614" w14:textId="77777777" w:rsidR="006E2F24" w:rsidRDefault="0044495C">
            <w:pPr>
              <w:spacing w:after="0"/>
              <w:ind w:left="0" w:right="60" w:hanging="2"/>
              <w:jc w:val="center"/>
              <w:rPr>
                <w:color w:val="264A60"/>
                <w:sz w:val="16"/>
                <w:szCs w:val="16"/>
              </w:rPr>
            </w:pPr>
            <w:proofErr w:type="spellStart"/>
            <w:r>
              <w:rPr>
                <w:color w:val="264A60"/>
                <w:sz w:val="16"/>
                <w:szCs w:val="16"/>
              </w:rPr>
              <w:t>gl</w:t>
            </w:r>
            <w:proofErr w:type="spellEnd"/>
          </w:p>
        </w:tc>
        <w:tc>
          <w:tcPr>
            <w:tcW w:w="847" w:type="dxa"/>
            <w:tcBorders>
              <w:top w:val="nil"/>
              <w:left w:val="single" w:sz="8" w:space="0" w:color="E0E0E0"/>
              <w:bottom w:val="single" w:sz="8" w:space="0" w:color="152935"/>
              <w:right w:val="single" w:sz="8" w:space="0" w:color="E0E0E0"/>
            </w:tcBorders>
            <w:shd w:val="clear" w:color="auto" w:fill="FFFFFF"/>
            <w:vAlign w:val="bottom"/>
          </w:tcPr>
          <w:p w14:paraId="32037B7E" w14:textId="77777777" w:rsidR="006E2F24" w:rsidRDefault="0044495C">
            <w:pPr>
              <w:spacing w:after="0"/>
              <w:ind w:left="0" w:right="60" w:hanging="2"/>
              <w:jc w:val="center"/>
              <w:rPr>
                <w:color w:val="264A60"/>
                <w:sz w:val="16"/>
                <w:szCs w:val="16"/>
              </w:rPr>
            </w:pPr>
            <w:r>
              <w:rPr>
                <w:color w:val="264A60"/>
                <w:sz w:val="16"/>
                <w:szCs w:val="16"/>
              </w:rPr>
              <w:t>Significación asintótica (bilateral)</w:t>
            </w:r>
          </w:p>
        </w:tc>
        <w:tc>
          <w:tcPr>
            <w:tcW w:w="912" w:type="dxa"/>
            <w:gridSpan w:val="2"/>
            <w:tcBorders>
              <w:top w:val="nil"/>
              <w:left w:val="single" w:sz="8" w:space="0" w:color="E0E0E0"/>
              <w:bottom w:val="single" w:sz="8" w:space="0" w:color="152935"/>
              <w:right w:val="single" w:sz="8" w:space="0" w:color="E0E0E0"/>
            </w:tcBorders>
            <w:shd w:val="clear" w:color="auto" w:fill="FFFFFF"/>
            <w:vAlign w:val="bottom"/>
          </w:tcPr>
          <w:p w14:paraId="4AA55C87" w14:textId="77777777" w:rsidR="006E2F24" w:rsidRDefault="0044495C">
            <w:pPr>
              <w:spacing w:after="0"/>
              <w:ind w:left="0" w:right="60" w:hanging="2"/>
              <w:jc w:val="center"/>
              <w:rPr>
                <w:color w:val="264A60"/>
                <w:sz w:val="16"/>
                <w:szCs w:val="16"/>
              </w:rPr>
            </w:pPr>
            <w:r>
              <w:rPr>
                <w:color w:val="264A60"/>
                <w:sz w:val="16"/>
                <w:szCs w:val="16"/>
              </w:rPr>
              <w:t>Significación exacta (bilateral)</w:t>
            </w:r>
          </w:p>
        </w:tc>
        <w:tc>
          <w:tcPr>
            <w:tcW w:w="912" w:type="dxa"/>
            <w:gridSpan w:val="2"/>
            <w:tcBorders>
              <w:top w:val="nil"/>
              <w:left w:val="single" w:sz="8" w:space="0" w:color="E0E0E0"/>
              <w:bottom w:val="single" w:sz="8" w:space="0" w:color="152935"/>
              <w:right w:val="single" w:sz="8" w:space="0" w:color="E0E0E0"/>
            </w:tcBorders>
            <w:shd w:val="clear" w:color="auto" w:fill="FFFFFF"/>
            <w:vAlign w:val="bottom"/>
          </w:tcPr>
          <w:p w14:paraId="44DB7305" w14:textId="77777777" w:rsidR="006E2F24" w:rsidRDefault="0044495C">
            <w:pPr>
              <w:spacing w:after="0"/>
              <w:ind w:left="0" w:right="60" w:hanging="2"/>
              <w:jc w:val="center"/>
              <w:rPr>
                <w:color w:val="264A60"/>
                <w:sz w:val="16"/>
                <w:szCs w:val="16"/>
              </w:rPr>
            </w:pPr>
            <w:r>
              <w:rPr>
                <w:color w:val="264A60"/>
                <w:sz w:val="16"/>
                <w:szCs w:val="16"/>
              </w:rPr>
              <w:t>Significación exacta (unilateral)</w:t>
            </w:r>
          </w:p>
        </w:tc>
        <w:tc>
          <w:tcPr>
            <w:tcW w:w="912" w:type="dxa"/>
            <w:gridSpan w:val="2"/>
            <w:tcBorders>
              <w:top w:val="nil"/>
              <w:left w:val="single" w:sz="8" w:space="0" w:color="E0E0E0"/>
              <w:bottom w:val="single" w:sz="8" w:space="0" w:color="152935"/>
              <w:right w:val="nil"/>
            </w:tcBorders>
            <w:shd w:val="clear" w:color="auto" w:fill="FFFFFF"/>
            <w:vAlign w:val="bottom"/>
          </w:tcPr>
          <w:p w14:paraId="31D867B3" w14:textId="77777777" w:rsidR="006E2F24" w:rsidRDefault="0044495C">
            <w:pPr>
              <w:spacing w:after="0"/>
              <w:ind w:left="0" w:right="60" w:hanging="2"/>
              <w:jc w:val="center"/>
              <w:rPr>
                <w:color w:val="264A60"/>
                <w:sz w:val="16"/>
                <w:szCs w:val="16"/>
              </w:rPr>
            </w:pPr>
            <w:r>
              <w:rPr>
                <w:color w:val="264A60"/>
                <w:sz w:val="16"/>
                <w:szCs w:val="16"/>
              </w:rPr>
              <w:t>Probabilidad en el punto</w:t>
            </w:r>
          </w:p>
        </w:tc>
        <w:tc>
          <w:tcPr>
            <w:tcW w:w="1738" w:type="dxa"/>
            <w:tcBorders>
              <w:top w:val="nil"/>
              <w:left w:val="nil"/>
              <w:bottom w:val="nil"/>
              <w:right w:val="nil"/>
            </w:tcBorders>
            <w:shd w:val="clear" w:color="auto" w:fill="FFFFFF"/>
            <w:vAlign w:val="center"/>
          </w:tcPr>
          <w:p w14:paraId="560F128C" w14:textId="77777777" w:rsidR="006E2F24" w:rsidRDefault="006E2F24">
            <w:pPr>
              <w:spacing w:after="0"/>
              <w:ind w:left="0" w:right="60" w:hanging="2"/>
              <w:jc w:val="left"/>
              <w:rPr>
                <w:color w:val="010205"/>
                <w:sz w:val="24"/>
                <w:szCs w:val="24"/>
              </w:rPr>
            </w:pPr>
          </w:p>
        </w:tc>
      </w:tr>
      <w:tr w:rsidR="006E2F24" w14:paraId="12BD2D54" w14:textId="77777777">
        <w:trPr>
          <w:gridAfter w:val="2"/>
          <w:wAfter w:w="2206" w:type="dxa"/>
          <w:cantSplit/>
          <w:trHeight w:val="471"/>
        </w:trPr>
        <w:tc>
          <w:tcPr>
            <w:tcW w:w="1739" w:type="dxa"/>
            <w:tcBorders>
              <w:top w:val="single" w:sz="8" w:space="0" w:color="152935"/>
              <w:left w:val="nil"/>
              <w:bottom w:val="single" w:sz="8" w:space="0" w:color="AEAEAE"/>
              <w:right w:val="nil"/>
            </w:tcBorders>
            <w:shd w:val="clear" w:color="auto" w:fill="E0E0E0"/>
          </w:tcPr>
          <w:p w14:paraId="1B67D1F2" w14:textId="77777777" w:rsidR="006E2F24" w:rsidRDefault="0044495C">
            <w:pPr>
              <w:spacing w:after="0"/>
              <w:ind w:left="0" w:right="60" w:hanging="2"/>
              <w:rPr>
                <w:color w:val="264A60"/>
                <w:sz w:val="16"/>
                <w:szCs w:val="16"/>
              </w:rPr>
            </w:pPr>
            <w:r>
              <w:rPr>
                <w:color w:val="264A60"/>
                <w:sz w:val="16"/>
                <w:szCs w:val="16"/>
              </w:rPr>
              <w:t>Chi-cuadrado de Pearson</w:t>
            </w:r>
          </w:p>
        </w:tc>
        <w:tc>
          <w:tcPr>
            <w:tcW w:w="720" w:type="dxa"/>
            <w:gridSpan w:val="2"/>
            <w:tcBorders>
              <w:top w:val="single" w:sz="8" w:space="0" w:color="152935"/>
              <w:left w:val="nil"/>
              <w:bottom w:val="single" w:sz="8" w:space="0" w:color="AEAEAE"/>
              <w:right w:val="single" w:sz="8" w:space="0" w:color="E0E0E0"/>
            </w:tcBorders>
            <w:shd w:val="clear" w:color="auto" w:fill="F9F9FB"/>
          </w:tcPr>
          <w:p w14:paraId="78EDE489" w14:textId="77777777" w:rsidR="006E2F24" w:rsidRDefault="0044495C">
            <w:pPr>
              <w:spacing w:after="0"/>
              <w:ind w:left="0" w:right="60" w:hanging="2"/>
              <w:jc w:val="right"/>
              <w:rPr>
                <w:color w:val="010205"/>
                <w:sz w:val="16"/>
                <w:szCs w:val="16"/>
              </w:rPr>
            </w:pPr>
            <w:r>
              <w:rPr>
                <w:color w:val="010205"/>
                <w:sz w:val="16"/>
                <w:szCs w:val="16"/>
              </w:rPr>
              <w:t>5.058</w:t>
            </w:r>
            <w:r>
              <w:rPr>
                <w:color w:val="010205"/>
                <w:sz w:val="16"/>
                <w:szCs w:val="16"/>
                <w:vertAlign w:val="superscript"/>
              </w:rPr>
              <w:t>a</w:t>
            </w:r>
          </w:p>
        </w:tc>
        <w:tc>
          <w:tcPr>
            <w:tcW w:w="719" w:type="dxa"/>
            <w:gridSpan w:val="2"/>
            <w:tcBorders>
              <w:top w:val="single" w:sz="8" w:space="0" w:color="152935"/>
              <w:left w:val="single" w:sz="8" w:space="0" w:color="E0E0E0"/>
              <w:bottom w:val="single" w:sz="8" w:space="0" w:color="AEAEAE"/>
              <w:right w:val="single" w:sz="8" w:space="0" w:color="E0E0E0"/>
            </w:tcBorders>
            <w:shd w:val="clear" w:color="auto" w:fill="F9F9FB"/>
          </w:tcPr>
          <w:p w14:paraId="596561BD" w14:textId="77777777" w:rsidR="006E2F24" w:rsidRDefault="0044495C">
            <w:pPr>
              <w:spacing w:after="0"/>
              <w:ind w:left="0" w:right="60" w:hanging="2"/>
              <w:jc w:val="right"/>
              <w:rPr>
                <w:color w:val="010205"/>
                <w:sz w:val="16"/>
                <w:szCs w:val="16"/>
              </w:rPr>
            </w:pPr>
            <w:r>
              <w:rPr>
                <w:color w:val="010205"/>
                <w:sz w:val="16"/>
                <w:szCs w:val="16"/>
              </w:rPr>
              <w:t>1</w:t>
            </w:r>
          </w:p>
        </w:tc>
        <w:tc>
          <w:tcPr>
            <w:tcW w:w="1039" w:type="dxa"/>
            <w:tcBorders>
              <w:top w:val="single" w:sz="8" w:space="0" w:color="152935"/>
              <w:left w:val="single" w:sz="8" w:space="0" w:color="E0E0E0"/>
              <w:bottom w:val="single" w:sz="8" w:space="0" w:color="AEAEAE"/>
              <w:right w:val="single" w:sz="8" w:space="0" w:color="E0E0E0"/>
            </w:tcBorders>
            <w:shd w:val="clear" w:color="auto" w:fill="F9F9FB"/>
          </w:tcPr>
          <w:p w14:paraId="2163872C" w14:textId="77777777" w:rsidR="006E2F24" w:rsidRDefault="0044495C">
            <w:pPr>
              <w:spacing w:after="0"/>
              <w:ind w:left="0" w:right="60" w:hanging="2"/>
              <w:jc w:val="right"/>
              <w:rPr>
                <w:color w:val="010205"/>
                <w:sz w:val="16"/>
                <w:szCs w:val="16"/>
              </w:rPr>
            </w:pPr>
            <w:r>
              <w:rPr>
                <w:color w:val="010205"/>
                <w:sz w:val="16"/>
                <w:szCs w:val="16"/>
              </w:rPr>
              <w:t>.025</w:t>
            </w:r>
          </w:p>
        </w:tc>
        <w:tc>
          <w:tcPr>
            <w:tcW w:w="1037" w:type="dxa"/>
            <w:gridSpan w:val="2"/>
            <w:tcBorders>
              <w:top w:val="single" w:sz="8" w:space="0" w:color="152935"/>
              <w:left w:val="single" w:sz="8" w:space="0" w:color="E0E0E0"/>
              <w:bottom w:val="single" w:sz="8" w:space="0" w:color="AEAEAE"/>
              <w:right w:val="single" w:sz="8" w:space="0" w:color="E0E0E0"/>
            </w:tcBorders>
            <w:shd w:val="clear" w:color="auto" w:fill="F9F9FB"/>
          </w:tcPr>
          <w:p w14:paraId="024571F6" w14:textId="77777777" w:rsidR="006E2F24" w:rsidRDefault="0044495C">
            <w:pPr>
              <w:spacing w:after="0"/>
              <w:ind w:left="0" w:right="60" w:hanging="2"/>
              <w:jc w:val="right"/>
              <w:rPr>
                <w:color w:val="010205"/>
                <w:sz w:val="16"/>
                <w:szCs w:val="16"/>
              </w:rPr>
            </w:pPr>
            <w:r>
              <w:rPr>
                <w:color w:val="010205"/>
                <w:sz w:val="16"/>
                <w:szCs w:val="16"/>
              </w:rPr>
              <w:t>.029</w:t>
            </w:r>
          </w:p>
        </w:tc>
        <w:tc>
          <w:tcPr>
            <w:tcW w:w="1037" w:type="dxa"/>
            <w:gridSpan w:val="2"/>
            <w:tcBorders>
              <w:top w:val="single" w:sz="8" w:space="0" w:color="152935"/>
              <w:left w:val="single" w:sz="8" w:space="0" w:color="E0E0E0"/>
              <w:bottom w:val="single" w:sz="8" w:space="0" w:color="AEAEAE"/>
              <w:right w:val="single" w:sz="8" w:space="0" w:color="E0E0E0"/>
            </w:tcBorders>
            <w:shd w:val="clear" w:color="auto" w:fill="F9F9FB"/>
          </w:tcPr>
          <w:p w14:paraId="3D31AF14" w14:textId="77777777" w:rsidR="006E2F24" w:rsidRDefault="0044495C">
            <w:pPr>
              <w:spacing w:after="0"/>
              <w:ind w:left="0" w:right="60" w:hanging="2"/>
              <w:jc w:val="right"/>
              <w:rPr>
                <w:color w:val="010205"/>
                <w:sz w:val="16"/>
                <w:szCs w:val="16"/>
              </w:rPr>
            </w:pPr>
            <w:r>
              <w:rPr>
                <w:color w:val="010205"/>
                <w:sz w:val="16"/>
                <w:szCs w:val="16"/>
              </w:rPr>
              <w:t>.016</w:t>
            </w:r>
          </w:p>
        </w:tc>
        <w:tc>
          <w:tcPr>
            <w:tcW w:w="1041" w:type="dxa"/>
            <w:gridSpan w:val="2"/>
            <w:tcBorders>
              <w:top w:val="single" w:sz="8" w:space="0" w:color="152935"/>
              <w:left w:val="single" w:sz="8" w:space="0" w:color="E0E0E0"/>
              <w:bottom w:val="single" w:sz="8" w:space="0" w:color="AEAEAE"/>
              <w:right w:val="nil"/>
            </w:tcBorders>
            <w:shd w:val="clear" w:color="auto" w:fill="F9F9FB"/>
            <w:vAlign w:val="center"/>
          </w:tcPr>
          <w:p w14:paraId="36165B66" w14:textId="77777777" w:rsidR="006E2F24" w:rsidRDefault="006E2F24">
            <w:pPr>
              <w:spacing w:after="0" w:line="240" w:lineRule="auto"/>
              <w:ind w:left="0" w:hanging="2"/>
              <w:rPr>
                <w:sz w:val="16"/>
                <w:szCs w:val="16"/>
              </w:rPr>
            </w:pPr>
          </w:p>
        </w:tc>
      </w:tr>
      <w:tr w:rsidR="006E2F24" w14:paraId="1E550265" w14:textId="77777777">
        <w:trPr>
          <w:cantSplit/>
          <w:trHeight w:val="463"/>
        </w:trPr>
        <w:tc>
          <w:tcPr>
            <w:tcW w:w="1739" w:type="dxa"/>
            <w:tcBorders>
              <w:top w:val="single" w:sz="8" w:space="0" w:color="152935"/>
              <w:left w:val="nil"/>
              <w:bottom w:val="single" w:sz="8" w:space="0" w:color="AEAEAE"/>
              <w:right w:val="nil"/>
            </w:tcBorders>
            <w:shd w:val="clear" w:color="auto" w:fill="E0E0E0"/>
          </w:tcPr>
          <w:p w14:paraId="7E8097C0" w14:textId="77777777" w:rsidR="006E2F24" w:rsidRDefault="006E2F24">
            <w:pPr>
              <w:spacing w:after="0"/>
              <w:ind w:left="0" w:right="60" w:hanging="2"/>
              <w:rPr>
                <w:color w:val="264A60"/>
                <w:sz w:val="16"/>
                <w:szCs w:val="16"/>
              </w:rPr>
            </w:pPr>
          </w:p>
        </w:tc>
        <w:tc>
          <w:tcPr>
            <w:tcW w:w="466" w:type="dxa"/>
            <w:tcBorders>
              <w:top w:val="single" w:sz="8" w:space="0" w:color="AEAEAE"/>
              <w:left w:val="nil"/>
              <w:bottom w:val="single" w:sz="8" w:space="0" w:color="AEAEAE"/>
              <w:right w:val="nil"/>
            </w:tcBorders>
            <w:shd w:val="clear" w:color="auto" w:fill="E0E0E0"/>
          </w:tcPr>
          <w:p w14:paraId="264A8F59" w14:textId="77777777" w:rsidR="006E2F24" w:rsidRDefault="0044495C">
            <w:pPr>
              <w:spacing w:after="0"/>
              <w:ind w:left="0" w:right="60" w:hanging="2"/>
              <w:rPr>
                <w:color w:val="264A60"/>
                <w:sz w:val="16"/>
                <w:szCs w:val="16"/>
              </w:rPr>
            </w:pPr>
            <w:r>
              <w:rPr>
                <w:color w:val="264A60"/>
                <w:sz w:val="16"/>
                <w:szCs w:val="16"/>
              </w:rPr>
              <w:t xml:space="preserve">Corrección de </w:t>
            </w:r>
            <w:proofErr w:type="spellStart"/>
            <w:r>
              <w:rPr>
                <w:color w:val="264A60"/>
                <w:sz w:val="16"/>
                <w:szCs w:val="16"/>
              </w:rPr>
              <w:t>continuidad</w:t>
            </w:r>
            <w:r>
              <w:rPr>
                <w:color w:val="264A60"/>
                <w:sz w:val="16"/>
                <w:szCs w:val="16"/>
                <w:vertAlign w:val="superscript"/>
              </w:rPr>
              <w:t>b</w:t>
            </w:r>
            <w:proofErr w:type="spellEnd"/>
          </w:p>
        </w:tc>
        <w:tc>
          <w:tcPr>
            <w:tcW w:w="657" w:type="dxa"/>
            <w:gridSpan w:val="2"/>
            <w:tcBorders>
              <w:top w:val="single" w:sz="8" w:space="0" w:color="AEAEAE"/>
              <w:left w:val="nil"/>
              <w:bottom w:val="single" w:sz="8" w:space="0" w:color="AEAEAE"/>
              <w:right w:val="single" w:sz="8" w:space="0" w:color="E0E0E0"/>
            </w:tcBorders>
            <w:shd w:val="clear" w:color="auto" w:fill="F9F9FB"/>
          </w:tcPr>
          <w:p w14:paraId="156A00B5" w14:textId="77777777" w:rsidR="006E2F24" w:rsidRDefault="0044495C">
            <w:pPr>
              <w:spacing w:after="0"/>
              <w:ind w:left="0" w:right="60" w:hanging="2"/>
              <w:jc w:val="right"/>
              <w:rPr>
                <w:color w:val="010205"/>
                <w:sz w:val="16"/>
                <w:szCs w:val="16"/>
              </w:rPr>
            </w:pPr>
            <w:r>
              <w:rPr>
                <w:color w:val="010205"/>
                <w:sz w:val="16"/>
                <w:szCs w:val="16"/>
              </w:rPr>
              <w:t>4.555</w:t>
            </w:r>
          </w:p>
        </w:tc>
        <w:tc>
          <w:tcPr>
            <w:tcW w:w="1355" w:type="dxa"/>
            <w:gridSpan w:val="2"/>
            <w:tcBorders>
              <w:top w:val="single" w:sz="8" w:space="0" w:color="AEAEAE"/>
              <w:left w:val="single" w:sz="8" w:space="0" w:color="E0E0E0"/>
              <w:bottom w:val="single" w:sz="8" w:space="0" w:color="AEAEAE"/>
              <w:right w:val="single" w:sz="8" w:space="0" w:color="E0E0E0"/>
            </w:tcBorders>
            <w:shd w:val="clear" w:color="auto" w:fill="F9F9FB"/>
          </w:tcPr>
          <w:p w14:paraId="1EA9DC26" w14:textId="77777777" w:rsidR="006E2F24" w:rsidRDefault="0044495C">
            <w:pPr>
              <w:spacing w:after="0"/>
              <w:ind w:left="0" w:right="60" w:hanging="2"/>
              <w:jc w:val="right"/>
              <w:rPr>
                <w:color w:val="010205"/>
                <w:sz w:val="16"/>
                <w:szCs w:val="16"/>
              </w:rPr>
            </w:pPr>
            <w:r>
              <w:rPr>
                <w:color w:val="010205"/>
                <w:sz w:val="16"/>
                <w:szCs w:val="16"/>
              </w:rPr>
              <w:t>1</w:t>
            </w:r>
          </w:p>
        </w:tc>
        <w:tc>
          <w:tcPr>
            <w:tcW w:w="847" w:type="dxa"/>
            <w:tcBorders>
              <w:top w:val="single" w:sz="8" w:space="0" w:color="AEAEAE"/>
              <w:left w:val="single" w:sz="8" w:space="0" w:color="E0E0E0"/>
              <w:bottom w:val="single" w:sz="8" w:space="0" w:color="AEAEAE"/>
              <w:right w:val="single" w:sz="8" w:space="0" w:color="E0E0E0"/>
            </w:tcBorders>
            <w:shd w:val="clear" w:color="auto" w:fill="F9F9FB"/>
          </w:tcPr>
          <w:p w14:paraId="756F60B6" w14:textId="77777777" w:rsidR="006E2F24" w:rsidRDefault="0044495C">
            <w:pPr>
              <w:spacing w:after="0"/>
              <w:ind w:left="0" w:right="60" w:hanging="2"/>
              <w:jc w:val="right"/>
              <w:rPr>
                <w:color w:val="010205"/>
                <w:sz w:val="16"/>
                <w:szCs w:val="16"/>
              </w:rPr>
            </w:pPr>
            <w:r>
              <w:rPr>
                <w:color w:val="010205"/>
                <w:sz w:val="16"/>
                <w:szCs w:val="16"/>
              </w:rPr>
              <w:t>.033</w:t>
            </w:r>
          </w:p>
        </w:tc>
        <w:tc>
          <w:tcPr>
            <w:tcW w:w="912" w:type="dxa"/>
            <w:gridSpan w:val="2"/>
            <w:tcBorders>
              <w:top w:val="single" w:sz="8" w:space="0" w:color="AEAEAE"/>
              <w:left w:val="single" w:sz="8" w:space="0" w:color="E0E0E0"/>
              <w:bottom w:val="single" w:sz="8" w:space="0" w:color="AEAEAE"/>
              <w:right w:val="single" w:sz="8" w:space="0" w:color="E0E0E0"/>
            </w:tcBorders>
            <w:shd w:val="clear" w:color="auto" w:fill="F9F9FB"/>
            <w:vAlign w:val="center"/>
          </w:tcPr>
          <w:p w14:paraId="4CDE2E30" w14:textId="77777777" w:rsidR="006E2F24" w:rsidRDefault="006E2F24">
            <w:pPr>
              <w:spacing w:after="0" w:line="240" w:lineRule="auto"/>
              <w:ind w:left="0" w:hanging="2"/>
              <w:rPr>
                <w:sz w:val="16"/>
                <w:szCs w:val="16"/>
              </w:rPr>
            </w:pPr>
          </w:p>
        </w:tc>
        <w:tc>
          <w:tcPr>
            <w:tcW w:w="912" w:type="dxa"/>
            <w:gridSpan w:val="2"/>
            <w:tcBorders>
              <w:top w:val="single" w:sz="8" w:space="0" w:color="AEAEAE"/>
              <w:left w:val="single" w:sz="8" w:space="0" w:color="E0E0E0"/>
              <w:bottom w:val="single" w:sz="8" w:space="0" w:color="AEAEAE"/>
              <w:right w:val="single" w:sz="8" w:space="0" w:color="E0E0E0"/>
            </w:tcBorders>
            <w:shd w:val="clear" w:color="auto" w:fill="F9F9FB"/>
            <w:vAlign w:val="center"/>
          </w:tcPr>
          <w:p w14:paraId="029EBBE3" w14:textId="77777777" w:rsidR="006E2F24" w:rsidRDefault="006E2F24">
            <w:pPr>
              <w:spacing w:after="0" w:line="240" w:lineRule="auto"/>
              <w:ind w:left="0" w:hanging="2"/>
              <w:rPr>
                <w:sz w:val="16"/>
                <w:szCs w:val="16"/>
              </w:rPr>
            </w:pPr>
          </w:p>
        </w:tc>
        <w:tc>
          <w:tcPr>
            <w:tcW w:w="912" w:type="dxa"/>
            <w:gridSpan w:val="2"/>
            <w:tcBorders>
              <w:top w:val="single" w:sz="8" w:space="0" w:color="AEAEAE"/>
              <w:left w:val="single" w:sz="8" w:space="0" w:color="E0E0E0"/>
              <w:bottom w:val="single" w:sz="8" w:space="0" w:color="AEAEAE"/>
              <w:right w:val="nil"/>
            </w:tcBorders>
            <w:shd w:val="clear" w:color="auto" w:fill="F9F9FB"/>
            <w:vAlign w:val="center"/>
          </w:tcPr>
          <w:p w14:paraId="1E9A9BC7" w14:textId="77777777" w:rsidR="006E2F24" w:rsidRDefault="006E2F24">
            <w:pPr>
              <w:spacing w:after="0" w:line="240" w:lineRule="auto"/>
              <w:ind w:left="0" w:hanging="2"/>
              <w:rPr>
                <w:sz w:val="16"/>
                <w:szCs w:val="16"/>
              </w:rPr>
            </w:pPr>
          </w:p>
        </w:tc>
        <w:tc>
          <w:tcPr>
            <w:tcW w:w="1738" w:type="dxa"/>
            <w:tcBorders>
              <w:top w:val="single" w:sz="8" w:space="0" w:color="152935"/>
              <w:left w:val="nil"/>
              <w:bottom w:val="single" w:sz="8" w:space="0" w:color="AEAEAE"/>
              <w:right w:val="nil"/>
            </w:tcBorders>
            <w:shd w:val="clear" w:color="auto" w:fill="E0E0E0"/>
          </w:tcPr>
          <w:p w14:paraId="2C56F07F" w14:textId="77777777" w:rsidR="006E2F24" w:rsidRDefault="006E2F24">
            <w:pPr>
              <w:spacing w:after="0"/>
              <w:ind w:left="0" w:right="60" w:hanging="2"/>
              <w:rPr>
                <w:color w:val="264A60"/>
                <w:sz w:val="16"/>
                <w:szCs w:val="16"/>
              </w:rPr>
            </w:pPr>
          </w:p>
        </w:tc>
      </w:tr>
      <w:tr w:rsidR="006E2F24" w14:paraId="03254CB5" w14:textId="77777777">
        <w:trPr>
          <w:gridAfter w:val="2"/>
          <w:wAfter w:w="2206" w:type="dxa"/>
          <w:cantSplit/>
          <w:trHeight w:val="235"/>
        </w:trPr>
        <w:tc>
          <w:tcPr>
            <w:tcW w:w="1739" w:type="dxa"/>
            <w:tcBorders>
              <w:top w:val="single" w:sz="8" w:space="0" w:color="AEAEAE"/>
              <w:left w:val="nil"/>
              <w:bottom w:val="single" w:sz="8" w:space="0" w:color="AEAEAE"/>
              <w:right w:val="nil"/>
            </w:tcBorders>
            <w:shd w:val="clear" w:color="auto" w:fill="E0E0E0"/>
          </w:tcPr>
          <w:p w14:paraId="3E499064" w14:textId="77777777" w:rsidR="006E2F24" w:rsidRDefault="0044495C">
            <w:pPr>
              <w:spacing w:after="0"/>
              <w:ind w:left="0" w:right="60" w:hanging="2"/>
              <w:rPr>
                <w:color w:val="264A60"/>
                <w:sz w:val="16"/>
                <w:szCs w:val="16"/>
              </w:rPr>
            </w:pPr>
            <w:r>
              <w:rPr>
                <w:color w:val="264A60"/>
                <w:sz w:val="16"/>
                <w:szCs w:val="16"/>
              </w:rPr>
              <w:t>Razón de verosimilitud</w:t>
            </w:r>
          </w:p>
        </w:tc>
        <w:tc>
          <w:tcPr>
            <w:tcW w:w="720" w:type="dxa"/>
            <w:gridSpan w:val="2"/>
            <w:tcBorders>
              <w:top w:val="single" w:sz="8" w:space="0" w:color="AEAEAE"/>
              <w:left w:val="nil"/>
              <w:bottom w:val="single" w:sz="8" w:space="0" w:color="AEAEAE"/>
              <w:right w:val="single" w:sz="8" w:space="0" w:color="E0E0E0"/>
            </w:tcBorders>
            <w:shd w:val="clear" w:color="auto" w:fill="F9F9FB"/>
          </w:tcPr>
          <w:p w14:paraId="273532E8" w14:textId="77777777" w:rsidR="006E2F24" w:rsidRDefault="0044495C">
            <w:pPr>
              <w:spacing w:after="0"/>
              <w:ind w:left="0" w:right="60" w:hanging="2"/>
              <w:jc w:val="right"/>
              <w:rPr>
                <w:color w:val="010205"/>
                <w:sz w:val="16"/>
                <w:szCs w:val="16"/>
              </w:rPr>
            </w:pPr>
            <w:r>
              <w:rPr>
                <w:color w:val="010205"/>
                <w:sz w:val="16"/>
                <w:szCs w:val="16"/>
              </w:rPr>
              <w:t>5.189</w:t>
            </w:r>
          </w:p>
        </w:tc>
        <w:tc>
          <w:tcPr>
            <w:tcW w:w="719" w:type="dxa"/>
            <w:gridSpan w:val="2"/>
            <w:tcBorders>
              <w:top w:val="single" w:sz="8" w:space="0" w:color="AEAEAE"/>
              <w:left w:val="single" w:sz="8" w:space="0" w:color="E0E0E0"/>
              <w:bottom w:val="single" w:sz="8" w:space="0" w:color="AEAEAE"/>
              <w:right w:val="single" w:sz="8" w:space="0" w:color="E0E0E0"/>
            </w:tcBorders>
            <w:shd w:val="clear" w:color="auto" w:fill="F9F9FB"/>
          </w:tcPr>
          <w:p w14:paraId="3EEEBB4F" w14:textId="77777777" w:rsidR="006E2F24" w:rsidRDefault="0044495C">
            <w:pPr>
              <w:spacing w:after="0"/>
              <w:ind w:left="0" w:right="60" w:hanging="2"/>
              <w:jc w:val="right"/>
              <w:rPr>
                <w:color w:val="010205"/>
                <w:sz w:val="16"/>
                <w:szCs w:val="16"/>
              </w:rPr>
            </w:pPr>
            <w:r>
              <w:rPr>
                <w:color w:val="010205"/>
                <w:sz w:val="16"/>
                <w:szCs w:val="16"/>
              </w:rPr>
              <w:t>1</w:t>
            </w:r>
          </w:p>
        </w:tc>
        <w:tc>
          <w:tcPr>
            <w:tcW w:w="1039" w:type="dxa"/>
            <w:tcBorders>
              <w:top w:val="single" w:sz="8" w:space="0" w:color="AEAEAE"/>
              <w:left w:val="single" w:sz="8" w:space="0" w:color="E0E0E0"/>
              <w:bottom w:val="single" w:sz="8" w:space="0" w:color="AEAEAE"/>
              <w:right w:val="single" w:sz="8" w:space="0" w:color="E0E0E0"/>
            </w:tcBorders>
            <w:shd w:val="clear" w:color="auto" w:fill="F9F9FB"/>
          </w:tcPr>
          <w:p w14:paraId="6794950C" w14:textId="77777777" w:rsidR="006E2F24" w:rsidRDefault="0044495C">
            <w:pPr>
              <w:spacing w:after="0"/>
              <w:ind w:left="0" w:right="60" w:hanging="2"/>
              <w:jc w:val="right"/>
              <w:rPr>
                <w:color w:val="010205"/>
                <w:sz w:val="16"/>
                <w:szCs w:val="16"/>
              </w:rPr>
            </w:pPr>
            <w:r>
              <w:rPr>
                <w:color w:val="010205"/>
                <w:sz w:val="16"/>
                <w:szCs w:val="16"/>
              </w:rPr>
              <w:t>.023</w:t>
            </w:r>
          </w:p>
        </w:tc>
        <w:tc>
          <w:tcPr>
            <w:tcW w:w="1037" w:type="dxa"/>
            <w:gridSpan w:val="2"/>
            <w:tcBorders>
              <w:top w:val="single" w:sz="8" w:space="0" w:color="AEAEAE"/>
              <w:left w:val="single" w:sz="8" w:space="0" w:color="E0E0E0"/>
              <w:bottom w:val="single" w:sz="8" w:space="0" w:color="AEAEAE"/>
              <w:right w:val="single" w:sz="8" w:space="0" w:color="E0E0E0"/>
            </w:tcBorders>
            <w:shd w:val="clear" w:color="auto" w:fill="F9F9FB"/>
          </w:tcPr>
          <w:p w14:paraId="4A26D4E9" w14:textId="77777777" w:rsidR="006E2F24" w:rsidRDefault="0044495C">
            <w:pPr>
              <w:spacing w:after="0"/>
              <w:ind w:left="0" w:right="60" w:hanging="2"/>
              <w:jc w:val="right"/>
              <w:rPr>
                <w:color w:val="010205"/>
                <w:sz w:val="16"/>
                <w:szCs w:val="16"/>
              </w:rPr>
            </w:pPr>
            <w:r>
              <w:rPr>
                <w:color w:val="010205"/>
                <w:sz w:val="16"/>
                <w:szCs w:val="16"/>
              </w:rPr>
              <w:t>.029</w:t>
            </w:r>
          </w:p>
        </w:tc>
        <w:tc>
          <w:tcPr>
            <w:tcW w:w="1037" w:type="dxa"/>
            <w:gridSpan w:val="2"/>
            <w:tcBorders>
              <w:top w:val="single" w:sz="8" w:space="0" w:color="AEAEAE"/>
              <w:left w:val="single" w:sz="8" w:space="0" w:color="E0E0E0"/>
              <w:bottom w:val="single" w:sz="8" w:space="0" w:color="AEAEAE"/>
              <w:right w:val="single" w:sz="8" w:space="0" w:color="E0E0E0"/>
            </w:tcBorders>
            <w:shd w:val="clear" w:color="auto" w:fill="F9F9FB"/>
          </w:tcPr>
          <w:p w14:paraId="4EC2C988" w14:textId="77777777" w:rsidR="006E2F24" w:rsidRDefault="0044495C">
            <w:pPr>
              <w:spacing w:after="0"/>
              <w:ind w:left="0" w:right="60" w:hanging="2"/>
              <w:jc w:val="right"/>
              <w:rPr>
                <w:color w:val="010205"/>
                <w:sz w:val="16"/>
                <w:szCs w:val="16"/>
              </w:rPr>
            </w:pPr>
            <w:r>
              <w:rPr>
                <w:color w:val="010205"/>
                <w:sz w:val="16"/>
                <w:szCs w:val="16"/>
              </w:rPr>
              <w:t>.016</w:t>
            </w:r>
          </w:p>
        </w:tc>
        <w:tc>
          <w:tcPr>
            <w:tcW w:w="1041" w:type="dxa"/>
            <w:gridSpan w:val="2"/>
            <w:tcBorders>
              <w:top w:val="single" w:sz="8" w:space="0" w:color="AEAEAE"/>
              <w:left w:val="single" w:sz="8" w:space="0" w:color="E0E0E0"/>
              <w:bottom w:val="single" w:sz="8" w:space="0" w:color="AEAEAE"/>
              <w:right w:val="nil"/>
            </w:tcBorders>
            <w:shd w:val="clear" w:color="auto" w:fill="F9F9FB"/>
            <w:vAlign w:val="center"/>
          </w:tcPr>
          <w:p w14:paraId="21BA4CE9" w14:textId="77777777" w:rsidR="006E2F24" w:rsidRDefault="006E2F24">
            <w:pPr>
              <w:spacing w:after="0" w:line="240" w:lineRule="auto"/>
              <w:ind w:left="0" w:hanging="2"/>
              <w:rPr>
                <w:sz w:val="16"/>
                <w:szCs w:val="16"/>
              </w:rPr>
            </w:pPr>
          </w:p>
        </w:tc>
      </w:tr>
      <w:tr w:rsidR="006E2F24" w14:paraId="26062778" w14:textId="77777777">
        <w:trPr>
          <w:cantSplit/>
          <w:trHeight w:val="463"/>
        </w:trPr>
        <w:tc>
          <w:tcPr>
            <w:tcW w:w="1739" w:type="dxa"/>
            <w:tcBorders>
              <w:top w:val="single" w:sz="8" w:space="0" w:color="AEAEAE"/>
              <w:left w:val="nil"/>
              <w:bottom w:val="single" w:sz="8" w:space="0" w:color="AEAEAE"/>
              <w:right w:val="nil"/>
            </w:tcBorders>
            <w:shd w:val="clear" w:color="auto" w:fill="E0E0E0"/>
          </w:tcPr>
          <w:p w14:paraId="48FC68DC" w14:textId="77777777" w:rsidR="006E2F24" w:rsidRDefault="006E2F24">
            <w:pPr>
              <w:spacing w:after="0"/>
              <w:ind w:left="0" w:right="60" w:hanging="2"/>
              <w:rPr>
                <w:color w:val="264A60"/>
                <w:sz w:val="16"/>
                <w:szCs w:val="16"/>
              </w:rPr>
            </w:pPr>
          </w:p>
        </w:tc>
        <w:tc>
          <w:tcPr>
            <w:tcW w:w="466" w:type="dxa"/>
            <w:tcBorders>
              <w:top w:val="single" w:sz="8" w:space="0" w:color="AEAEAE"/>
              <w:left w:val="nil"/>
              <w:bottom w:val="single" w:sz="8" w:space="0" w:color="AEAEAE"/>
              <w:right w:val="nil"/>
            </w:tcBorders>
            <w:shd w:val="clear" w:color="auto" w:fill="E0E0E0"/>
          </w:tcPr>
          <w:p w14:paraId="164FA71A" w14:textId="77777777" w:rsidR="006E2F24" w:rsidRDefault="0044495C">
            <w:pPr>
              <w:spacing w:after="0"/>
              <w:ind w:left="0" w:right="60" w:hanging="2"/>
              <w:rPr>
                <w:color w:val="264A60"/>
                <w:sz w:val="16"/>
                <w:szCs w:val="16"/>
              </w:rPr>
            </w:pPr>
            <w:r>
              <w:rPr>
                <w:color w:val="264A60"/>
                <w:sz w:val="16"/>
                <w:szCs w:val="16"/>
              </w:rPr>
              <w:t>Prueba exacta de Fisher</w:t>
            </w:r>
          </w:p>
        </w:tc>
        <w:tc>
          <w:tcPr>
            <w:tcW w:w="657" w:type="dxa"/>
            <w:gridSpan w:val="2"/>
            <w:tcBorders>
              <w:top w:val="single" w:sz="8" w:space="0" w:color="AEAEAE"/>
              <w:left w:val="nil"/>
              <w:bottom w:val="single" w:sz="8" w:space="0" w:color="AEAEAE"/>
              <w:right w:val="single" w:sz="8" w:space="0" w:color="E0E0E0"/>
            </w:tcBorders>
            <w:shd w:val="clear" w:color="auto" w:fill="F9F9FB"/>
            <w:vAlign w:val="center"/>
          </w:tcPr>
          <w:p w14:paraId="08CA5F80" w14:textId="77777777" w:rsidR="006E2F24" w:rsidRDefault="006E2F24">
            <w:pPr>
              <w:spacing w:after="0" w:line="240" w:lineRule="auto"/>
              <w:ind w:left="0" w:hanging="2"/>
              <w:rPr>
                <w:sz w:val="16"/>
                <w:szCs w:val="16"/>
              </w:rPr>
            </w:pPr>
          </w:p>
        </w:tc>
        <w:tc>
          <w:tcPr>
            <w:tcW w:w="1355" w:type="dxa"/>
            <w:gridSpan w:val="2"/>
            <w:tcBorders>
              <w:top w:val="single" w:sz="8" w:space="0" w:color="AEAEAE"/>
              <w:left w:val="single" w:sz="8" w:space="0" w:color="E0E0E0"/>
              <w:bottom w:val="single" w:sz="8" w:space="0" w:color="AEAEAE"/>
              <w:right w:val="single" w:sz="8" w:space="0" w:color="E0E0E0"/>
            </w:tcBorders>
            <w:shd w:val="clear" w:color="auto" w:fill="F9F9FB"/>
            <w:vAlign w:val="center"/>
          </w:tcPr>
          <w:p w14:paraId="56BE56D0" w14:textId="77777777" w:rsidR="006E2F24" w:rsidRDefault="006E2F24">
            <w:pPr>
              <w:spacing w:after="0" w:line="240" w:lineRule="auto"/>
              <w:ind w:left="0" w:hanging="2"/>
              <w:rPr>
                <w:sz w:val="16"/>
                <w:szCs w:val="16"/>
              </w:rPr>
            </w:pPr>
          </w:p>
        </w:tc>
        <w:tc>
          <w:tcPr>
            <w:tcW w:w="847"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F1554EF" w14:textId="77777777" w:rsidR="006E2F24" w:rsidRDefault="006E2F24">
            <w:pPr>
              <w:spacing w:after="0" w:line="240" w:lineRule="auto"/>
              <w:ind w:left="0" w:hanging="2"/>
              <w:rPr>
                <w:sz w:val="16"/>
                <w:szCs w:val="16"/>
              </w:rPr>
            </w:pPr>
          </w:p>
        </w:tc>
        <w:tc>
          <w:tcPr>
            <w:tcW w:w="912" w:type="dxa"/>
            <w:gridSpan w:val="2"/>
            <w:tcBorders>
              <w:top w:val="single" w:sz="8" w:space="0" w:color="AEAEAE"/>
              <w:left w:val="single" w:sz="8" w:space="0" w:color="E0E0E0"/>
              <w:bottom w:val="single" w:sz="8" w:space="0" w:color="AEAEAE"/>
              <w:right w:val="single" w:sz="8" w:space="0" w:color="E0E0E0"/>
            </w:tcBorders>
            <w:shd w:val="clear" w:color="auto" w:fill="F9F9FB"/>
          </w:tcPr>
          <w:p w14:paraId="506839D4" w14:textId="77777777" w:rsidR="006E2F24" w:rsidRDefault="0044495C">
            <w:pPr>
              <w:spacing w:after="0"/>
              <w:ind w:left="0" w:right="60" w:hanging="2"/>
              <w:jc w:val="right"/>
              <w:rPr>
                <w:color w:val="010205"/>
                <w:sz w:val="16"/>
                <w:szCs w:val="16"/>
              </w:rPr>
            </w:pPr>
            <w:r>
              <w:rPr>
                <w:color w:val="010205"/>
                <w:sz w:val="16"/>
                <w:szCs w:val="16"/>
              </w:rPr>
              <w:t>.029</w:t>
            </w:r>
          </w:p>
        </w:tc>
        <w:tc>
          <w:tcPr>
            <w:tcW w:w="912" w:type="dxa"/>
            <w:gridSpan w:val="2"/>
            <w:tcBorders>
              <w:top w:val="single" w:sz="8" w:space="0" w:color="AEAEAE"/>
              <w:left w:val="single" w:sz="8" w:space="0" w:color="E0E0E0"/>
              <w:bottom w:val="single" w:sz="8" w:space="0" w:color="AEAEAE"/>
              <w:right w:val="single" w:sz="8" w:space="0" w:color="E0E0E0"/>
            </w:tcBorders>
            <w:shd w:val="clear" w:color="auto" w:fill="F9F9FB"/>
          </w:tcPr>
          <w:p w14:paraId="497F4E29" w14:textId="77777777" w:rsidR="006E2F24" w:rsidRDefault="0044495C">
            <w:pPr>
              <w:spacing w:after="0"/>
              <w:ind w:left="0" w:right="60" w:hanging="2"/>
              <w:jc w:val="right"/>
              <w:rPr>
                <w:color w:val="010205"/>
                <w:sz w:val="16"/>
                <w:szCs w:val="16"/>
              </w:rPr>
            </w:pPr>
            <w:r>
              <w:rPr>
                <w:color w:val="010205"/>
                <w:sz w:val="16"/>
                <w:szCs w:val="16"/>
              </w:rPr>
              <w:t>.016</w:t>
            </w:r>
          </w:p>
        </w:tc>
        <w:tc>
          <w:tcPr>
            <w:tcW w:w="912" w:type="dxa"/>
            <w:gridSpan w:val="2"/>
            <w:tcBorders>
              <w:top w:val="single" w:sz="8" w:space="0" w:color="AEAEAE"/>
              <w:left w:val="single" w:sz="8" w:space="0" w:color="E0E0E0"/>
              <w:bottom w:val="single" w:sz="8" w:space="0" w:color="AEAEAE"/>
              <w:right w:val="nil"/>
            </w:tcBorders>
            <w:shd w:val="clear" w:color="auto" w:fill="F9F9FB"/>
            <w:vAlign w:val="center"/>
          </w:tcPr>
          <w:p w14:paraId="33E6540F" w14:textId="77777777" w:rsidR="006E2F24" w:rsidRDefault="006E2F24">
            <w:pPr>
              <w:spacing w:after="0" w:line="240" w:lineRule="auto"/>
              <w:ind w:left="0" w:hanging="2"/>
              <w:rPr>
                <w:sz w:val="16"/>
                <w:szCs w:val="16"/>
              </w:rPr>
            </w:pPr>
          </w:p>
        </w:tc>
        <w:tc>
          <w:tcPr>
            <w:tcW w:w="1738" w:type="dxa"/>
            <w:tcBorders>
              <w:top w:val="single" w:sz="8" w:space="0" w:color="AEAEAE"/>
              <w:left w:val="nil"/>
              <w:bottom w:val="single" w:sz="8" w:space="0" w:color="AEAEAE"/>
              <w:right w:val="nil"/>
            </w:tcBorders>
            <w:shd w:val="clear" w:color="auto" w:fill="E0E0E0"/>
          </w:tcPr>
          <w:p w14:paraId="2633A322" w14:textId="77777777" w:rsidR="006E2F24" w:rsidRDefault="006E2F24">
            <w:pPr>
              <w:spacing w:after="0"/>
              <w:ind w:left="0" w:right="60" w:hanging="2"/>
              <w:rPr>
                <w:color w:val="264A60"/>
                <w:sz w:val="16"/>
                <w:szCs w:val="16"/>
              </w:rPr>
            </w:pPr>
          </w:p>
        </w:tc>
      </w:tr>
      <w:tr w:rsidR="006E2F24" w14:paraId="1B5C5EE5" w14:textId="77777777">
        <w:trPr>
          <w:gridAfter w:val="2"/>
          <w:wAfter w:w="2206" w:type="dxa"/>
          <w:cantSplit/>
          <w:trHeight w:val="471"/>
        </w:trPr>
        <w:tc>
          <w:tcPr>
            <w:tcW w:w="1739" w:type="dxa"/>
            <w:tcBorders>
              <w:top w:val="single" w:sz="8" w:space="0" w:color="AEAEAE"/>
              <w:left w:val="nil"/>
              <w:bottom w:val="single" w:sz="8" w:space="0" w:color="AEAEAE"/>
              <w:right w:val="nil"/>
            </w:tcBorders>
            <w:shd w:val="clear" w:color="auto" w:fill="E0E0E0"/>
          </w:tcPr>
          <w:p w14:paraId="5524F172" w14:textId="77777777" w:rsidR="006E2F24" w:rsidRDefault="0044495C">
            <w:pPr>
              <w:spacing w:after="0"/>
              <w:ind w:left="0" w:right="60" w:hanging="2"/>
              <w:rPr>
                <w:color w:val="264A60"/>
                <w:sz w:val="16"/>
                <w:szCs w:val="16"/>
              </w:rPr>
            </w:pPr>
            <w:r>
              <w:rPr>
                <w:color w:val="264A60"/>
                <w:sz w:val="16"/>
                <w:szCs w:val="16"/>
              </w:rPr>
              <w:t>Asociación lineal por lineal</w:t>
            </w:r>
          </w:p>
        </w:tc>
        <w:tc>
          <w:tcPr>
            <w:tcW w:w="720" w:type="dxa"/>
            <w:gridSpan w:val="2"/>
            <w:tcBorders>
              <w:top w:val="single" w:sz="8" w:space="0" w:color="AEAEAE"/>
              <w:left w:val="nil"/>
              <w:bottom w:val="single" w:sz="8" w:space="0" w:color="AEAEAE"/>
              <w:right w:val="single" w:sz="8" w:space="0" w:color="E0E0E0"/>
            </w:tcBorders>
            <w:shd w:val="clear" w:color="auto" w:fill="F9F9FB"/>
          </w:tcPr>
          <w:p w14:paraId="054F8DDD" w14:textId="77777777" w:rsidR="006E2F24" w:rsidRDefault="0044495C">
            <w:pPr>
              <w:spacing w:after="0"/>
              <w:ind w:left="0" w:right="60" w:hanging="2"/>
              <w:jc w:val="right"/>
              <w:rPr>
                <w:color w:val="010205"/>
                <w:sz w:val="16"/>
                <w:szCs w:val="16"/>
              </w:rPr>
            </w:pPr>
            <w:r>
              <w:rPr>
                <w:color w:val="010205"/>
                <w:sz w:val="16"/>
                <w:szCs w:val="16"/>
              </w:rPr>
              <w:t>5.046</w:t>
            </w:r>
            <w:r>
              <w:rPr>
                <w:color w:val="010205"/>
                <w:sz w:val="16"/>
                <w:szCs w:val="16"/>
                <w:vertAlign w:val="superscript"/>
              </w:rPr>
              <w:t>c</w:t>
            </w:r>
          </w:p>
        </w:tc>
        <w:tc>
          <w:tcPr>
            <w:tcW w:w="719" w:type="dxa"/>
            <w:gridSpan w:val="2"/>
            <w:tcBorders>
              <w:top w:val="single" w:sz="8" w:space="0" w:color="AEAEAE"/>
              <w:left w:val="single" w:sz="8" w:space="0" w:color="E0E0E0"/>
              <w:bottom w:val="single" w:sz="8" w:space="0" w:color="AEAEAE"/>
              <w:right w:val="single" w:sz="8" w:space="0" w:color="E0E0E0"/>
            </w:tcBorders>
            <w:shd w:val="clear" w:color="auto" w:fill="F9F9FB"/>
          </w:tcPr>
          <w:p w14:paraId="58021CE4" w14:textId="77777777" w:rsidR="006E2F24" w:rsidRDefault="0044495C">
            <w:pPr>
              <w:spacing w:after="0"/>
              <w:ind w:left="0" w:right="60" w:hanging="2"/>
              <w:jc w:val="right"/>
              <w:rPr>
                <w:color w:val="010205"/>
                <w:sz w:val="16"/>
                <w:szCs w:val="16"/>
              </w:rPr>
            </w:pPr>
            <w:r>
              <w:rPr>
                <w:color w:val="010205"/>
                <w:sz w:val="16"/>
                <w:szCs w:val="16"/>
              </w:rPr>
              <w:t>1</w:t>
            </w:r>
          </w:p>
        </w:tc>
        <w:tc>
          <w:tcPr>
            <w:tcW w:w="1039" w:type="dxa"/>
            <w:tcBorders>
              <w:top w:val="single" w:sz="8" w:space="0" w:color="AEAEAE"/>
              <w:left w:val="single" w:sz="8" w:space="0" w:color="E0E0E0"/>
              <w:bottom w:val="single" w:sz="8" w:space="0" w:color="AEAEAE"/>
              <w:right w:val="single" w:sz="8" w:space="0" w:color="E0E0E0"/>
            </w:tcBorders>
            <w:shd w:val="clear" w:color="auto" w:fill="F9F9FB"/>
          </w:tcPr>
          <w:p w14:paraId="641B4D37" w14:textId="77777777" w:rsidR="006E2F24" w:rsidRDefault="0044495C">
            <w:pPr>
              <w:spacing w:after="0"/>
              <w:ind w:left="0" w:right="60" w:hanging="2"/>
              <w:jc w:val="right"/>
              <w:rPr>
                <w:color w:val="010205"/>
                <w:sz w:val="16"/>
                <w:szCs w:val="16"/>
              </w:rPr>
            </w:pPr>
            <w:r>
              <w:rPr>
                <w:color w:val="010205"/>
                <w:sz w:val="16"/>
                <w:szCs w:val="16"/>
              </w:rPr>
              <w:t>.025</w:t>
            </w:r>
          </w:p>
        </w:tc>
        <w:tc>
          <w:tcPr>
            <w:tcW w:w="1037" w:type="dxa"/>
            <w:gridSpan w:val="2"/>
            <w:tcBorders>
              <w:top w:val="single" w:sz="8" w:space="0" w:color="AEAEAE"/>
              <w:left w:val="single" w:sz="8" w:space="0" w:color="E0E0E0"/>
              <w:bottom w:val="single" w:sz="8" w:space="0" w:color="AEAEAE"/>
              <w:right w:val="single" w:sz="8" w:space="0" w:color="E0E0E0"/>
            </w:tcBorders>
            <w:shd w:val="clear" w:color="auto" w:fill="F9F9FB"/>
          </w:tcPr>
          <w:p w14:paraId="066E1086" w14:textId="77777777" w:rsidR="006E2F24" w:rsidRDefault="0044495C">
            <w:pPr>
              <w:spacing w:after="0"/>
              <w:ind w:left="0" w:right="60" w:hanging="2"/>
              <w:jc w:val="right"/>
              <w:rPr>
                <w:color w:val="010205"/>
                <w:sz w:val="16"/>
                <w:szCs w:val="16"/>
              </w:rPr>
            </w:pPr>
            <w:r>
              <w:rPr>
                <w:color w:val="010205"/>
                <w:sz w:val="16"/>
                <w:szCs w:val="16"/>
              </w:rPr>
              <w:t>.029</w:t>
            </w:r>
          </w:p>
        </w:tc>
        <w:tc>
          <w:tcPr>
            <w:tcW w:w="1037" w:type="dxa"/>
            <w:gridSpan w:val="2"/>
            <w:tcBorders>
              <w:top w:val="single" w:sz="8" w:space="0" w:color="AEAEAE"/>
              <w:left w:val="single" w:sz="8" w:space="0" w:color="E0E0E0"/>
              <w:bottom w:val="single" w:sz="8" w:space="0" w:color="AEAEAE"/>
              <w:right w:val="single" w:sz="8" w:space="0" w:color="E0E0E0"/>
            </w:tcBorders>
            <w:shd w:val="clear" w:color="auto" w:fill="F9F9FB"/>
          </w:tcPr>
          <w:p w14:paraId="477C9A7A" w14:textId="77777777" w:rsidR="006E2F24" w:rsidRDefault="0044495C">
            <w:pPr>
              <w:spacing w:after="0"/>
              <w:ind w:left="0" w:right="60" w:hanging="2"/>
              <w:jc w:val="right"/>
              <w:rPr>
                <w:color w:val="010205"/>
                <w:sz w:val="16"/>
                <w:szCs w:val="16"/>
              </w:rPr>
            </w:pPr>
            <w:r>
              <w:rPr>
                <w:color w:val="010205"/>
                <w:sz w:val="16"/>
                <w:szCs w:val="16"/>
              </w:rPr>
              <w:t>.016</w:t>
            </w:r>
          </w:p>
        </w:tc>
        <w:tc>
          <w:tcPr>
            <w:tcW w:w="1041" w:type="dxa"/>
            <w:gridSpan w:val="2"/>
            <w:tcBorders>
              <w:top w:val="single" w:sz="8" w:space="0" w:color="AEAEAE"/>
              <w:left w:val="single" w:sz="8" w:space="0" w:color="E0E0E0"/>
              <w:bottom w:val="single" w:sz="8" w:space="0" w:color="AEAEAE"/>
              <w:right w:val="nil"/>
            </w:tcBorders>
            <w:shd w:val="clear" w:color="auto" w:fill="F9F9FB"/>
          </w:tcPr>
          <w:p w14:paraId="123F2432" w14:textId="77777777" w:rsidR="006E2F24" w:rsidRDefault="0044495C">
            <w:pPr>
              <w:spacing w:after="0"/>
              <w:ind w:left="0" w:right="60" w:hanging="2"/>
              <w:jc w:val="right"/>
              <w:rPr>
                <w:color w:val="010205"/>
                <w:sz w:val="16"/>
                <w:szCs w:val="16"/>
              </w:rPr>
            </w:pPr>
            <w:r>
              <w:rPr>
                <w:color w:val="010205"/>
                <w:sz w:val="16"/>
                <w:szCs w:val="16"/>
              </w:rPr>
              <w:t>.007</w:t>
            </w:r>
          </w:p>
        </w:tc>
      </w:tr>
      <w:tr w:rsidR="006E2F24" w14:paraId="5B8EB22C" w14:textId="77777777">
        <w:trPr>
          <w:cantSplit/>
          <w:trHeight w:val="228"/>
        </w:trPr>
        <w:tc>
          <w:tcPr>
            <w:tcW w:w="1739" w:type="dxa"/>
            <w:tcBorders>
              <w:top w:val="single" w:sz="8" w:space="0" w:color="AEAEAE"/>
              <w:left w:val="nil"/>
              <w:bottom w:val="single" w:sz="8" w:space="0" w:color="AEAEAE"/>
              <w:right w:val="nil"/>
            </w:tcBorders>
            <w:shd w:val="clear" w:color="auto" w:fill="E0E0E0"/>
          </w:tcPr>
          <w:p w14:paraId="41B12AAB" w14:textId="77777777" w:rsidR="006E2F24" w:rsidRDefault="006E2F24">
            <w:pPr>
              <w:spacing w:after="0"/>
              <w:ind w:left="0" w:right="60" w:hanging="2"/>
              <w:rPr>
                <w:color w:val="264A60"/>
                <w:sz w:val="16"/>
                <w:szCs w:val="16"/>
              </w:rPr>
            </w:pPr>
          </w:p>
        </w:tc>
        <w:tc>
          <w:tcPr>
            <w:tcW w:w="466" w:type="dxa"/>
            <w:tcBorders>
              <w:top w:val="single" w:sz="8" w:space="0" w:color="AEAEAE"/>
              <w:left w:val="nil"/>
              <w:bottom w:val="single" w:sz="8" w:space="0" w:color="152935"/>
              <w:right w:val="nil"/>
            </w:tcBorders>
            <w:shd w:val="clear" w:color="auto" w:fill="E0E0E0"/>
          </w:tcPr>
          <w:p w14:paraId="44BEB3CB" w14:textId="77777777" w:rsidR="006E2F24" w:rsidRDefault="0044495C">
            <w:pPr>
              <w:spacing w:after="0"/>
              <w:ind w:left="0" w:right="60" w:hanging="2"/>
              <w:rPr>
                <w:color w:val="264A60"/>
                <w:sz w:val="16"/>
                <w:szCs w:val="16"/>
              </w:rPr>
            </w:pPr>
            <w:r>
              <w:rPr>
                <w:color w:val="264A60"/>
                <w:sz w:val="16"/>
                <w:szCs w:val="16"/>
              </w:rPr>
              <w:t>N de casos válidos</w:t>
            </w:r>
          </w:p>
        </w:tc>
        <w:tc>
          <w:tcPr>
            <w:tcW w:w="657" w:type="dxa"/>
            <w:gridSpan w:val="2"/>
            <w:tcBorders>
              <w:top w:val="single" w:sz="8" w:space="0" w:color="AEAEAE"/>
              <w:left w:val="nil"/>
              <w:bottom w:val="single" w:sz="8" w:space="0" w:color="152935"/>
              <w:right w:val="single" w:sz="8" w:space="0" w:color="E0E0E0"/>
            </w:tcBorders>
            <w:shd w:val="clear" w:color="auto" w:fill="F9F9FB"/>
          </w:tcPr>
          <w:p w14:paraId="63044C22" w14:textId="77777777" w:rsidR="006E2F24" w:rsidRDefault="0044495C">
            <w:pPr>
              <w:spacing w:after="0"/>
              <w:ind w:left="0" w:right="60" w:hanging="2"/>
              <w:jc w:val="right"/>
              <w:rPr>
                <w:color w:val="010205"/>
                <w:sz w:val="16"/>
                <w:szCs w:val="16"/>
              </w:rPr>
            </w:pPr>
            <w:r>
              <w:rPr>
                <w:color w:val="010205"/>
                <w:sz w:val="16"/>
                <w:szCs w:val="16"/>
              </w:rPr>
              <w:t>397</w:t>
            </w:r>
          </w:p>
        </w:tc>
        <w:tc>
          <w:tcPr>
            <w:tcW w:w="1355"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14:paraId="36E9A8F1" w14:textId="77777777" w:rsidR="006E2F24" w:rsidRDefault="006E2F24">
            <w:pPr>
              <w:spacing w:after="0" w:line="240" w:lineRule="auto"/>
              <w:ind w:left="0" w:hanging="2"/>
              <w:rPr>
                <w:sz w:val="16"/>
                <w:szCs w:val="16"/>
              </w:rPr>
            </w:pPr>
          </w:p>
        </w:tc>
        <w:tc>
          <w:tcPr>
            <w:tcW w:w="847"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D02F14E" w14:textId="77777777" w:rsidR="006E2F24" w:rsidRDefault="006E2F24">
            <w:pPr>
              <w:spacing w:after="0" w:line="240" w:lineRule="auto"/>
              <w:ind w:left="0" w:hanging="2"/>
              <w:rPr>
                <w:sz w:val="16"/>
                <w:szCs w:val="16"/>
              </w:rPr>
            </w:pPr>
          </w:p>
        </w:tc>
        <w:tc>
          <w:tcPr>
            <w:tcW w:w="912"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14:paraId="34F00950" w14:textId="77777777" w:rsidR="006E2F24" w:rsidRDefault="006E2F24">
            <w:pPr>
              <w:spacing w:after="0" w:line="240" w:lineRule="auto"/>
              <w:ind w:left="0" w:hanging="2"/>
              <w:rPr>
                <w:sz w:val="16"/>
                <w:szCs w:val="16"/>
              </w:rPr>
            </w:pPr>
          </w:p>
        </w:tc>
        <w:tc>
          <w:tcPr>
            <w:tcW w:w="912"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14:paraId="77A222F1" w14:textId="77777777" w:rsidR="006E2F24" w:rsidRDefault="006E2F24">
            <w:pPr>
              <w:spacing w:after="0" w:line="240" w:lineRule="auto"/>
              <w:ind w:left="0" w:hanging="2"/>
              <w:rPr>
                <w:sz w:val="16"/>
                <w:szCs w:val="16"/>
              </w:rPr>
            </w:pPr>
          </w:p>
        </w:tc>
        <w:tc>
          <w:tcPr>
            <w:tcW w:w="912" w:type="dxa"/>
            <w:gridSpan w:val="2"/>
            <w:tcBorders>
              <w:top w:val="single" w:sz="8" w:space="0" w:color="AEAEAE"/>
              <w:left w:val="single" w:sz="8" w:space="0" w:color="E0E0E0"/>
              <w:bottom w:val="single" w:sz="8" w:space="0" w:color="152935"/>
              <w:right w:val="nil"/>
            </w:tcBorders>
            <w:shd w:val="clear" w:color="auto" w:fill="F9F9FB"/>
            <w:vAlign w:val="center"/>
          </w:tcPr>
          <w:p w14:paraId="2223726F" w14:textId="77777777" w:rsidR="006E2F24" w:rsidRDefault="006E2F24">
            <w:pPr>
              <w:spacing w:after="0" w:line="240" w:lineRule="auto"/>
              <w:ind w:left="0" w:hanging="2"/>
              <w:rPr>
                <w:sz w:val="16"/>
                <w:szCs w:val="16"/>
              </w:rPr>
            </w:pPr>
          </w:p>
        </w:tc>
        <w:tc>
          <w:tcPr>
            <w:tcW w:w="1738" w:type="dxa"/>
            <w:tcBorders>
              <w:top w:val="single" w:sz="8" w:space="0" w:color="AEAEAE"/>
              <w:left w:val="nil"/>
              <w:bottom w:val="single" w:sz="8" w:space="0" w:color="AEAEAE"/>
              <w:right w:val="nil"/>
            </w:tcBorders>
            <w:shd w:val="clear" w:color="auto" w:fill="E0E0E0"/>
          </w:tcPr>
          <w:p w14:paraId="44E9E1F8" w14:textId="77777777" w:rsidR="006E2F24" w:rsidRDefault="006E2F24">
            <w:pPr>
              <w:spacing w:after="0"/>
              <w:ind w:left="0" w:right="60" w:hanging="2"/>
              <w:rPr>
                <w:color w:val="264A60"/>
                <w:sz w:val="16"/>
                <w:szCs w:val="16"/>
              </w:rPr>
            </w:pPr>
          </w:p>
        </w:tc>
      </w:tr>
      <w:tr w:rsidR="006E2F24" w14:paraId="5E7BFF10" w14:textId="77777777">
        <w:trPr>
          <w:gridAfter w:val="2"/>
          <w:wAfter w:w="2206" w:type="dxa"/>
          <w:cantSplit/>
          <w:trHeight w:val="235"/>
        </w:trPr>
        <w:tc>
          <w:tcPr>
            <w:tcW w:w="7332" w:type="dxa"/>
            <w:gridSpan w:val="12"/>
            <w:tcBorders>
              <w:top w:val="nil"/>
              <w:left w:val="nil"/>
              <w:bottom w:val="nil"/>
              <w:right w:val="nil"/>
            </w:tcBorders>
            <w:shd w:val="clear" w:color="auto" w:fill="FFFFFF"/>
          </w:tcPr>
          <w:p w14:paraId="0C561BFA" w14:textId="77777777" w:rsidR="006E2F24" w:rsidRDefault="0044495C">
            <w:pPr>
              <w:spacing w:after="0"/>
              <w:ind w:left="0" w:right="60" w:hanging="2"/>
              <w:rPr>
                <w:color w:val="010205"/>
                <w:sz w:val="16"/>
                <w:szCs w:val="16"/>
              </w:rPr>
            </w:pPr>
            <w:r>
              <w:rPr>
                <w:color w:val="010205"/>
                <w:sz w:val="16"/>
                <w:szCs w:val="16"/>
              </w:rPr>
              <w:t>a. 0 casillas (0.0%) han esperado un recuento menor que 5. El recuento mínimo esperado es 41.78.</w:t>
            </w:r>
          </w:p>
        </w:tc>
      </w:tr>
      <w:tr w:rsidR="006E2F24" w14:paraId="12B93129" w14:textId="77777777">
        <w:trPr>
          <w:cantSplit/>
          <w:trHeight w:val="235"/>
        </w:trPr>
        <w:tc>
          <w:tcPr>
            <w:tcW w:w="1739" w:type="dxa"/>
            <w:tcBorders>
              <w:top w:val="nil"/>
              <w:left w:val="nil"/>
              <w:bottom w:val="nil"/>
              <w:right w:val="nil"/>
            </w:tcBorders>
            <w:shd w:val="clear" w:color="auto" w:fill="FFFFFF"/>
          </w:tcPr>
          <w:p w14:paraId="55F50052" w14:textId="77777777" w:rsidR="006E2F24" w:rsidRDefault="006E2F24">
            <w:pPr>
              <w:spacing w:after="0"/>
              <w:ind w:left="0" w:right="60" w:hanging="2"/>
              <w:rPr>
                <w:color w:val="010205"/>
                <w:sz w:val="16"/>
                <w:szCs w:val="16"/>
              </w:rPr>
            </w:pPr>
          </w:p>
        </w:tc>
        <w:tc>
          <w:tcPr>
            <w:tcW w:w="6061" w:type="dxa"/>
            <w:gridSpan w:val="12"/>
            <w:tcBorders>
              <w:top w:val="nil"/>
              <w:left w:val="nil"/>
              <w:bottom w:val="nil"/>
              <w:right w:val="nil"/>
            </w:tcBorders>
            <w:shd w:val="clear" w:color="auto" w:fill="FFFFFF"/>
          </w:tcPr>
          <w:p w14:paraId="331A3F21" w14:textId="77777777" w:rsidR="006E2F24" w:rsidRDefault="0044495C">
            <w:pPr>
              <w:spacing w:after="0"/>
              <w:ind w:left="0" w:right="60" w:hanging="2"/>
              <w:rPr>
                <w:color w:val="010205"/>
                <w:sz w:val="16"/>
                <w:szCs w:val="16"/>
              </w:rPr>
            </w:pPr>
            <w:r>
              <w:rPr>
                <w:color w:val="010205"/>
                <w:sz w:val="16"/>
                <w:szCs w:val="16"/>
              </w:rPr>
              <w:t>b. Sólo se ha calculado para una tabla 2x2</w:t>
            </w:r>
          </w:p>
        </w:tc>
        <w:tc>
          <w:tcPr>
            <w:tcW w:w="1738" w:type="dxa"/>
            <w:tcBorders>
              <w:top w:val="nil"/>
              <w:left w:val="nil"/>
              <w:bottom w:val="nil"/>
              <w:right w:val="nil"/>
            </w:tcBorders>
            <w:shd w:val="clear" w:color="auto" w:fill="FFFFFF"/>
          </w:tcPr>
          <w:p w14:paraId="10F499B3" w14:textId="77777777" w:rsidR="006E2F24" w:rsidRDefault="006E2F24">
            <w:pPr>
              <w:spacing w:after="0"/>
              <w:ind w:left="0" w:right="60" w:hanging="2"/>
              <w:rPr>
                <w:color w:val="010205"/>
                <w:sz w:val="16"/>
                <w:szCs w:val="16"/>
              </w:rPr>
            </w:pPr>
          </w:p>
        </w:tc>
      </w:tr>
      <w:tr w:rsidR="006E2F24" w14:paraId="41C117B8" w14:textId="77777777">
        <w:trPr>
          <w:gridAfter w:val="2"/>
          <w:wAfter w:w="2206" w:type="dxa"/>
          <w:cantSplit/>
          <w:trHeight w:val="228"/>
        </w:trPr>
        <w:tc>
          <w:tcPr>
            <w:tcW w:w="7332" w:type="dxa"/>
            <w:gridSpan w:val="12"/>
            <w:tcBorders>
              <w:top w:val="nil"/>
              <w:left w:val="nil"/>
              <w:bottom w:val="nil"/>
              <w:right w:val="nil"/>
            </w:tcBorders>
            <w:shd w:val="clear" w:color="auto" w:fill="FFFFFF"/>
          </w:tcPr>
          <w:p w14:paraId="659FB028" w14:textId="77777777" w:rsidR="006E2F24" w:rsidRDefault="0044495C">
            <w:pPr>
              <w:spacing w:after="0"/>
              <w:ind w:left="0" w:right="60" w:hanging="2"/>
              <w:rPr>
                <w:color w:val="010205"/>
                <w:sz w:val="16"/>
                <w:szCs w:val="16"/>
              </w:rPr>
            </w:pPr>
            <w:r>
              <w:rPr>
                <w:color w:val="010205"/>
                <w:sz w:val="16"/>
                <w:szCs w:val="16"/>
              </w:rPr>
              <w:lastRenderedPageBreak/>
              <w:t>c. El estadístico estandarizado es -2.246.</w:t>
            </w:r>
          </w:p>
          <w:p w14:paraId="3A35EC90" w14:textId="77777777" w:rsidR="006E2F24" w:rsidRDefault="006E2F24">
            <w:pPr>
              <w:spacing w:after="0"/>
              <w:ind w:left="0" w:right="60" w:hanging="2"/>
              <w:rPr>
                <w:color w:val="010205"/>
                <w:sz w:val="16"/>
                <w:szCs w:val="16"/>
              </w:rPr>
            </w:pPr>
          </w:p>
        </w:tc>
      </w:tr>
    </w:tbl>
    <w:p w14:paraId="27B7CBA8" w14:textId="2ECBC77D" w:rsidR="006E2F24" w:rsidRDefault="0044495C">
      <w:pPr>
        <w:keepNext/>
        <w:keepLines/>
        <w:pBdr>
          <w:top w:val="nil"/>
          <w:left w:val="nil"/>
          <w:bottom w:val="nil"/>
          <w:right w:val="nil"/>
          <w:between w:val="nil"/>
        </w:pBdr>
        <w:spacing w:line="240" w:lineRule="auto"/>
        <w:ind w:left="0" w:hanging="2"/>
        <w:rPr>
          <w:b/>
          <w:color w:val="000000"/>
          <w:sz w:val="24"/>
          <w:szCs w:val="24"/>
          <w:highlight w:val="yellow"/>
        </w:rPr>
      </w:pPr>
      <w:r>
        <w:rPr>
          <w:color w:val="010205"/>
          <w:sz w:val="24"/>
          <w:szCs w:val="24"/>
        </w:rPr>
        <w:t>Así mismo</w:t>
      </w:r>
      <w:r w:rsidR="00646969">
        <w:rPr>
          <w:color w:val="010205"/>
          <w:sz w:val="24"/>
          <w:szCs w:val="24"/>
        </w:rPr>
        <w:t>,</w:t>
      </w:r>
      <w:r>
        <w:rPr>
          <w:color w:val="010205"/>
          <w:sz w:val="24"/>
          <w:szCs w:val="24"/>
        </w:rPr>
        <w:t xml:space="preserve"> el resultado del análisis de la prueba Chi-cuadrado presenta valores próximos a cero, demostrando una coherencia entre las variables analizadas, siendo claro el impacto que genera el estado de salud mental sobre la aprobación y permanencia de los estudiantes en su proceso formativo y desarrollo integral de 39</w:t>
      </w:r>
      <w:r w:rsidR="00466E50">
        <w:rPr>
          <w:color w:val="010205"/>
          <w:sz w:val="24"/>
          <w:szCs w:val="24"/>
        </w:rPr>
        <w:t>7</w:t>
      </w:r>
      <w:r>
        <w:rPr>
          <w:color w:val="010205"/>
          <w:sz w:val="24"/>
          <w:szCs w:val="24"/>
        </w:rPr>
        <w:t xml:space="preserve"> estudiantes, que han recibido atención desde un modelo psicosocial, en un acompañamiento desde el modelo de atención de telepsicología</w:t>
      </w:r>
    </w:p>
    <w:p w14:paraId="510CAF64" w14:textId="77777777" w:rsidR="006E2F24" w:rsidRDefault="0044495C">
      <w:pPr>
        <w:keepNext/>
        <w:keepLines/>
        <w:pBdr>
          <w:top w:val="nil"/>
          <w:left w:val="nil"/>
          <w:bottom w:val="nil"/>
          <w:right w:val="nil"/>
          <w:between w:val="nil"/>
        </w:pBdr>
        <w:shd w:val="clear" w:color="auto" w:fill="FFFFFF"/>
        <w:spacing w:line="240" w:lineRule="auto"/>
        <w:ind w:left="0" w:hanging="2"/>
        <w:rPr>
          <w:b/>
          <w:color w:val="000000"/>
          <w:sz w:val="24"/>
          <w:szCs w:val="24"/>
          <w:shd w:val="clear" w:color="auto" w:fill="F9F9FB"/>
        </w:rPr>
      </w:pPr>
      <w:r>
        <w:rPr>
          <w:b/>
          <w:color w:val="000000"/>
          <w:sz w:val="24"/>
          <w:szCs w:val="24"/>
          <w:shd w:val="clear" w:color="auto" w:fill="F9F9FB"/>
        </w:rPr>
        <w:t xml:space="preserve">4. Conclusiones </w:t>
      </w:r>
    </w:p>
    <w:p w14:paraId="6EB1747B" w14:textId="55A3F593" w:rsidR="006E2F24" w:rsidRDefault="0044495C">
      <w:pPr>
        <w:keepNext/>
        <w:keepLines/>
        <w:pBdr>
          <w:top w:val="nil"/>
          <w:left w:val="nil"/>
          <w:bottom w:val="nil"/>
          <w:right w:val="nil"/>
          <w:between w:val="nil"/>
        </w:pBdr>
        <w:shd w:val="clear" w:color="auto" w:fill="FFFFFF"/>
        <w:spacing w:line="240" w:lineRule="auto"/>
        <w:ind w:left="0" w:hanging="2"/>
        <w:rPr>
          <w:sz w:val="24"/>
          <w:szCs w:val="24"/>
          <w:shd w:val="clear" w:color="auto" w:fill="F9F9FB"/>
        </w:rPr>
      </w:pPr>
      <w:r>
        <w:rPr>
          <w:sz w:val="24"/>
          <w:szCs w:val="24"/>
          <w:shd w:val="clear" w:color="auto" w:fill="F9F9FB"/>
        </w:rPr>
        <w:t>La presente investigación</w:t>
      </w:r>
      <w:r w:rsidR="00646969">
        <w:rPr>
          <w:sz w:val="24"/>
          <w:szCs w:val="24"/>
          <w:shd w:val="clear" w:color="auto" w:fill="F9F9FB"/>
        </w:rPr>
        <w:t>,</w:t>
      </w:r>
      <w:r>
        <w:rPr>
          <w:sz w:val="24"/>
          <w:szCs w:val="24"/>
          <w:shd w:val="clear" w:color="auto" w:fill="F9F9FB"/>
        </w:rPr>
        <w:t xml:space="preserve"> permite fortalecer las estrategias dirigidas a aumentar la retención y permanencia de los estudiantes en sus procesos de aprendizaje, desde la consolidación de las competencias personales y profesionales</w:t>
      </w:r>
      <w:r w:rsidR="00646969">
        <w:rPr>
          <w:sz w:val="24"/>
          <w:szCs w:val="24"/>
          <w:shd w:val="clear" w:color="auto" w:fill="F9F9FB"/>
        </w:rPr>
        <w:t xml:space="preserve"> y </w:t>
      </w:r>
      <w:r>
        <w:rPr>
          <w:sz w:val="24"/>
          <w:szCs w:val="24"/>
          <w:shd w:val="clear" w:color="auto" w:fill="F9F9FB"/>
        </w:rPr>
        <w:t>principalmente en el mejoramiento de la calidad de vida y su salud mental, reflejando un impacto positivo en la retención y continuidad de su proceso formativo, dejando una evidencia del 77,6% de continuidad académica en casos atendidos de alta complejidad y 66,9% en casos atendidos de baja complejidad, lo que indica un impacto positivo en términos generales del servicios de atención psicosocial por medio de la estrategia de telepsicología, este modelo es efectivo en la medida que parte de la identificación de las necesidades de los estudiantes en el ámbito de la salud mental y aspectos relacionados con los problemas que enfrentan en la interacción con los diferentes contextos, el hábito académico y la necesidad del desarrollo de un proyecto de vida y formativo para el beneficio personal y familiar</w:t>
      </w:r>
    </w:p>
    <w:p w14:paraId="28CE74C4" w14:textId="7DC99B58" w:rsidR="006E2F24" w:rsidRDefault="0044495C">
      <w:pPr>
        <w:keepNext/>
        <w:keepLines/>
        <w:pBdr>
          <w:top w:val="nil"/>
          <w:left w:val="nil"/>
          <w:bottom w:val="nil"/>
          <w:right w:val="nil"/>
          <w:between w:val="nil"/>
        </w:pBdr>
        <w:shd w:val="clear" w:color="auto" w:fill="FFFFFF"/>
        <w:spacing w:line="240" w:lineRule="auto"/>
        <w:ind w:left="0" w:hanging="2"/>
        <w:rPr>
          <w:sz w:val="24"/>
          <w:szCs w:val="24"/>
          <w:shd w:val="clear" w:color="auto" w:fill="F9F9FB"/>
        </w:rPr>
      </w:pPr>
      <w:r>
        <w:rPr>
          <w:sz w:val="24"/>
          <w:szCs w:val="24"/>
          <w:shd w:val="clear" w:color="auto" w:fill="F9F9FB"/>
        </w:rPr>
        <w:t>Los análisis estadísticos muestra correlación alta entre las variables de salud mental en proceso de intervención en alta y baja complejidad, frente a la continuidad del proceso formativo, identificando como la dificultades en el campo de la salud mental afecta su participación activa en el proceso de formación llevando a la pérdida, deserción y abandono,</w:t>
      </w:r>
      <w:r w:rsidR="00466E50">
        <w:rPr>
          <w:sz w:val="24"/>
          <w:szCs w:val="24"/>
          <w:shd w:val="clear" w:color="auto" w:fill="F9F9FB"/>
        </w:rPr>
        <w:t xml:space="preserve"> debido a las dificultades que representa en el desarrollo de las actividades académicas </w:t>
      </w:r>
      <w:r w:rsidR="00CD613E">
        <w:rPr>
          <w:sz w:val="24"/>
          <w:szCs w:val="24"/>
          <w:shd w:val="clear" w:color="auto" w:fill="F9F9FB"/>
        </w:rPr>
        <w:t xml:space="preserve">tener </w:t>
      </w:r>
      <w:r w:rsidR="00466E50">
        <w:rPr>
          <w:sz w:val="24"/>
          <w:szCs w:val="24"/>
          <w:shd w:val="clear" w:color="auto" w:fill="F9F9FB"/>
        </w:rPr>
        <w:t>estados alterados a nivel cognitivo, emocional y comportamental, pues resulta difícil y en algunos c</w:t>
      </w:r>
      <w:r w:rsidR="002302F6">
        <w:rPr>
          <w:sz w:val="24"/>
          <w:szCs w:val="24"/>
          <w:shd w:val="clear" w:color="auto" w:fill="F9F9FB"/>
        </w:rPr>
        <w:t>a</w:t>
      </w:r>
      <w:r w:rsidR="00466E50">
        <w:rPr>
          <w:sz w:val="24"/>
          <w:szCs w:val="24"/>
          <w:shd w:val="clear" w:color="auto" w:fill="F9F9FB"/>
        </w:rPr>
        <w:t>sos imposible, destinar tiempo y energía al estudio</w:t>
      </w:r>
      <w:r w:rsidR="002302F6">
        <w:rPr>
          <w:sz w:val="24"/>
          <w:szCs w:val="24"/>
          <w:shd w:val="clear" w:color="auto" w:fill="F9F9FB"/>
        </w:rPr>
        <w:t xml:space="preserve"> cuando los signos y síntomas de las diferentes enfermedades de tipo mental obligan al estudiante al aislamiento, a alejarse de sus proyectos, </w:t>
      </w:r>
      <w:r w:rsidR="00CD613E">
        <w:rPr>
          <w:sz w:val="24"/>
          <w:szCs w:val="24"/>
          <w:shd w:val="clear" w:color="auto" w:fill="F9F9FB"/>
        </w:rPr>
        <w:t>a</w:t>
      </w:r>
      <w:r w:rsidR="002302F6">
        <w:rPr>
          <w:sz w:val="24"/>
          <w:szCs w:val="24"/>
          <w:shd w:val="clear" w:color="auto" w:fill="F9F9FB"/>
        </w:rPr>
        <w:t xml:space="preserve"> quedarse en la desesperanza, tristeza o  ansiedad</w:t>
      </w:r>
      <w:r w:rsidR="00CD613E">
        <w:rPr>
          <w:sz w:val="24"/>
          <w:szCs w:val="24"/>
          <w:shd w:val="clear" w:color="auto" w:fill="F9F9FB"/>
        </w:rPr>
        <w:t>, perpetuando sus pensamiento y distorsiones cognitivas disfuncionales, de minusvalía, desesperanza o de fracaso, generando frustración ante las exigencias educativas</w:t>
      </w:r>
      <w:r w:rsidR="00E85204">
        <w:rPr>
          <w:sz w:val="24"/>
          <w:szCs w:val="24"/>
          <w:shd w:val="clear" w:color="auto" w:fill="F9F9FB"/>
        </w:rPr>
        <w:t>, llevando al fracaso y deserción académica,</w:t>
      </w:r>
      <w:r w:rsidR="00CD613E">
        <w:rPr>
          <w:sz w:val="24"/>
          <w:szCs w:val="24"/>
          <w:shd w:val="clear" w:color="auto" w:fill="F9F9FB"/>
        </w:rPr>
        <w:t xml:space="preserve">  </w:t>
      </w:r>
      <w:r>
        <w:rPr>
          <w:sz w:val="24"/>
          <w:szCs w:val="24"/>
          <w:shd w:val="clear" w:color="auto" w:fill="F9F9FB"/>
        </w:rPr>
        <w:t>por tanto es importante la implementación de este tipo de actividades de intervención y acompañamiento,</w:t>
      </w:r>
      <w:r w:rsidR="00CD613E">
        <w:rPr>
          <w:sz w:val="24"/>
          <w:szCs w:val="24"/>
          <w:shd w:val="clear" w:color="auto" w:fill="F9F9FB"/>
        </w:rPr>
        <w:t xml:space="preserve"> ya que se logra por medio de las diferentes estrategias de </w:t>
      </w:r>
      <w:proofErr w:type="spellStart"/>
      <w:r w:rsidR="00646969">
        <w:rPr>
          <w:sz w:val="24"/>
          <w:szCs w:val="24"/>
          <w:shd w:val="clear" w:color="auto" w:fill="F9F9FB"/>
        </w:rPr>
        <w:t>acompañaiento</w:t>
      </w:r>
      <w:proofErr w:type="spellEnd"/>
      <w:r w:rsidR="00CD613E">
        <w:rPr>
          <w:sz w:val="24"/>
          <w:szCs w:val="24"/>
          <w:shd w:val="clear" w:color="auto" w:fill="F9F9FB"/>
        </w:rPr>
        <w:t xml:space="preserve"> individual en línea, el fomento de  la autogestión </w:t>
      </w:r>
      <w:r w:rsidR="00E85204">
        <w:rPr>
          <w:sz w:val="24"/>
          <w:szCs w:val="24"/>
          <w:shd w:val="clear" w:color="auto" w:fill="F9F9FB"/>
        </w:rPr>
        <w:t>de sus dificultades, para el afrontamiento efectivo, resolución de problemas y la toma de decisiones frente a su continuidad académica</w:t>
      </w:r>
      <w:r w:rsidR="00436171">
        <w:rPr>
          <w:sz w:val="24"/>
          <w:szCs w:val="24"/>
          <w:shd w:val="clear" w:color="auto" w:fill="F9F9FB"/>
        </w:rPr>
        <w:t>, demostrando el impacto positivo de la atención psicosocial en línea para el mejoramiento de la salud mental y calidad de vida de los estudiantes que solicitan estos servicios</w:t>
      </w:r>
      <w:r w:rsidR="00E85204">
        <w:rPr>
          <w:sz w:val="24"/>
          <w:szCs w:val="24"/>
          <w:shd w:val="clear" w:color="auto" w:fill="F9F9FB"/>
        </w:rPr>
        <w:t>.</w:t>
      </w:r>
    </w:p>
    <w:p w14:paraId="13625434" w14:textId="77777777" w:rsidR="006E2F24" w:rsidRDefault="006E2F24">
      <w:pPr>
        <w:keepNext/>
        <w:keepLines/>
        <w:pBdr>
          <w:top w:val="nil"/>
          <w:left w:val="nil"/>
          <w:bottom w:val="nil"/>
          <w:right w:val="nil"/>
          <w:between w:val="nil"/>
        </w:pBdr>
        <w:shd w:val="clear" w:color="auto" w:fill="FFFFFF"/>
        <w:spacing w:line="240" w:lineRule="auto"/>
        <w:ind w:left="0" w:hanging="2"/>
        <w:rPr>
          <w:color w:val="000000"/>
          <w:sz w:val="24"/>
          <w:szCs w:val="24"/>
          <w:shd w:val="clear" w:color="auto" w:fill="F9F9FB"/>
        </w:rPr>
      </w:pPr>
    </w:p>
    <w:p w14:paraId="3E450FEE" w14:textId="77777777" w:rsidR="006E2F24" w:rsidRDefault="0044495C">
      <w:pPr>
        <w:shd w:val="clear" w:color="auto" w:fill="FFFFFF"/>
        <w:ind w:left="0" w:hanging="2"/>
        <w:rPr>
          <w:sz w:val="24"/>
          <w:szCs w:val="24"/>
        </w:rPr>
      </w:pPr>
      <w:r>
        <w:rPr>
          <w:b/>
          <w:sz w:val="24"/>
          <w:szCs w:val="24"/>
        </w:rPr>
        <w:t>Referencias</w:t>
      </w:r>
    </w:p>
    <w:p w14:paraId="7A80EA69" w14:textId="77777777" w:rsidR="006E2F24" w:rsidRDefault="006E2F24">
      <w:pPr>
        <w:shd w:val="clear" w:color="auto" w:fill="FFFFFF"/>
        <w:ind w:left="0" w:hanging="2"/>
        <w:rPr>
          <w:sz w:val="24"/>
          <w:szCs w:val="24"/>
          <w:highlight w:val="yellow"/>
        </w:rPr>
      </w:pPr>
    </w:p>
    <w:p w14:paraId="27CE6C4A" w14:textId="71D09D9F" w:rsidR="006E2F24" w:rsidRPr="00466E50" w:rsidRDefault="0044495C">
      <w:pPr>
        <w:shd w:val="clear" w:color="auto" w:fill="FFFFFF"/>
        <w:ind w:left="0" w:hanging="2"/>
        <w:rPr>
          <w:sz w:val="24"/>
          <w:szCs w:val="24"/>
          <w:highlight w:val="yellow"/>
        </w:rPr>
      </w:pPr>
      <w:proofErr w:type="spellStart"/>
      <w:r w:rsidRPr="00466E50">
        <w:rPr>
          <w:rFonts w:eastAsia="Arial"/>
          <w:sz w:val="24"/>
          <w:szCs w:val="24"/>
          <w:highlight w:val="white"/>
        </w:rPr>
        <w:t>Cuamba</w:t>
      </w:r>
      <w:proofErr w:type="spellEnd"/>
      <w:r w:rsidRPr="00466E50">
        <w:rPr>
          <w:rFonts w:eastAsia="Arial"/>
          <w:sz w:val="24"/>
          <w:szCs w:val="24"/>
          <w:highlight w:val="white"/>
        </w:rPr>
        <w:t xml:space="preserve"> Osorio, N., &amp; Zazueta Sánchez, N. A. (2020). Salud mental, habilidades de afrontamiento y rendimiento académico en estudiantes universitarios. </w:t>
      </w:r>
      <w:proofErr w:type="spellStart"/>
      <w:r w:rsidRPr="00466E50">
        <w:rPr>
          <w:rFonts w:eastAsia="Arial"/>
          <w:i/>
          <w:sz w:val="24"/>
          <w:szCs w:val="24"/>
          <w:highlight w:val="white"/>
        </w:rPr>
        <w:t>Psicumex</w:t>
      </w:r>
      <w:proofErr w:type="spellEnd"/>
      <w:r w:rsidRPr="00466E50">
        <w:rPr>
          <w:rFonts w:eastAsia="Arial"/>
          <w:sz w:val="24"/>
          <w:szCs w:val="24"/>
          <w:highlight w:val="white"/>
        </w:rPr>
        <w:t xml:space="preserve">, </w:t>
      </w:r>
      <w:r w:rsidRPr="00466E50">
        <w:rPr>
          <w:rFonts w:eastAsia="Arial"/>
          <w:i/>
          <w:sz w:val="24"/>
          <w:szCs w:val="24"/>
          <w:highlight w:val="white"/>
        </w:rPr>
        <w:t>10</w:t>
      </w:r>
      <w:r w:rsidRPr="00466E50">
        <w:rPr>
          <w:rFonts w:eastAsia="Arial"/>
          <w:sz w:val="24"/>
          <w:szCs w:val="24"/>
          <w:highlight w:val="white"/>
        </w:rPr>
        <w:t xml:space="preserve">(2), 71-94. Recuperado a partir de </w:t>
      </w:r>
      <w:hyperlink r:id="rId14">
        <w:r w:rsidRPr="00466E50">
          <w:rPr>
            <w:rFonts w:eastAsia="Arial"/>
            <w:sz w:val="24"/>
            <w:szCs w:val="24"/>
            <w:highlight w:val="white"/>
          </w:rPr>
          <w:t>Salud mental, habilidades de afrontamiento y rendimiento académico en estudiantes universitarios (scielo.org.mx)</w:t>
        </w:r>
      </w:hyperlink>
      <w:r w:rsidRPr="00466E50">
        <w:rPr>
          <w:sz w:val="24"/>
          <w:szCs w:val="24"/>
          <w:highlight w:val="yellow"/>
        </w:rPr>
        <w:t xml:space="preserve"> </w:t>
      </w:r>
    </w:p>
    <w:p w14:paraId="351D14F8" w14:textId="77777777" w:rsidR="006E2F24" w:rsidRPr="00466E50" w:rsidRDefault="0044495C">
      <w:pPr>
        <w:shd w:val="clear" w:color="auto" w:fill="FFFFFF"/>
        <w:ind w:left="0" w:hanging="2"/>
        <w:rPr>
          <w:sz w:val="24"/>
          <w:szCs w:val="24"/>
          <w:highlight w:val="yellow"/>
        </w:rPr>
      </w:pPr>
      <w:r w:rsidRPr="00466E50">
        <w:rPr>
          <w:rFonts w:eastAsia="Arial"/>
          <w:sz w:val="24"/>
          <w:szCs w:val="24"/>
          <w:highlight w:val="white"/>
        </w:rPr>
        <w:t xml:space="preserve">Guerrero Barona, E., &amp; Rubio Jiménez, J. C. (2005). Estrategias de prevención e intervención del “burnout” en el ámbito educativo. </w:t>
      </w:r>
      <w:r w:rsidRPr="00466E50">
        <w:rPr>
          <w:rFonts w:eastAsia="Arial"/>
          <w:i/>
          <w:sz w:val="24"/>
          <w:szCs w:val="24"/>
          <w:highlight w:val="white"/>
        </w:rPr>
        <w:t>Salud mental</w:t>
      </w:r>
      <w:r w:rsidRPr="00466E50">
        <w:rPr>
          <w:rFonts w:eastAsia="Arial"/>
          <w:sz w:val="24"/>
          <w:szCs w:val="24"/>
          <w:highlight w:val="white"/>
        </w:rPr>
        <w:t xml:space="preserve">, </w:t>
      </w:r>
      <w:r w:rsidRPr="00466E50">
        <w:rPr>
          <w:rFonts w:eastAsia="Arial"/>
          <w:i/>
          <w:sz w:val="24"/>
          <w:szCs w:val="24"/>
          <w:highlight w:val="white"/>
        </w:rPr>
        <w:t>28</w:t>
      </w:r>
      <w:r w:rsidRPr="00466E50">
        <w:rPr>
          <w:rFonts w:eastAsia="Arial"/>
          <w:sz w:val="24"/>
          <w:szCs w:val="24"/>
          <w:highlight w:val="white"/>
        </w:rPr>
        <w:t xml:space="preserve">(5), 27-33. Recuperado a partir de </w:t>
      </w:r>
      <w:hyperlink r:id="rId15">
        <w:r w:rsidRPr="00466E50">
          <w:rPr>
            <w:rFonts w:eastAsia="Arial"/>
            <w:sz w:val="24"/>
            <w:szCs w:val="24"/>
            <w:highlight w:val="white"/>
          </w:rPr>
          <w:t>https://www.scielo.org.mx/scielo.php?pid=S0185-33252005000500027&amp;script=sci_abstract&amp;tlng=pt</w:t>
        </w:r>
      </w:hyperlink>
      <w:r w:rsidRPr="00466E50">
        <w:rPr>
          <w:rFonts w:eastAsia="Arial"/>
          <w:sz w:val="24"/>
          <w:szCs w:val="24"/>
          <w:highlight w:val="white"/>
        </w:rPr>
        <w:t xml:space="preserve"> </w:t>
      </w:r>
    </w:p>
    <w:p w14:paraId="37BA4FE0" w14:textId="77777777" w:rsidR="006E2F24" w:rsidRPr="00466E50" w:rsidRDefault="0044495C">
      <w:pPr>
        <w:shd w:val="clear" w:color="auto" w:fill="FFFFFF"/>
        <w:spacing w:before="240" w:after="240"/>
        <w:ind w:left="0" w:hanging="2"/>
        <w:jc w:val="left"/>
        <w:rPr>
          <w:sz w:val="24"/>
          <w:szCs w:val="24"/>
        </w:rPr>
      </w:pPr>
      <w:r w:rsidRPr="00466E50">
        <w:rPr>
          <w:rFonts w:eastAsia="Arial"/>
          <w:sz w:val="24"/>
          <w:szCs w:val="24"/>
          <w:highlight w:val="white"/>
        </w:rPr>
        <w:lastRenderedPageBreak/>
        <w:t xml:space="preserve">González Correa, A., &amp; Hernández Ramírez, E. M. (1). Diferencias entre los niveles de ansiedad en estudiantes de pregrado de ingeniería de la Universidad de Antioquia, 2017. </w:t>
      </w:r>
      <w:r w:rsidRPr="00466E50">
        <w:rPr>
          <w:i/>
          <w:sz w:val="24"/>
          <w:szCs w:val="24"/>
          <w:highlight w:val="white"/>
        </w:rPr>
        <w:t>Congresos CLABES</w:t>
      </w:r>
      <w:r w:rsidRPr="00466E50">
        <w:rPr>
          <w:sz w:val="24"/>
          <w:szCs w:val="24"/>
          <w:highlight w:val="white"/>
        </w:rPr>
        <w:t>. Recuperado a partir de https://revistas.utp.ac.pa/index.php/clabes/article/view/1678</w:t>
      </w:r>
    </w:p>
    <w:p w14:paraId="01971FCB" w14:textId="77777777" w:rsidR="006E2F24" w:rsidRPr="00466E50" w:rsidRDefault="0044495C">
      <w:pPr>
        <w:shd w:val="clear" w:color="auto" w:fill="FFFFFF"/>
        <w:spacing w:before="240" w:after="240"/>
        <w:ind w:left="0" w:hanging="2"/>
        <w:jc w:val="left"/>
        <w:rPr>
          <w:sz w:val="24"/>
          <w:szCs w:val="24"/>
        </w:rPr>
      </w:pPr>
      <w:r w:rsidRPr="00466E50">
        <w:rPr>
          <w:sz w:val="24"/>
          <w:szCs w:val="24"/>
        </w:rPr>
        <w:t xml:space="preserve">Marte, Rafael &amp; Fabian, Lamec. (2021). Determinantes de la deserción universitaria: un estudio de caso en la República Dominicana. </w:t>
      </w:r>
      <w:proofErr w:type="spellStart"/>
      <w:r w:rsidRPr="00466E50">
        <w:rPr>
          <w:sz w:val="24"/>
          <w:szCs w:val="24"/>
        </w:rPr>
        <w:t>Sapienza</w:t>
      </w:r>
      <w:proofErr w:type="spellEnd"/>
      <w:r w:rsidRPr="00466E50">
        <w:rPr>
          <w:sz w:val="24"/>
          <w:szCs w:val="24"/>
        </w:rPr>
        <w:t xml:space="preserve">: International </w:t>
      </w:r>
      <w:proofErr w:type="spellStart"/>
      <w:r w:rsidRPr="00466E50">
        <w:rPr>
          <w:sz w:val="24"/>
          <w:szCs w:val="24"/>
        </w:rPr>
        <w:t>Journal</w:t>
      </w:r>
      <w:proofErr w:type="spellEnd"/>
      <w:r w:rsidRPr="00466E50">
        <w:rPr>
          <w:sz w:val="24"/>
          <w:szCs w:val="24"/>
        </w:rPr>
        <w:t xml:space="preserve"> </w:t>
      </w:r>
      <w:proofErr w:type="spellStart"/>
      <w:r w:rsidRPr="00466E50">
        <w:rPr>
          <w:sz w:val="24"/>
          <w:szCs w:val="24"/>
        </w:rPr>
        <w:t>of</w:t>
      </w:r>
      <w:proofErr w:type="spellEnd"/>
      <w:r w:rsidRPr="00466E50">
        <w:rPr>
          <w:sz w:val="24"/>
          <w:szCs w:val="24"/>
        </w:rPr>
        <w:t xml:space="preserve"> </w:t>
      </w:r>
      <w:proofErr w:type="spellStart"/>
      <w:r w:rsidRPr="00466E50">
        <w:rPr>
          <w:sz w:val="24"/>
          <w:szCs w:val="24"/>
        </w:rPr>
        <w:t>Interdisciplinary</w:t>
      </w:r>
      <w:proofErr w:type="spellEnd"/>
      <w:r w:rsidRPr="00466E50">
        <w:rPr>
          <w:sz w:val="24"/>
          <w:szCs w:val="24"/>
        </w:rPr>
        <w:t xml:space="preserve"> </w:t>
      </w:r>
      <w:proofErr w:type="spellStart"/>
      <w:r w:rsidRPr="00466E50">
        <w:rPr>
          <w:sz w:val="24"/>
          <w:szCs w:val="24"/>
        </w:rPr>
        <w:t>Studies</w:t>
      </w:r>
      <w:proofErr w:type="spellEnd"/>
      <w:r w:rsidRPr="00466E50">
        <w:rPr>
          <w:sz w:val="24"/>
          <w:szCs w:val="24"/>
        </w:rPr>
        <w:t>. 2. 255-268. 10.51798/</w:t>
      </w:r>
      <w:proofErr w:type="gramStart"/>
      <w:r w:rsidRPr="00466E50">
        <w:rPr>
          <w:sz w:val="24"/>
          <w:szCs w:val="24"/>
        </w:rPr>
        <w:t>sijis.v</w:t>
      </w:r>
      <w:proofErr w:type="gramEnd"/>
      <w:r w:rsidRPr="00466E50">
        <w:rPr>
          <w:sz w:val="24"/>
          <w:szCs w:val="24"/>
        </w:rPr>
        <w:t>2i1.76.</w:t>
      </w:r>
    </w:p>
    <w:p w14:paraId="1DAB52F0" w14:textId="77777777" w:rsidR="006E2F24" w:rsidRPr="00466E50" w:rsidRDefault="0044495C">
      <w:pPr>
        <w:shd w:val="clear" w:color="auto" w:fill="FFFFFF"/>
        <w:spacing w:before="240" w:after="240"/>
        <w:ind w:left="0" w:hanging="2"/>
        <w:jc w:val="left"/>
        <w:rPr>
          <w:sz w:val="24"/>
          <w:szCs w:val="24"/>
        </w:rPr>
      </w:pPr>
      <w:r w:rsidRPr="00466E50">
        <w:rPr>
          <w:sz w:val="24"/>
          <w:szCs w:val="24"/>
        </w:rPr>
        <w:t xml:space="preserve">Mogollón-Canal OM, Villamizar-Carrillo DJ, Padilla-Sarmiento </w:t>
      </w:r>
      <w:proofErr w:type="spellStart"/>
      <w:proofErr w:type="gramStart"/>
      <w:r w:rsidRPr="00466E50">
        <w:rPr>
          <w:sz w:val="24"/>
          <w:szCs w:val="24"/>
        </w:rPr>
        <w:t>SL.Salud</w:t>
      </w:r>
      <w:proofErr w:type="spellEnd"/>
      <w:proofErr w:type="gramEnd"/>
      <w:r w:rsidRPr="00466E50">
        <w:rPr>
          <w:sz w:val="24"/>
          <w:szCs w:val="24"/>
        </w:rPr>
        <w:t xml:space="preserve"> mental en la educación superior: una mirada desde la salud pública. Rev. </w:t>
      </w:r>
      <w:proofErr w:type="spellStart"/>
      <w:r w:rsidRPr="00466E50">
        <w:rPr>
          <w:sz w:val="24"/>
          <w:szCs w:val="24"/>
        </w:rPr>
        <w:t>cienc</w:t>
      </w:r>
      <w:proofErr w:type="spellEnd"/>
      <w:r w:rsidRPr="00466E50">
        <w:rPr>
          <w:sz w:val="24"/>
          <w:szCs w:val="24"/>
        </w:rPr>
        <w:t>. cuidad. 2016; 13(1): 103-120.</w:t>
      </w:r>
    </w:p>
    <w:p w14:paraId="509990C3" w14:textId="77777777" w:rsidR="006E2F24" w:rsidRPr="00466E50" w:rsidRDefault="0044495C">
      <w:pPr>
        <w:shd w:val="clear" w:color="auto" w:fill="FFFFFF"/>
        <w:spacing w:before="240" w:after="240"/>
        <w:ind w:left="0" w:hanging="2"/>
        <w:jc w:val="left"/>
        <w:rPr>
          <w:sz w:val="24"/>
          <w:szCs w:val="24"/>
          <w:vertAlign w:val="superscript"/>
        </w:rPr>
      </w:pPr>
      <w:r w:rsidRPr="00466E50">
        <w:rPr>
          <w:sz w:val="24"/>
          <w:szCs w:val="24"/>
        </w:rPr>
        <w:t xml:space="preserve">Palacio, Sañudo, J y Martínez de </w:t>
      </w:r>
      <w:proofErr w:type="spellStart"/>
      <w:r w:rsidRPr="00466E50">
        <w:rPr>
          <w:sz w:val="24"/>
          <w:szCs w:val="24"/>
        </w:rPr>
        <w:t>Biava</w:t>
      </w:r>
      <w:proofErr w:type="spellEnd"/>
      <w:r w:rsidRPr="00466E50">
        <w:rPr>
          <w:sz w:val="24"/>
          <w:szCs w:val="24"/>
        </w:rPr>
        <w:t xml:space="preserve">, Y (2007) RELACIÓN DEL RENDIMIENTO ACADÉMICO CON LA SALUD MENTAL EN JÓVENES UNIVERSITARIOS, </w:t>
      </w:r>
      <w:proofErr w:type="spellStart"/>
      <w:r w:rsidRPr="00466E50">
        <w:rPr>
          <w:sz w:val="24"/>
          <w:szCs w:val="24"/>
        </w:rPr>
        <w:t>Psicogente</w:t>
      </w:r>
      <w:proofErr w:type="spellEnd"/>
      <w:r w:rsidRPr="00466E50">
        <w:rPr>
          <w:sz w:val="24"/>
          <w:szCs w:val="24"/>
        </w:rPr>
        <w:t>, 10 (18):  pp. 113-128.  Noviembre, 2007.  Universidad Simón Bolívar.  Barranquilla, Colombia. ISSN: 0124-0137, recuperado en</w:t>
      </w:r>
      <w:r w:rsidRPr="00466E50">
        <w:rPr>
          <w:sz w:val="24"/>
          <w:szCs w:val="24"/>
          <w:vertAlign w:val="superscript"/>
        </w:rPr>
        <w:t xml:space="preserve"> http://revistas.unisimon.edu.co/index.php/psicogente/article/view/1556/1517</w:t>
      </w:r>
    </w:p>
    <w:p w14:paraId="2E536A6F" w14:textId="77777777" w:rsidR="006E2F24" w:rsidRPr="00466E50" w:rsidRDefault="0044495C">
      <w:pPr>
        <w:shd w:val="clear" w:color="auto" w:fill="FFFFFF"/>
        <w:spacing w:before="240" w:after="240"/>
        <w:ind w:left="0" w:hanging="2"/>
        <w:jc w:val="left"/>
        <w:rPr>
          <w:sz w:val="24"/>
          <w:szCs w:val="24"/>
        </w:rPr>
      </w:pPr>
      <w:r w:rsidRPr="00466E50">
        <w:rPr>
          <w:sz w:val="24"/>
          <w:szCs w:val="24"/>
        </w:rPr>
        <w:t xml:space="preserve"> Suárez, N y Díaz Luz (2014) Estrés académico, deserción y estrategias de retención de estudiantes en la educación superior</w:t>
      </w:r>
      <w:r w:rsidRPr="00466E50">
        <w:rPr>
          <w:sz w:val="24"/>
          <w:szCs w:val="24"/>
          <w:vertAlign w:val="superscript"/>
        </w:rPr>
        <w:t xml:space="preserve">, </w:t>
      </w:r>
      <w:r w:rsidRPr="00466E50">
        <w:rPr>
          <w:sz w:val="24"/>
          <w:szCs w:val="24"/>
        </w:rPr>
        <w:t xml:space="preserve">Rev. salud pública. 17 (2): 300-313, DOI: </w:t>
      </w:r>
      <w:hyperlink r:id="rId16">
        <w:r w:rsidRPr="00466E50">
          <w:rPr>
            <w:sz w:val="24"/>
            <w:szCs w:val="24"/>
          </w:rPr>
          <w:t>http://dx.doi.org/10.15446/rsap.v17n2.52891</w:t>
        </w:r>
      </w:hyperlink>
    </w:p>
    <w:p w14:paraId="51270189" w14:textId="77777777" w:rsidR="006E2F24" w:rsidRPr="00466E50" w:rsidRDefault="0044495C">
      <w:pPr>
        <w:shd w:val="clear" w:color="auto" w:fill="FFFFFF"/>
        <w:spacing w:before="240" w:after="240"/>
        <w:ind w:left="0" w:hanging="2"/>
        <w:jc w:val="left"/>
        <w:rPr>
          <w:sz w:val="24"/>
          <w:szCs w:val="24"/>
          <w:vertAlign w:val="subscript"/>
        </w:rPr>
      </w:pPr>
      <w:r w:rsidRPr="00466E50">
        <w:rPr>
          <w:sz w:val="24"/>
          <w:szCs w:val="24"/>
        </w:rPr>
        <w:t>Universidad Nacional Abierta y a Distancia Consejo Superior Universitario - Secretaría General (2019), ACUERDO 039 DEL 3 DE DICIEMBRE DE 2019, Por el cual se modifica el Estatuto Organizacional de la Universidad Nacional Abierta y a Distancia (UNAD), recuperado de</w:t>
      </w:r>
      <w:r w:rsidRPr="00466E50">
        <w:rPr>
          <w:sz w:val="24"/>
          <w:szCs w:val="24"/>
          <w:vertAlign w:val="subscript"/>
        </w:rPr>
        <w:t xml:space="preserve"> </w:t>
      </w:r>
      <w:hyperlink r:id="rId17">
        <w:r w:rsidRPr="00466E50">
          <w:rPr>
            <w:sz w:val="24"/>
            <w:szCs w:val="24"/>
            <w:vertAlign w:val="subscript"/>
          </w:rPr>
          <w:t>https://sgeneral.unad.edu.co/images/documentos/consejoSuperior/acuerdos/2019/COSU_ACUE_039_20190312_V_02.pdf</w:t>
        </w:r>
      </w:hyperlink>
      <w:r w:rsidRPr="00466E50">
        <w:rPr>
          <w:sz w:val="24"/>
          <w:szCs w:val="24"/>
          <w:vertAlign w:val="subscript"/>
        </w:rPr>
        <w:t>.</w:t>
      </w:r>
    </w:p>
    <w:p w14:paraId="6072BD1C" w14:textId="26B49C99" w:rsidR="006E2F24" w:rsidRPr="00466E50" w:rsidRDefault="0044495C">
      <w:pPr>
        <w:shd w:val="clear" w:color="auto" w:fill="FFFFFF"/>
        <w:spacing w:before="240" w:after="240"/>
        <w:ind w:left="0" w:hanging="2"/>
        <w:jc w:val="left"/>
        <w:rPr>
          <w:sz w:val="24"/>
          <w:szCs w:val="24"/>
          <w:vertAlign w:val="subscript"/>
        </w:rPr>
      </w:pPr>
      <w:r w:rsidRPr="00466E50">
        <w:rPr>
          <w:sz w:val="24"/>
          <w:szCs w:val="24"/>
        </w:rPr>
        <w:t xml:space="preserve">Universidad Nacional Abierta y a Distancia Consejo Superior Universitario - Secretaría General (2018), ACUERDO 002 DEL 30 DE ENERO DE 2018, Por la cual se establece la Política Institucional de </w:t>
      </w:r>
      <w:proofErr w:type="spellStart"/>
      <w:r w:rsidRPr="00466E50">
        <w:rPr>
          <w:sz w:val="24"/>
          <w:szCs w:val="24"/>
        </w:rPr>
        <w:t>Retecnión</w:t>
      </w:r>
      <w:proofErr w:type="spellEnd"/>
      <w:r w:rsidRPr="00466E50">
        <w:rPr>
          <w:sz w:val="24"/>
          <w:szCs w:val="24"/>
        </w:rPr>
        <w:t xml:space="preserve"> y Permanencia Estudiantil y se Adopta el plan Institucional de acogida y permanencia diferencial en la Universidad Nacional Abierta y a Distancia (UNAD), recuperado </w:t>
      </w:r>
      <w:proofErr w:type="gramStart"/>
      <w:r w:rsidRPr="00466E50">
        <w:rPr>
          <w:sz w:val="24"/>
          <w:szCs w:val="24"/>
        </w:rPr>
        <w:t>de</w:t>
      </w:r>
      <w:r w:rsidRPr="00466E50">
        <w:rPr>
          <w:sz w:val="24"/>
          <w:szCs w:val="24"/>
          <w:vertAlign w:val="subscript"/>
        </w:rPr>
        <w:t xml:space="preserve">  </w:t>
      </w:r>
      <w:r w:rsidR="00A131A2" w:rsidRPr="00A131A2">
        <w:rPr>
          <w:sz w:val="24"/>
          <w:szCs w:val="24"/>
        </w:rPr>
        <w:t>sgeneral.unad.edu.co/images/documentos/consejoSuperior/acuerdos/2018/COSU_ACUE_002_20180130.pdf</w:t>
      </w:r>
      <w:proofErr w:type="gramEnd"/>
      <w:r w:rsidR="00A131A2" w:rsidRPr="00A131A2">
        <w:rPr>
          <w:sz w:val="24"/>
          <w:szCs w:val="24"/>
        </w:rPr>
        <w:t xml:space="preserve"> </w:t>
      </w:r>
      <w:r w:rsidRPr="00A131A2">
        <w:rPr>
          <w:sz w:val="24"/>
          <w:szCs w:val="24"/>
        </w:rPr>
        <w:t>https://</w:t>
      </w:r>
      <w:r w:rsidR="00A131A2">
        <w:rPr>
          <w:sz w:val="24"/>
          <w:szCs w:val="24"/>
          <w:vertAlign w:val="subscript"/>
        </w:rPr>
        <w:t xml:space="preserve"> </w:t>
      </w:r>
    </w:p>
    <w:p w14:paraId="2CCDBAEF" w14:textId="77777777" w:rsidR="006E2F24" w:rsidRPr="00466E50" w:rsidRDefault="0044495C">
      <w:pPr>
        <w:shd w:val="clear" w:color="auto" w:fill="FFFFFF"/>
        <w:spacing w:before="240" w:after="240"/>
        <w:ind w:left="0" w:hanging="2"/>
        <w:jc w:val="left"/>
        <w:rPr>
          <w:sz w:val="24"/>
          <w:szCs w:val="24"/>
        </w:rPr>
      </w:pPr>
      <w:r w:rsidRPr="00466E50">
        <w:rPr>
          <w:sz w:val="24"/>
          <w:szCs w:val="24"/>
        </w:rPr>
        <w:t xml:space="preserve">Vera Cala, L. M., Niño García, J. A., Porras Saldarriaga, A. M., Durán Sandoval, J. N., Delgado Chávez, P. A., Caballero Badillo, M. C. y Navarro Rueda, J. P. (mayo-agosto, 2020). Salud mental y deserción en una población universitaria con bajo rendimiento académico. Revista Virtual Universidad Católica del Norte, (60), 137-158. https://www.doi.org/10.35575/rvucn.n60a8 </w:t>
      </w:r>
    </w:p>
    <w:p w14:paraId="6B891B8B" w14:textId="77777777" w:rsidR="006E2F24" w:rsidRDefault="006E2F24">
      <w:pPr>
        <w:ind w:left="0" w:hanging="2"/>
      </w:pPr>
    </w:p>
    <w:p w14:paraId="05F29098" w14:textId="77777777" w:rsidR="006E2F24" w:rsidRDefault="006E2F24">
      <w:pPr>
        <w:keepNext/>
        <w:keepLines/>
        <w:pBdr>
          <w:top w:val="nil"/>
          <w:left w:val="nil"/>
          <w:bottom w:val="nil"/>
          <w:right w:val="nil"/>
          <w:between w:val="nil"/>
        </w:pBdr>
        <w:spacing w:line="240" w:lineRule="auto"/>
        <w:ind w:left="0" w:hanging="2"/>
        <w:rPr>
          <w:b/>
          <w:color w:val="000000"/>
          <w:sz w:val="24"/>
          <w:szCs w:val="24"/>
        </w:rPr>
      </w:pPr>
    </w:p>
    <w:sectPr w:rsidR="006E2F24">
      <w:headerReference w:type="even" r:id="rId18"/>
      <w:headerReference w:type="default" r:id="rId19"/>
      <w:footerReference w:type="even" r:id="rId20"/>
      <w:footerReference w:type="default" r:id="rId21"/>
      <w:headerReference w:type="first" r:id="rId22"/>
      <w:footerReference w:type="first" r:id="rId23"/>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72F0" w14:textId="77777777" w:rsidR="000E7BCB" w:rsidRDefault="000E7BCB">
      <w:pPr>
        <w:spacing w:after="0" w:line="240" w:lineRule="auto"/>
        <w:ind w:left="0" w:hanging="2"/>
      </w:pPr>
      <w:r>
        <w:separator/>
      </w:r>
    </w:p>
  </w:endnote>
  <w:endnote w:type="continuationSeparator" w:id="0">
    <w:p w14:paraId="12239F11" w14:textId="77777777" w:rsidR="000E7BCB" w:rsidRDefault="000E7B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4825" w14:textId="77777777" w:rsidR="006E2F24" w:rsidRDefault="006E2F24">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343D" w14:textId="77777777" w:rsidR="006E2F24" w:rsidRDefault="006E2F24">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DD3B" w14:textId="77777777" w:rsidR="006E2F24" w:rsidRDefault="006E2F2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2F63FDB8" w14:textId="77777777" w:rsidR="006E2F24" w:rsidRDefault="0044495C">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0CAA1582" wp14:editId="7407E02F">
          <wp:simplePos x="0" y="0"/>
          <wp:positionH relativeFrom="column">
            <wp:posOffset>426719</wp:posOffset>
          </wp:positionH>
          <wp:positionV relativeFrom="paragraph">
            <wp:posOffset>-632</wp:posOffset>
          </wp:positionV>
          <wp:extent cx="5399405" cy="716280"/>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6D30619C" wp14:editId="741D854B">
          <wp:simplePos x="0" y="0"/>
          <wp:positionH relativeFrom="column">
            <wp:posOffset>289560</wp:posOffset>
          </wp:positionH>
          <wp:positionV relativeFrom="paragraph">
            <wp:posOffset>212725</wp:posOffset>
          </wp:positionV>
          <wp:extent cx="1313815" cy="39624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8C3B" w14:textId="77777777" w:rsidR="000E7BCB" w:rsidRDefault="000E7BCB">
      <w:pPr>
        <w:spacing w:after="0" w:line="240" w:lineRule="auto"/>
        <w:ind w:left="0" w:hanging="2"/>
      </w:pPr>
      <w:r>
        <w:separator/>
      </w:r>
    </w:p>
  </w:footnote>
  <w:footnote w:type="continuationSeparator" w:id="0">
    <w:p w14:paraId="67DFE269" w14:textId="77777777" w:rsidR="000E7BCB" w:rsidRDefault="000E7BC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A738" w14:textId="77777777" w:rsidR="006E2F24" w:rsidRDefault="006E2F24">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0697" w14:textId="77777777" w:rsidR="006E2F24" w:rsidRDefault="006E2F24">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F0D8" w14:textId="77777777" w:rsidR="006E2F24" w:rsidRDefault="0044495C">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0610384C" wp14:editId="374C7ED2">
          <wp:simplePos x="0" y="0"/>
          <wp:positionH relativeFrom="column">
            <wp:posOffset>-712467</wp:posOffset>
          </wp:positionH>
          <wp:positionV relativeFrom="paragraph">
            <wp:posOffset>-457196</wp:posOffset>
          </wp:positionV>
          <wp:extent cx="7574280" cy="1737360"/>
          <wp:effectExtent l="0" t="0" r="0" b="0"/>
          <wp:wrapTopAndBottom distT="0" dist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83D"/>
    <w:multiLevelType w:val="multilevel"/>
    <w:tmpl w:val="22963F90"/>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394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24"/>
    <w:rsid w:val="000E7BCB"/>
    <w:rsid w:val="0012194B"/>
    <w:rsid w:val="00123E28"/>
    <w:rsid w:val="0013416D"/>
    <w:rsid w:val="001F6A79"/>
    <w:rsid w:val="002302F6"/>
    <w:rsid w:val="00293B19"/>
    <w:rsid w:val="002B28BF"/>
    <w:rsid w:val="002C1AD6"/>
    <w:rsid w:val="003203C3"/>
    <w:rsid w:val="00341CE1"/>
    <w:rsid w:val="003F3D25"/>
    <w:rsid w:val="00426613"/>
    <w:rsid w:val="0042663F"/>
    <w:rsid w:val="00436171"/>
    <w:rsid w:val="0044495C"/>
    <w:rsid w:val="00466E50"/>
    <w:rsid w:val="00583820"/>
    <w:rsid w:val="0060622B"/>
    <w:rsid w:val="00646969"/>
    <w:rsid w:val="006A1324"/>
    <w:rsid w:val="006E2F24"/>
    <w:rsid w:val="00702FF0"/>
    <w:rsid w:val="007D0C3C"/>
    <w:rsid w:val="009A27FF"/>
    <w:rsid w:val="00A131A2"/>
    <w:rsid w:val="00AF4A8D"/>
    <w:rsid w:val="00BF7915"/>
    <w:rsid w:val="00C2067C"/>
    <w:rsid w:val="00CA3433"/>
    <w:rsid w:val="00CD613E"/>
    <w:rsid w:val="00D61019"/>
    <w:rsid w:val="00D67147"/>
    <w:rsid w:val="00DC1A9D"/>
    <w:rsid w:val="00DD7A36"/>
    <w:rsid w:val="00DF6253"/>
    <w:rsid w:val="00DF6C66"/>
    <w:rsid w:val="00E10B1C"/>
    <w:rsid w:val="00E70195"/>
    <w:rsid w:val="00E77B4B"/>
    <w:rsid w:val="00E85204"/>
    <w:rsid w:val="00EA6EC9"/>
    <w:rsid w:val="00EE10F0"/>
    <w:rsid w:val="00F679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158F"/>
  <w15:docId w15:val="{5DA80AA0-F2D6-4C46-8783-4DAA1BD6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1">
    <w:name w:val="Table Normal1"/>
    <w:next w:val="TableNormal2"/>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1">
    <w:name w:val="Fuente de párrafo predeter.1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styleId="Mencinsinresolver">
    <w:name w:val="Unresolved Mention"/>
    <w:basedOn w:val="Fuentedeprrafopredeter"/>
    <w:uiPriority w:val="99"/>
    <w:semiHidden/>
    <w:unhideWhenUsed/>
    <w:rsid w:val="00AF5E0D"/>
    <w:rPr>
      <w:color w:val="605E5C"/>
      <w:shd w:val="clear" w:color="auto" w:fill="E1DFDD"/>
    </w:rPr>
  </w:style>
  <w:style w:type="table" w:customStyle="1" w:styleId="4">
    <w:name w:val="4"/>
    <w:basedOn w:val="TableNormal3"/>
    <w:tblPr>
      <w:tblStyleRowBandSize w:val="1"/>
      <w:tblStyleColBandSize w:val="1"/>
    </w:tblPr>
  </w:style>
  <w:style w:type="table" w:customStyle="1" w:styleId="3">
    <w:name w:val="3"/>
    <w:basedOn w:val="TableNormal3"/>
    <w:tblPr>
      <w:tblStyleRowBandSize w:val="1"/>
      <w:tblStyleColBandSize w:val="1"/>
    </w:tblPr>
  </w:style>
  <w:style w:type="table" w:customStyle="1" w:styleId="2">
    <w:name w:val="2"/>
    <w:basedOn w:val="TableNormal4"/>
    <w:tblPr>
      <w:tblStyleRowBandSize w:val="1"/>
      <w:tblStyleColBandSize w:val="1"/>
    </w:tblPr>
  </w:style>
  <w:style w:type="table" w:customStyle="1" w:styleId="1">
    <w:name w:val="1"/>
    <w:basedOn w:val="TableNormal4"/>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7263">
      <w:bodyDiv w:val="1"/>
      <w:marLeft w:val="0"/>
      <w:marRight w:val="0"/>
      <w:marTop w:val="0"/>
      <w:marBottom w:val="0"/>
      <w:divBdr>
        <w:top w:val="none" w:sz="0" w:space="0" w:color="auto"/>
        <w:left w:val="none" w:sz="0" w:space="0" w:color="auto"/>
        <w:bottom w:val="none" w:sz="0" w:space="0" w:color="auto"/>
        <w:right w:val="none" w:sz="0" w:space="0" w:color="auto"/>
      </w:divBdr>
    </w:div>
    <w:div w:id="102085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ego.zubieta@unad.edu.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odrigo.liz@unad.edu.co" TargetMode="External"/><Relationship Id="rId17" Type="http://schemas.openxmlformats.org/officeDocument/2006/relationships/hyperlink" Target="https://sgeneral.unad.edu.co/images/documentos/consejoSuperior/acuerdos/2019/COSU_ACUE_039_20190312_V_0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x.doi.org/10.15446/rsap.v17n2.528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ielo.org.mx/scielo.php?pid=S0185-33252005000500027&amp;script=sci_abstract&amp;tlng=p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lo.org.mx/scielo.php?script=sci_arttext&amp;pid=S2007-59362020000200071"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C4C63C4139442B287F0F8C19A8F17" ma:contentTypeVersion="8" ma:contentTypeDescription="Create a new document." ma:contentTypeScope="" ma:versionID="39a15c0f775eb61f870b689e6561d4c7">
  <xsd:schema xmlns:xsd="http://www.w3.org/2001/XMLSchema" xmlns:xs="http://www.w3.org/2001/XMLSchema" xmlns:p="http://schemas.microsoft.com/office/2006/metadata/properties" xmlns:ns3="05a63318-d60d-4ef9-9dd2-6af477a3f4eb" xmlns:ns4="1d95d178-d918-4fe5-bf39-281e493a1429" targetNamespace="http://schemas.microsoft.com/office/2006/metadata/properties" ma:root="true" ma:fieldsID="c08b7d8ca56d637b3b7504062583088e" ns3:_="" ns4:_="">
    <xsd:import namespace="05a63318-d60d-4ef9-9dd2-6af477a3f4eb"/>
    <xsd:import namespace="1d95d178-d918-4fe5-bf39-281e493a14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63318-d60d-4ef9-9dd2-6af477a3f4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d178-d918-4fe5-bf39-281e493a14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KPGM12xbZoIIBDyL5cnwicNYhYw==">AMUW2mUgi8gMxwzJCii4tEUGaX+oWMyWE4Jl4gsKZ8toR+9cEVmvnrIaPziZkfoDKjoREuC0MEO3asOx+JibKxdfN+JFqZK1JFhm3SWKJGSMg7NL1SU+a9E+jIpEfzsULiSERpRCFddSEeElGGUMnX0xMEy4B+HOHg==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7216F-2F8A-4D95-B3E1-E39BD62200F6}">
  <ds:schemaRefs>
    <ds:schemaRef ds:uri="http://schemas.microsoft.com/sharepoint/v3/contenttype/forms"/>
  </ds:schemaRefs>
</ds:datastoreItem>
</file>

<file path=customXml/itemProps2.xml><?xml version="1.0" encoding="utf-8"?>
<ds:datastoreItem xmlns:ds="http://schemas.openxmlformats.org/officeDocument/2006/customXml" ds:itemID="{B424F7D7-B006-49AC-A424-3505CF685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63318-d60d-4ef9-9dd2-6af477a3f4eb"/>
    <ds:schemaRef ds:uri="1d95d178-d918-4fe5-bf39-281e493a1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56996AE-987E-42A6-B1A4-21551E898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3760</Words>
  <Characters>20681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Arriaga</dc:creator>
  <cp:keywords/>
  <dc:description/>
  <cp:lastModifiedBy>Rodrigo Eliseo Liz Bernal</cp:lastModifiedBy>
  <cp:revision>2</cp:revision>
  <dcterms:created xsi:type="dcterms:W3CDTF">2022-10-21T20:22:00Z</dcterms:created>
  <dcterms:modified xsi:type="dcterms:W3CDTF">2022-10-21T20:22:00Z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0x010100B89C4C63C4139442B287F0F8C19A8F17</vt:lpwstr>
  </property>
</Properties>
</file>