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808C3" w14:textId="77777777" w:rsidR="008875A7" w:rsidRDefault="00C0588E">
      <w:pPr>
        <w:jc w:val="center"/>
        <w:rPr>
          <w:rFonts w:ascii="Times New Roman" w:eastAsia="Times New Roman" w:hAnsi="Times New Roman" w:cs="Times New Roman"/>
          <w:sz w:val="28"/>
          <w:szCs w:val="28"/>
        </w:rPr>
      </w:pPr>
      <w:r>
        <w:rPr>
          <w:noProof/>
        </w:rPr>
        <w:drawing>
          <wp:anchor distT="0" distB="0" distL="0" distR="0" simplePos="0" relativeHeight="251658240" behindDoc="1" locked="0" layoutInCell="1" hidden="0" allowOverlap="1" wp14:anchorId="4BC4078B" wp14:editId="5C1B4BDB">
            <wp:simplePos x="0" y="0"/>
            <wp:positionH relativeFrom="column">
              <wp:posOffset>-1238885</wp:posOffset>
            </wp:positionH>
            <wp:positionV relativeFrom="paragraph">
              <wp:posOffset>-1078497</wp:posOffset>
            </wp:positionV>
            <wp:extent cx="7753350" cy="10844489"/>
            <wp:effectExtent l="0" t="0" r="0" b="0"/>
            <wp:wrapNone/>
            <wp:docPr id="4" name="image1.png" descr="Padrão do plano de fund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Padrão do plano de fundo&#10;&#10;Descrição gerada automaticamente"/>
                    <pic:cNvPicPr preferRelativeResize="0"/>
                  </pic:nvPicPr>
                  <pic:blipFill>
                    <a:blip r:embed="rId5"/>
                    <a:srcRect/>
                    <a:stretch>
                      <a:fillRect/>
                    </a:stretch>
                  </pic:blipFill>
                  <pic:spPr>
                    <a:xfrm>
                      <a:off x="0" y="0"/>
                      <a:ext cx="7753350" cy="10844489"/>
                    </a:xfrm>
                    <a:prstGeom prst="rect">
                      <a:avLst/>
                    </a:prstGeom>
                    <a:ln/>
                  </pic:spPr>
                </pic:pic>
              </a:graphicData>
            </a:graphic>
          </wp:anchor>
        </w:drawing>
      </w:r>
    </w:p>
    <w:p w14:paraId="4124FF40" w14:textId="77777777" w:rsidR="008875A7" w:rsidRDefault="008875A7">
      <w:pPr>
        <w:jc w:val="center"/>
        <w:rPr>
          <w:rFonts w:ascii="Times New Roman" w:eastAsia="Times New Roman" w:hAnsi="Times New Roman" w:cs="Times New Roman"/>
          <w:sz w:val="28"/>
          <w:szCs w:val="28"/>
        </w:rPr>
      </w:pPr>
    </w:p>
    <w:p w14:paraId="43610EFE" w14:textId="77777777" w:rsidR="008875A7" w:rsidRDefault="00C0588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OS BENEFÍCIOS DA NUTRIÇÃO PARENTERAL EM PACIENTES ONCOLÓGICOS: REVISÃO DE LITERATURA</w:t>
      </w:r>
    </w:p>
    <w:p w14:paraId="7D8910D1" w14:textId="74CBC83B" w:rsidR="008875A7" w:rsidRPr="00BD4566" w:rsidRDefault="00C0588E">
      <w:pPr>
        <w:spacing w:line="240" w:lineRule="auto"/>
        <w:jc w:val="both"/>
        <w:rPr>
          <w:rFonts w:ascii="Times New Roman" w:eastAsia="Times New Roman" w:hAnsi="Times New Roman" w:cs="Times New Roman"/>
          <w:strike/>
          <w:color w:val="000000"/>
          <w:sz w:val="24"/>
          <w:szCs w:val="24"/>
        </w:rPr>
      </w:pPr>
      <w:r w:rsidRPr="007E5CC6">
        <w:rPr>
          <w:rFonts w:ascii="Times New Roman" w:eastAsia="Times New Roman" w:hAnsi="Times New Roman" w:cs="Times New Roman"/>
          <w:b/>
          <w:color w:val="000000"/>
          <w:sz w:val="24"/>
          <w:szCs w:val="24"/>
        </w:rPr>
        <w:t xml:space="preserve">INTRODUÇÃO: </w:t>
      </w:r>
      <w:r w:rsidR="003D5484" w:rsidRPr="007E5CC6">
        <w:rPr>
          <w:rFonts w:ascii="Times New Roman" w:eastAsia="Times New Roman" w:hAnsi="Times New Roman" w:cs="Times New Roman"/>
          <w:sz w:val="24"/>
          <w:szCs w:val="24"/>
        </w:rPr>
        <w:t>A nutrição parenteral</w:t>
      </w:r>
      <w:r w:rsidR="00690F67" w:rsidRPr="007E5CC6">
        <w:rPr>
          <w:rFonts w:ascii="Times New Roman" w:eastAsia="Times New Roman" w:hAnsi="Times New Roman" w:cs="Times New Roman"/>
          <w:sz w:val="24"/>
          <w:szCs w:val="24"/>
        </w:rPr>
        <w:t xml:space="preserve"> (NP)</w:t>
      </w:r>
      <w:r w:rsidR="003D5484" w:rsidRPr="007E5CC6">
        <w:rPr>
          <w:rFonts w:ascii="Times New Roman" w:eastAsia="Times New Roman" w:hAnsi="Times New Roman" w:cs="Times New Roman"/>
          <w:sz w:val="24"/>
          <w:szCs w:val="24"/>
        </w:rPr>
        <w:t xml:space="preserve"> é um tipo de suporte nutricional que consiste na administração de nutrientes diretamente na corrente sanguínea, por meio de um cateter venoso central ou periférico, sem passar pelo sistema gastrointestinal. Em pacientes oncológicos, a nutrição parenteral pode ser uma opção viável para suprir as necessidades nutricionais, especialmente em casos de obstrução gastrointestinal, </w:t>
      </w:r>
      <w:proofErr w:type="spellStart"/>
      <w:r w:rsidR="003D5484" w:rsidRPr="007E5CC6">
        <w:rPr>
          <w:rFonts w:ascii="Times New Roman" w:eastAsia="Times New Roman" w:hAnsi="Times New Roman" w:cs="Times New Roman"/>
          <w:sz w:val="24"/>
          <w:szCs w:val="24"/>
        </w:rPr>
        <w:t>mucosite</w:t>
      </w:r>
      <w:proofErr w:type="spellEnd"/>
      <w:r w:rsidR="003D5484" w:rsidRPr="007E5CC6">
        <w:rPr>
          <w:rFonts w:ascii="Times New Roman" w:eastAsia="Times New Roman" w:hAnsi="Times New Roman" w:cs="Times New Roman"/>
          <w:sz w:val="24"/>
          <w:szCs w:val="24"/>
        </w:rPr>
        <w:t xml:space="preserve"> e anorexia</w:t>
      </w:r>
      <w:r w:rsidR="007E5CC6" w:rsidRPr="007E5CC6">
        <w:rPr>
          <w:rFonts w:ascii="Times New Roman" w:eastAsia="Times New Roman" w:hAnsi="Times New Roman" w:cs="Times New Roman"/>
          <w:sz w:val="24"/>
          <w:szCs w:val="24"/>
        </w:rPr>
        <w:t xml:space="preserve">. </w:t>
      </w:r>
      <w:r w:rsidRPr="007E5CC6">
        <w:rPr>
          <w:rFonts w:ascii="Times New Roman" w:eastAsia="Times New Roman" w:hAnsi="Times New Roman" w:cs="Times New Roman"/>
          <w:sz w:val="24"/>
          <w:szCs w:val="24"/>
        </w:rPr>
        <w:t xml:space="preserve">Embora seja </w:t>
      </w:r>
      <w:r w:rsidR="00724262">
        <w:rPr>
          <w:rFonts w:ascii="Times New Roman" w:eastAsia="Times New Roman" w:hAnsi="Times New Roman" w:cs="Times New Roman"/>
          <w:sz w:val="24"/>
          <w:szCs w:val="24"/>
        </w:rPr>
        <w:t>um</w:t>
      </w:r>
      <w:r w:rsidRPr="007E5CC6">
        <w:rPr>
          <w:rFonts w:ascii="Times New Roman" w:eastAsia="Times New Roman" w:hAnsi="Times New Roman" w:cs="Times New Roman"/>
          <w:sz w:val="24"/>
          <w:szCs w:val="24"/>
        </w:rPr>
        <w:t xml:space="preserve"> método invasivo, em determinados casos</w:t>
      </w:r>
      <w:r w:rsidR="00445E95">
        <w:rPr>
          <w:rFonts w:ascii="Times New Roman" w:eastAsia="Times New Roman" w:hAnsi="Times New Roman" w:cs="Times New Roman"/>
          <w:sz w:val="24"/>
          <w:szCs w:val="24"/>
        </w:rPr>
        <w:t xml:space="preserve"> de desnutrição ou disfunção</w:t>
      </w:r>
      <w:r w:rsidRPr="007E5CC6">
        <w:rPr>
          <w:rFonts w:ascii="Times New Roman" w:eastAsia="Times New Roman" w:hAnsi="Times New Roman" w:cs="Times New Roman"/>
          <w:sz w:val="24"/>
          <w:szCs w:val="24"/>
        </w:rPr>
        <w:t xml:space="preserve"> pode representar a única maneira de nutrir</w:t>
      </w:r>
      <w:r w:rsidR="00D849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man</w:t>
      </w:r>
      <w:r w:rsidR="00D84955">
        <w:rPr>
          <w:rFonts w:ascii="Times New Roman" w:eastAsia="Times New Roman" w:hAnsi="Times New Roman" w:cs="Times New Roman"/>
          <w:sz w:val="24"/>
          <w:szCs w:val="24"/>
        </w:rPr>
        <w:t xml:space="preserve">ter </w:t>
      </w:r>
      <w:r>
        <w:rPr>
          <w:rFonts w:ascii="Times New Roman" w:eastAsia="Times New Roman" w:hAnsi="Times New Roman" w:cs="Times New Roman"/>
          <w:sz w:val="24"/>
          <w:szCs w:val="24"/>
        </w:rPr>
        <w:t>peso corporal e fornec</w:t>
      </w:r>
      <w:r w:rsidR="00EE331A">
        <w:rPr>
          <w:rFonts w:ascii="Times New Roman" w:eastAsia="Times New Roman" w:hAnsi="Times New Roman" w:cs="Times New Roman"/>
          <w:sz w:val="24"/>
          <w:szCs w:val="24"/>
        </w:rPr>
        <w:t xml:space="preserve">er </w:t>
      </w:r>
      <w:r>
        <w:rPr>
          <w:rFonts w:ascii="Times New Roman" w:eastAsia="Times New Roman" w:hAnsi="Times New Roman" w:cs="Times New Roman"/>
          <w:sz w:val="24"/>
          <w:szCs w:val="24"/>
        </w:rPr>
        <w:t>micronutrientes fundamentais</w:t>
      </w:r>
      <w:r w:rsidR="00EE33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amparando a saúde desse paciente. </w:t>
      </w:r>
      <w:r>
        <w:rPr>
          <w:rFonts w:ascii="Times New Roman" w:eastAsia="Times New Roman" w:hAnsi="Times New Roman" w:cs="Times New Roman"/>
          <w:b/>
          <w:color w:val="000000"/>
          <w:sz w:val="24"/>
          <w:szCs w:val="24"/>
        </w:rPr>
        <w:t>OBJETIVO</w:t>
      </w:r>
      <w:r>
        <w:rPr>
          <w:rFonts w:ascii="Times New Roman" w:eastAsia="Times New Roman" w:hAnsi="Times New Roman" w:cs="Times New Roman"/>
          <w:color w:val="000000"/>
          <w:sz w:val="24"/>
          <w:szCs w:val="24"/>
        </w:rPr>
        <w:t>: Analisar os benefícios da NP em pacientes oncológicos.</w:t>
      </w:r>
      <w:r>
        <w:rPr>
          <w:rFonts w:ascii="Times New Roman" w:eastAsia="Times New Roman" w:hAnsi="Times New Roman" w:cs="Times New Roman"/>
          <w:b/>
          <w:color w:val="000000"/>
          <w:sz w:val="24"/>
          <w:szCs w:val="24"/>
        </w:rPr>
        <w:t xml:space="preserve"> METODOLOGIA: </w:t>
      </w:r>
      <w:r>
        <w:rPr>
          <w:rFonts w:ascii="Times New Roman" w:eastAsia="Times New Roman" w:hAnsi="Times New Roman" w:cs="Times New Roman"/>
          <w:color w:val="000000"/>
          <w:sz w:val="24"/>
          <w:szCs w:val="24"/>
        </w:rPr>
        <w:t>Trata-se de um estudo de revisão integrativa da literatura que seguiu a estratégia PICO. Com isso, realizou-se</w:t>
      </w:r>
      <w:r w:rsidR="00A6062D">
        <w:rPr>
          <w:rFonts w:ascii="Times New Roman" w:eastAsia="Times New Roman" w:hAnsi="Times New Roman" w:cs="Times New Roman"/>
          <w:color w:val="000000"/>
          <w:sz w:val="24"/>
          <w:szCs w:val="24"/>
        </w:rPr>
        <w:t xml:space="preserve"> uma</w:t>
      </w:r>
      <w:r>
        <w:rPr>
          <w:rFonts w:ascii="Times New Roman" w:eastAsia="Times New Roman" w:hAnsi="Times New Roman" w:cs="Times New Roman"/>
          <w:color w:val="000000"/>
          <w:sz w:val="24"/>
          <w:szCs w:val="24"/>
        </w:rPr>
        <w:t xml:space="preserve"> busca nas bases de dados </w:t>
      </w:r>
      <w:proofErr w:type="spellStart"/>
      <w:r>
        <w:rPr>
          <w:rFonts w:ascii="Times New Roman" w:eastAsia="Times New Roman" w:hAnsi="Times New Roman" w:cs="Times New Roman"/>
          <w:i/>
          <w:color w:val="000000"/>
          <w:sz w:val="24"/>
          <w:szCs w:val="24"/>
        </w:rPr>
        <w:t>National</w:t>
      </w:r>
      <w:proofErr w:type="spellEnd"/>
      <w:r>
        <w:rPr>
          <w:rFonts w:ascii="Times New Roman" w:eastAsia="Times New Roman" w:hAnsi="Times New Roman" w:cs="Times New Roman"/>
          <w:i/>
          <w:color w:val="000000"/>
          <w:sz w:val="24"/>
          <w:szCs w:val="24"/>
        </w:rPr>
        <w:t xml:space="preserve"> Library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Medicine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National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Institutes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Health</w:t>
      </w:r>
      <w:r>
        <w:rPr>
          <w:rFonts w:ascii="Times New Roman" w:eastAsia="Times New Roman" w:hAnsi="Times New Roman" w:cs="Times New Roman"/>
          <w:color w:val="000000"/>
          <w:sz w:val="24"/>
          <w:szCs w:val="24"/>
        </w:rPr>
        <w:t xml:space="preserve"> (PUBMED) e Biblioteca Virtual em Saúde (BVS)</w:t>
      </w:r>
      <w:r w:rsidR="0003709D" w:rsidRPr="0003709D">
        <w:rPr>
          <w:rFonts w:ascii="Times New Roman" w:eastAsia="Times New Roman" w:hAnsi="Times New Roman" w:cs="Times New Roman"/>
          <w:color w:val="000000"/>
          <w:sz w:val="24"/>
          <w:szCs w:val="24"/>
        </w:rPr>
        <w:t xml:space="preserve"> </w:t>
      </w:r>
      <w:r w:rsidR="00A6062D">
        <w:rPr>
          <w:rFonts w:ascii="Times New Roman" w:eastAsia="Times New Roman" w:hAnsi="Times New Roman" w:cs="Times New Roman"/>
          <w:color w:val="000000"/>
          <w:sz w:val="24"/>
          <w:szCs w:val="24"/>
        </w:rPr>
        <w:t xml:space="preserve">entre </w:t>
      </w:r>
      <w:r w:rsidR="0003709D">
        <w:rPr>
          <w:rFonts w:ascii="Times New Roman" w:eastAsia="Times New Roman" w:hAnsi="Times New Roman" w:cs="Times New Roman"/>
          <w:color w:val="000000"/>
          <w:sz w:val="24"/>
          <w:szCs w:val="24"/>
        </w:rPr>
        <w:t xml:space="preserve">os artigos </w:t>
      </w:r>
      <w:r w:rsidR="00A6062D">
        <w:rPr>
          <w:rFonts w:ascii="Times New Roman" w:eastAsia="Times New Roman" w:hAnsi="Times New Roman" w:cs="Times New Roman"/>
          <w:color w:val="000000"/>
          <w:sz w:val="24"/>
          <w:szCs w:val="24"/>
        </w:rPr>
        <w:t>d</w:t>
      </w:r>
      <w:r w:rsidR="0003709D">
        <w:rPr>
          <w:rFonts w:ascii="Times New Roman" w:eastAsia="Times New Roman" w:hAnsi="Times New Roman" w:cs="Times New Roman"/>
          <w:color w:val="000000"/>
          <w:sz w:val="24"/>
          <w:szCs w:val="24"/>
        </w:rPr>
        <w:t>os últimos cinco ano</w:t>
      </w:r>
      <w:r w:rsidR="003250B5">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Foram utilizados os descritores “Nutrição Parenteral"; "Neoplasia" e "Câncer", bem como os seus respectivos termos em inglês. A busca integrativa resultou em 1</w:t>
      </w:r>
      <w:r w:rsidR="00E60CF1">
        <w:rPr>
          <w:rFonts w:ascii="Times New Roman" w:eastAsia="Times New Roman" w:hAnsi="Times New Roman" w:cs="Times New Roman"/>
          <w:color w:val="000000"/>
          <w:sz w:val="24"/>
          <w:szCs w:val="24"/>
        </w:rPr>
        <w:t>34</w:t>
      </w:r>
      <w:r>
        <w:rPr>
          <w:rFonts w:ascii="Times New Roman" w:eastAsia="Times New Roman" w:hAnsi="Times New Roman" w:cs="Times New Roman"/>
          <w:color w:val="000000"/>
          <w:sz w:val="24"/>
          <w:szCs w:val="24"/>
        </w:rPr>
        <w:t xml:space="preserve"> artigos. Após a exclusão dos artigos que não condiziam com o objetivo dessa revisão de literatura, como também de trabalhos repetidos nas d</w:t>
      </w:r>
      <w:r>
        <w:rPr>
          <w:rFonts w:ascii="Times New Roman" w:eastAsia="Times New Roman" w:hAnsi="Times New Roman" w:cs="Times New Roman"/>
          <w:sz w:val="24"/>
          <w:szCs w:val="24"/>
        </w:rPr>
        <w:t>uas</w:t>
      </w:r>
      <w:r>
        <w:rPr>
          <w:rFonts w:ascii="Times New Roman" w:eastAsia="Times New Roman" w:hAnsi="Times New Roman" w:cs="Times New Roman"/>
          <w:color w:val="000000"/>
          <w:sz w:val="24"/>
          <w:szCs w:val="24"/>
        </w:rPr>
        <w:t xml:space="preserve"> bases, foram incluídos </w:t>
      </w:r>
      <w:r w:rsidR="00D9089F">
        <w:rPr>
          <w:rFonts w:ascii="Times New Roman" w:eastAsia="Times New Roman" w:hAnsi="Times New Roman" w:cs="Times New Roman"/>
          <w:sz w:val="24"/>
          <w:szCs w:val="24"/>
        </w:rPr>
        <w:t xml:space="preserve">25 </w:t>
      </w:r>
      <w:r>
        <w:rPr>
          <w:rFonts w:ascii="Times New Roman" w:eastAsia="Times New Roman" w:hAnsi="Times New Roman" w:cs="Times New Roman"/>
          <w:color w:val="000000"/>
          <w:sz w:val="24"/>
          <w:szCs w:val="24"/>
        </w:rPr>
        <w:t xml:space="preserve">estudos. </w:t>
      </w:r>
      <w:r>
        <w:rPr>
          <w:rFonts w:ascii="Times New Roman" w:eastAsia="Times New Roman" w:hAnsi="Times New Roman" w:cs="Times New Roman"/>
          <w:b/>
          <w:color w:val="000000"/>
          <w:sz w:val="24"/>
          <w:szCs w:val="24"/>
        </w:rPr>
        <w:t>RESULTADOS:</w:t>
      </w:r>
      <w:r>
        <w:rPr>
          <w:rFonts w:ascii="Times New Roman" w:eastAsia="Times New Roman" w:hAnsi="Times New Roman" w:cs="Times New Roman"/>
          <w:color w:val="000000"/>
          <w:sz w:val="24"/>
          <w:szCs w:val="24"/>
        </w:rPr>
        <w:t xml:space="preserve"> Os achados científicos demonstram que o câncer pode impactar no funcionamento do sistema gastrointestinal gerando déficits do estado nutricional relacionados à má absorção de nutrientes, disfagias, perda de peso e desnutrição. Isso leva a redução da qualidade de vida, aumento de complicações, piora da função fisiológica e da experiência vivida, sendo introduzida a NP para evitar esses danos</w:t>
      </w:r>
      <w:r w:rsidR="007100DE">
        <w:rPr>
          <w:rFonts w:ascii="Times New Roman" w:eastAsia="Times New Roman" w:hAnsi="Times New Roman" w:cs="Times New Roman"/>
          <w:color w:val="000000"/>
          <w:sz w:val="24"/>
          <w:szCs w:val="24"/>
        </w:rPr>
        <w:t xml:space="preserve"> e melhorar a qualidade de vida.</w:t>
      </w:r>
      <w:r w:rsidR="00BD45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Estudos voltados para a perspectiva cirúrgica evidenciaram que alimentação parenteral terá utilidade no período </w:t>
      </w:r>
      <w:proofErr w:type="spellStart"/>
      <w:r>
        <w:rPr>
          <w:rFonts w:ascii="Times New Roman" w:eastAsia="Times New Roman" w:hAnsi="Times New Roman" w:cs="Times New Roman"/>
          <w:color w:val="000000"/>
          <w:sz w:val="24"/>
          <w:szCs w:val="24"/>
        </w:rPr>
        <w:t>pré</w:t>
      </w:r>
      <w:proofErr w:type="spellEnd"/>
      <w:r w:rsidR="00F170B3">
        <w:rPr>
          <w:rFonts w:ascii="Times New Roman" w:eastAsia="Times New Roman" w:hAnsi="Times New Roman" w:cs="Times New Roman"/>
          <w:color w:val="000000"/>
          <w:sz w:val="24"/>
          <w:szCs w:val="24"/>
        </w:rPr>
        <w:t xml:space="preserve"> e pós </w:t>
      </w:r>
      <w:r>
        <w:rPr>
          <w:rFonts w:ascii="Times New Roman" w:eastAsia="Times New Roman" w:hAnsi="Times New Roman" w:cs="Times New Roman"/>
          <w:color w:val="000000"/>
          <w:sz w:val="24"/>
          <w:szCs w:val="24"/>
        </w:rPr>
        <w:t xml:space="preserve">operatório </w:t>
      </w:r>
      <w:r w:rsidR="00F170B3">
        <w:rPr>
          <w:rFonts w:ascii="Times New Roman" w:eastAsia="Times New Roman" w:hAnsi="Times New Roman" w:cs="Times New Roman"/>
          <w:color w:val="000000"/>
          <w:sz w:val="24"/>
          <w:szCs w:val="24"/>
        </w:rPr>
        <w:t>de pacientes oncoló</w:t>
      </w:r>
      <w:r w:rsidR="006357F0">
        <w:rPr>
          <w:rFonts w:ascii="Times New Roman" w:eastAsia="Times New Roman" w:hAnsi="Times New Roman" w:cs="Times New Roman"/>
          <w:color w:val="000000"/>
          <w:sz w:val="24"/>
          <w:szCs w:val="24"/>
        </w:rPr>
        <w:t>gicos</w:t>
      </w:r>
      <w:r w:rsidR="00CA2DB5">
        <w:rPr>
          <w:rFonts w:ascii="Times New Roman" w:eastAsia="Times New Roman" w:hAnsi="Times New Roman" w:cs="Times New Roman"/>
          <w:color w:val="000000"/>
          <w:sz w:val="24"/>
          <w:szCs w:val="24"/>
        </w:rPr>
        <w:t xml:space="preserve">. A NP mostra  ser </w:t>
      </w:r>
      <w:r w:rsidR="00213327">
        <w:rPr>
          <w:rFonts w:ascii="Times New Roman" w:eastAsia="Times New Roman" w:hAnsi="Times New Roman" w:cs="Times New Roman"/>
          <w:color w:val="000000"/>
          <w:sz w:val="24"/>
          <w:szCs w:val="24"/>
        </w:rPr>
        <w:t>capaz de</w:t>
      </w:r>
      <w:r>
        <w:rPr>
          <w:rFonts w:ascii="Times New Roman" w:eastAsia="Times New Roman" w:hAnsi="Times New Roman" w:cs="Times New Roman"/>
          <w:color w:val="000000"/>
          <w:sz w:val="24"/>
          <w:szCs w:val="24"/>
        </w:rPr>
        <w:t xml:space="preserve"> evitar a desnutrição, melhorar a função imunológic</w:t>
      </w:r>
      <w:r w:rsidR="00CA2DB5">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reduzir </w:t>
      </w:r>
      <w:r w:rsidR="00CA2DB5">
        <w:rPr>
          <w:rFonts w:ascii="Times New Roman" w:eastAsia="Times New Roman" w:hAnsi="Times New Roman" w:cs="Times New Roman"/>
          <w:color w:val="000000"/>
          <w:sz w:val="24"/>
          <w:szCs w:val="24"/>
        </w:rPr>
        <w:t xml:space="preserve">o </w:t>
      </w:r>
      <w:r w:rsidR="00CA2DB5" w:rsidRPr="00304802">
        <w:rPr>
          <w:rFonts w:ascii="Times New Roman" w:eastAsia="Times New Roman" w:hAnsi="Times New Roman" w:cs="Times New Roman"/>
          <w:color w:val="000000"/>
          <w:sz w:val="24"/>
          <w:szCs w:val="24"/>
        </w:rPr>
        <w:t>catabolismo muscular</w:t>
      </w:r>
      <w:r w:rsidR="00E2720B">
        <w:rPr>
          <w:rFonts w:ascii="Times New Roman" w:eastAsia="Times New Roman" w:hAnsi="Times New Roman" w:cs="Times New Roman"/>
          <w:color w:val="000000"/>
          <w:sz w:val="24"/>
          <w:szCs w:val="24"/>
        </w:rPr>
        <w:t xml:space="preserve"> e</w:t>
      </w:r>
      <w:r w:rsidR="00CA2DB5">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color w:val="000000"/>
          <w:sz w:val="24"/>
          <w:szCs w:val="24"/>
        </w:rPr>
        <w:t>resposta inflamatória ao estresse</w:t>
      </w:r>
      <w:r w:rsidR="007100DE">
        <w:rPr>
          <w:rFonts w:ascii="Times New Roman" w:eastAsia="Times New Roman" w:hAnsi="Times New Roman" w:cs="Times New Roman"/>
          <w:color w:val="000000"/>
          <w:sz w:val="24"/>
          <w:szCs w:val="24"/>
        </w:rPr>
        <w:t xml:space="preserve">, diminuindo </w:t>
      </w:r>
      <w:r w:rsidR="007100DE" w:rsidRPr="00304802">
        <w:rPr>
          <w:rFonts w:ascii="Times New Roman" w:eastAsia="Times New Roman" w:hAnsi="Times New Roman" w:cs="Times New Roman"/>
          <w:color w:val="000000"/>
          <w:sz w:val="24"/>
          <w:szCs w:val="24"/>
        </w:rPr>
        <w:t>a mortalidade e aumenta</w:t>
      </w:r>
      <w:r w:rsidR="007100DE">
        <w:rPr>
          <w:rFonts w:ascii="Times New Roman" w:eastAsia="Times New Roman" w:hAnsi="Times New Roman" w:cs="Times New Roman"/>
          <w:color w:val="000000"/>
          <w:sz w:val="24"/>
          <w:szCs w:val="24"/>
        </w:rPr>
        <w:t>ndo</w:t>
      </w:r>
      <w:r w:rsidR="007100DE" w:rsidRPr="00304802">
        <w:rPr>
          <w:rFonts w:ascii="Times New Roman" w:eastAsia="Times New Roman" w:hAnsi="Times New Roman" w:cs="Times New Roman"/>
          <w:color w:val="000000"/>
          <w:sz w:val="24"/>
          <w:szCs w:val="24"/>
        </w:rPr>
        <w:t xml:space="preserve"> a resposta ao tratamento </w:t>
      </w:r>
      <w:r w:rsidR="001A6722" w:rsidRPr="00304802">
        <w:rPr>
          <w:rFonts w:ascii="Times New Roman" w:eastAsia="Times New Roman" w:hAnsi="Times New Roman" w:cs="Times New Roman"/>
          <w:color w:val="000000"/>
          <w:sz w:val="24"/>
          <w:szCs w:val="24"/>
        </w:rPr>
        <w:t>antineoplásicos</w:t>
      </w:r>
      <w:r w:rsidR="007100DE" w:rsidRPr="00304802">
        <w:rPr>
          <w:rFonts w:ascii="Times New Roman" w:eastAsia="Times New Roman" w:hAnsi="Times New Roman" w:cs="Times New Roman"/>
          <w:color w:val="000000"/>
          <w:sz w:val="24"/>
          <w:szCs w:val="24"/>
        </w:rPr>
        <w:t>.</w:t>
      </w:r>
      <w:r w:rsidR="001A6722">
        <w:rPr>
          <w:rFonts w:ascii="Times New Roman" w:eastAsia="Times New Roman" w:hAnsi="Times New Roman" w:cs="Times New Roman"/>
          <w:color w:val="000000"/>
          <w:sz w:val="24"/>
          <w:szCs w:val="24"/>
        </w:rPr>
        <w:t xml:space="preserve"> </w:t>
      </w:r>
      <w:r w:rsidR="00781847">
        <w:rPr>
          <w:rFonts w:ascii="Times New Roman" w:eastAsia="Times New Roman" w:hAnsi="Times New Roman" w:cs="Times New Roman"/>
          <w:color w:val="000000"/>
          <w:sz w:val="24"/>
          <w:szCs w:val="24"/>
        </w:rPr>
        <w:t xml:space="preserve">Achados científicos </w:t>
      </w:r>
      <w:r w:rsidR="00B602F4">
        <w:rPr>
          <w:rFonts w:ascii="Times New Roman" w:eastAsia="Times New Roman" w:hAnsi="Times New Roman" w:cs="Times New Roman"/>
          <w:color w:val="000000"/>
          <w:sz w:val="24"/>
          <w:szCs w:val="24"/>
        </w:rPr>
        <w:t>ressaltam</w:t>
      </w:r>
      <w:r w:rsidR="00AC5C6B" w:rsidRPr="00304802">
        <w:rPr>
          <w:rFonts w:ascii="Times New Roman" w:eastAsia="Times New Roman" w:hAnsi="Times New Roman" w:cs="Times New Roman"/>
          <w:color w:val="000000"/>
          <w:sz w:val="24"/>
          <w:szCs w:val="24"/>
        </w:rPr>
        <w:t xml:space="preserve"> a</w:t>
      </w:r>
      <w:r w:rsidR="00B602F4">
        <w:rPr>
          <w:rFonts w:ascii="Times New Roman" w:eastAsia="Times New Roman" w:hAnsi="Times New Roman" w:cs="Times New Roman"/>
          <w:color w:val="000000"/>
          <w:sz w:val="24"/>
          <w:szCs w:val="24"/>
        </w:rPr>
        <w:t xml:space="preserve"> presença de</w:t>
      </w:r>
      <w:r w:rsidR="00AC5C6B" w:rsidRPr="00304802">
        <w:rPr>
          <w:rFonts w:ascii="Times New Roman" w:eastAsia="Times New Roman" w:hAnsi="Times New Roman" w:cs="Times New Roman"/>
          <w:color w:val="000000"/>
          <w:sz w:val="24"/>
          <w:szCs w:val="24"/>
        </w:rPr>
        <w:t xml:space="preserve"> riscos, como infecções relacionadas ao cateter, distúrbios eletrolíticos e hepáticos, além de aumentar os custos hospitalares. Portanto, a indicação da nutrição parenteral em pacientes oncológicos deve ser cuidadosamente avaliada e individualizada, considerando a relação risco-benefício e a avaliação multidisciplinar da equipe de saúde.</w:t>
      </w:r>
      <w:r w:rsidR="00BD45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CONCLUSÃO: </w:t>
      </w:r>
      <w:r>
        <w:rPr>
          <w:rFonts w:ascii="Times New Roman" w:eastAsia="Times New Roman" w:hAnsi="Times New Roman" w:cs="Times New Roman"/>
          <w:color w:val="000000"/>
          <w:sz w:val="24"/>
          <w:szCs w:val="24"/>
        </w:rPr>
        <w:t>A NP é considerada um método seguro que traz diversos benefícios para a manutenção e restabelecimento do padrão nutricional dos pacientes oncológicos. Sendo muito útil para aqueles que desenvolveram ou possuem riscos de complicações alimentares tanto ao longo do câncer quanto no pós cirúrgico.</w:t>
      </w:r>
    </w:p>
    <w:p w14:paraId="2554A142" w14:textId="77777777" w:rsidR="008875A7" w:rsidRDefault="008875A7">
      <w:pPr>
        <w:spacing w:line="240" w:lineRule="auto"/>
        <w:jc w:val="both"/>
        <w:rPr>
          <w:rFonts w:ascii="Times New Roman" w:eastAsia="Times New Roman" w:hAnsi="Times New Roman" w:cs="Times New Roman"/>
          <w:sz w:val="24"/>
          <w:szCs w:val="24"/>
        </w:rPr>
      </w:pPr>
    </w:p>
    <w:p w14:paraId="3ABB168D" w14:textId="69FF6C3C" w:rsidR="008875A7" w:rsidRDefault="00C0588E">
      <w:pPr>
        <w:pBdr>
          <w:top w:val="nil"/>
          <w:left w:val="nil"/>
          <w:bottom w:val="nil"/>
          <w:right w:val="nil"/>
          <w:between w:val="nil"/>
        </w:pBdr>
        <w:spacing w:before="240" w:after="240"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b/>
          <w:color w:val="000000"/>
          <w:sz w:val="24"/>
          <w:szCs w:val="24"/>
        </w:rPr>
        <w:t>Palavras-chaves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12121"/>
          <w:sz w:val="24"/>
          <w:szCs w:val="24"/>
        </w:rPr>
        <w:t>Nutrição Parenteral; Neoplasia e Câncer</w:t>
      </w:r>
      <w:r w:rsidR="00DB0920">
        <w:rPr>
          <w:rFonts w:ascii="Times New Roman" w:eastAsia="Times New Roman" w:hAnsi="Times New Roman" w:cs="Times New Roman"/>
          <w:color w:val="212121"/>
          <w:sz w:val="24"/>
          <w:szCs w:val="24"/>
        </w:rPr>
        <w:t>.</w:t>
      </w:r>
    </w:p>
    <w:p w14:paraId="365CF431" w14:textId="77777777" w:rsidR="008875A7" w:rsidRDefault="008875A7">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p>
    <w:p w14:paraId="2710D4E4" w14:textId="77777777" w:rsidR="008875A7" w:rsidRDefault="008875A7">
      <w:pPr>
        <w:pBdr>
          <w:top w:val="nil"/>
          <w:left w:val="nil"/>
          <w:bottom w:val="nil"/>
          <w:right w:val="nil"/>
          <w:between w:val="nil"/>
        </w:pBdr>
        <w:spacing w:before="240" w:after="240" w:line="240" w:lineRule="auto"/>
        <w:rPr>
          <w:rFonts w:ascii="Times New Roman" w:eastAsia="Times New Roman" w:hAnsi="Times New Roman" w:cs="Times New Roman"/>
          <w:color w:val="212121"/>
          <w:sz w:val="24"/>
          <w:szCs w:val="24"/>
        </w:rPr>
      </w:pPr>
    </w:p>
    <w:sectPr w:rsidR="008875A7">
      <w:pgSz w:w="11906" w:h="16838"/>
      <w:pgMar w:top="1701"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5A7"/>
    <w:rsid w:val="0003709D"/>
    <w:rsid w:val="00173699"/>
    <w:rsid w:val="001A6722"/>
    <w:rsid w:val="00213327"/>
    <w:rsid w:val="002C77D8"/>
    <w:rsid w:val="00304802"/>
    <w:rsid w:val="003250B5"/>
    <w:rsid w:val="003572BC"/>
    <w:rsid w:val="00386A29"/>
    <w:rsid w:val="003D5484"/>
    <w:rsid w:val="003F24F2"/>
    <w:rsid w:val="00445E95"/>
    <w:rsid w:val="004848BD"/>
    <w:rsid w:val="004A1D86"/>
    <w:rsid w:val="00550381"/>
    <w:rsid w:val="005C1857"/>
    <w:rsid w:val="006357F0"/>
    <w:rsid w:val="00690F67"/>
    <w:rsid w:val="006A6F02"/>
    <w:rsid w:val="007100DE"/>
    <w:rsid w:val="00724262"/>
    <w:rsid w:val="00781847"/>
    <w:rsid w:val="007E5CC6"/>
    <w:rsid w:val="008875A7"/>
    <w:rsid w:val="008D2BB8"/>
    <w:rsid w:val="00910FED"/>
    <w:rsid w:val="00A1427C"/>
    <w:rsid w:val="00A203FC"/>
    <w:rsid w:val="00A6062D"/>
    <w:rsid w:val="00AC5C6B"/>
    <w:rsid w:val="00B602F4"/>
    <w:rsid w:val="00B70846"/>
    <w:rsid w:val="00B73E9B"/>
    <w:rsid w:val="00BD4566"/>
    <w:rsid w:val="00C0588E"/>
    <w:rsid w:val="00C6094E"/>
    <w:rsid w:val="00CA2DB5"/>
    <w:rsid w:val="00D84955"/>
    <w:rsid w:val="00D9089F"/>
    <w:rsid w:val="00DB0920"/>
    <w:rsid w:val="00E07BA0"/>
    <w:rsid w:val="00E2720B"/>
    <w:rsid w:val="00E60CF1"/>
    <w:rsid w:val="00EE331A"/>
    <w:rsid w:val="00F07B8D"/>
    <w:rsid w:val="00F170B3"/>
    <w:rsid w:val="00F557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F4BE5"/>
  <w15:docId w15:val="{418D0375-4130-4799-BA04-BB6E7814B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485FD5"/>
    <w:pPr>
      <w:spacing w:before="100" w:beforeAutospacing="1" w:after="100" w:afterAutospacing="1" w:line="240" w:lineRule="auto"/>
    </w:pPr>
    <w:rPr>
      <w:rFonts w:ascii="Times New Roman" w:eastAsiaTheme="minorEastAsia" w:hAnsi="Times New Roman" w:cs="Times New Roman"/>
      <w:sz w:val="24"/>
      <w:szCs w:val="24"/>
    </w:rPr>
  </w:style>
  <w:style w:type="table" w:styleId="Tabelacomgrade">
    <w:name w:val="Table Grid"/>
    <w:basedOn w:val="Tabelanormal"/>
    <w:uiPriority w:val="39"/>
    <w:rsid w:val="00044D8D"/>
    <w:pPr>
      <w:spacing w:after="0" w:line="240" w:lineRule="auto"/>
      <w:ind w:firstLine="709"/>
      <w:jc w:val="both"/>
    </w:pPr>
    <w:rPr>
      <w:rFonts w:ascii="Cambria" w:eastAsia="Cambria" w:hAnsi="Cambria" w:cs="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895571"/>
    <w:pPr>
      <w:ind w:left="720"/>
      <w:contextualSpacing/>
    </w:pPr>
  </w:style>
  <w:style w:type="character" w:styleId="Refdecomentrio">
    <w:name w:val="annotation reference"/>
    <w:basedOn w:val="Fontepargpadro"/>
    <w:uiPriority w:val="99"/>
    <w:semiHidden/>
    <w:unhideWhenUsed/>
    <w:rsid w:val="00C410F3"/>
    <w:rPr>
      <w:sz w:val="16"/>
      <w:szCs w:val="16"/>
    </w:rPr>
  </w:style>
  <w:style w:type="paragraph" w:styleId="Textodecomentrio">
    <w:name w:val="annotation text"/>
    <w:basedOn w:val="Normal"/>
    <w:link w:val="TextodecomentrioChar"/>
    <w:uiPriority w:val="99"/>
    <w:semiHidden/>
    <w:unhideWhenUsed/>
    <w:rsid w:val="00C410F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410F3"/>
    <w:rPr>
      <w:sz w:val="20"/>
      <w:szCs w:val="20"/>
    </w:rPr>
  </w:style>
  <w:style w:type="paragraph" w:styleId="Assuntodocomentrio">
    <w:name w:val="annotation subject"/>
    <w:basedOn w:val="Textodecomentrio"/>
    <w:next w:val="Textodecomentrio"/>
    <w:link w:val="AssuntodocomentrioChar"/>
    <w:uiPriority w:val="99"/>
    <w:semiHidden/>
    <w:unhideWhenUsed/>
    <w:rsid w:val="00C410F3"/>
    <w:rPr>
      <w:b/>
      <w:bCs/>
    </w:rPr>
  </w:style>
  <w:style w:type="character" w:customStyle="1" w:styleId="AssuntodocomentrioChar">
    <w:name w:val="Assunto do comentário Char"/>
    <w:basedOn w:val="TextodecomentrioChar"/>
    <w:link w:val="Assuntodocomentrio"/>
    <w:uiPriority w:val="99"/>
    <w:semiHidden/>
    <w:rsid w:val="00C410F3"/>
    <w:rPr>
      <w:b/>
      <w:bCs/>
      <w:sz w:val="20"/>
      <w:szCs w:val="20"/>
    </w:rPr>
  </w:style>
  <w:style w:type="paragraph" w:styleId="Reviso">
    <w:name w:val="Revision"/>
    <w:hidden/>
    <w:uiPriority w:val="99"/>
    <w:semiHidden/>
    <w:rsid w:val="003D54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 /><Relationship Id="rId7"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fontTable" Target="fontTable.xml" /><Relationship Id="rId5" Type="http://schemas.openxmlformats.org/officeDocument/2006/relationships/image" Target="media/image1.png" /><Relationship Id="rId4" Type="http://schemas.openxmlformats.org/officeDocument/2006/relationships/webSettings" Target="webSettings.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Px7zMaYrgM1lNKG6sU8NYajVu+Q==">AMUW2mWPlIuUUFxqMoNotRATQBIzINhN5pjokZVBJvXZYjIeJI9bG0nam9f0g7P5RF2jjWEDJ3m1fPVghFpX74CPCc/FNMtZO7LoYNYDUz7kDWxcccG7syU=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473</Words>
  <Characters>2557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Martins Vieira</dc:creator>
  <cp:lastModifiedBy>Ananda Camille Silva Oliveira</cp:lastModifiedBy>
  <cp:revision>2</cp:revision>
  <dcterms:created xsi:type="dcterms:W3CDTF">2023-05-12T12:48:00Z</dcterms:created>
  <dcterms:modified xsi:type="dcterms:W3CDTF">2023-05-12T12:48:00Z</dcterms:modified>
</cp:coreProperties>
</file>