
<file path=[Content_Types].xml><?xml version="1.0" encoding="utf-8"?>
<Types xmlns="http://schemas.openxmlformats.org/package/2006/content-types">
  <Default Extension="jpeg" ContentType="image/jpeg"/>
  <Default Extension="rels" ContentType="application/vnd.openxmlformats-package.relationships+xml"/>
  <Default Extension="png" ContentType="image/png"/>
  <Default Extension="ttf" ContentType="application/x-font-ttf"/>
  <Default Extension="jpg" ContentType="image/jpeg"/>
  <Default Extension="xml" ContentType="application/xml"/>
  <Override PartName="/word/header1.xml" ContentType="application/vnd.openxmlformats-officedocument.wordprocessingml.header+xml"/>
  <Override PartName="/" ContentType="application/vnd.openxmlformats-package.core-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footer1.xml" ContentType="application/vnd.openxmlformats-officedocument.wordprocessingml.footer+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xmlns:wp14="http://schemas.microsoft.com/office/word/2010/wordprocessingDrawing" xmlns:wpi="http://schemas.microsoft.com/office/word/2010/wordprocessingInk" xmlns:aink="http://schemas.microsoft.com/office/drawing/2016/ink" mc:Ignorable="w14 wp14 ">
  <w:body>
    <w:p w14:paraId="00000007">
      <w:pPr>
        <w:widowControl w:val="on"/>
        <w:spacing w:after="0" w:line="240" w:lineRule="auto"/>
        <w:jc w:val="center"/>
        <w:rPr>
          <w:rFonts w:ascii="Times New Roman" w:cs="Times New Roman" w:eastAsia="Times New Roman" w:hAnsi="Times New Roman"/>
          <w:sz w:val="24"/>
          <w:szCs w:val="24"/>
        </w:rPr>
      </w:pPr>
      <w:r>
        <w:rPr>
          <w:rFonts w:ascii="Times New Roman" w:cs="Times New Roman" w:eastAsia="Times New Roman" w:hAnsi="Times New Roman"/>
          <w:b/>
          <w:sz w:val="24"/>
          <w:szCs w:val="24"/>
          <w:rtl w:val="off"/>
        </w:rPr>
        <w:t xml:space="preserve">INVESTIGANDO O SABER - FAZER DO ESTUDANTE NO CAMPO DA FUNÇÃO AFIM: </w:t>
      </w:r>
      <w:r>
        <w:rPr>
          <w:rFonts w:ascii="Times New Roman" w:cs="Times New Roman" w:eastAsia="Times New Roman" w:hAnsi="Times New Roman"/>
          <w:sz w:val="24"/>
          <w:szCs w:val="24"/>
          <w:rtl w:val="off"/>
        </w:rPr>
        <w:t xml:space="preserve">um estudo do desenvolvimento da organização praxeológica do estudante a partir de um recurso manipulável </w:t>
      </w:r>
    </w:p>
    <w:p w14:paraId="00000008">
      <w:pPr>
        <w:widowControl w:val="on"/>
        <w:spacing w:after="0" w:line="259" w:lineRule="auto"/>
        <w:jc w:val="left"/>
        <w:rPr>
          <w:rFonts w:ascii="Times New Roman" w:cs="Times New Roman" w:eastAsia="Times New Roman" w:hAnsi="Times New Roman"/>
        </w:rPr>
      </w:pPr>
    </w:p>
    <w:p w14:paraId="00000009">
      <w:pPr>
        <w:widowControl w:val="on"/>
        <w:spacing w:after="100" w:line="240" w:lineRule="auto"/>
        <w:jc w:val="right"/>
        <w:rPr>
          <w:rFonts w:ascii="Times New Roman" w:cs="Times New Roman" w:eastAsia="Times New Roman" w:hAnsi="Times New Roman"/>
        </w:rPr>
      </w:pPr>
      <w:r>
        <w:rPr>
          <w:rFonts w:ascii="Times New Roman" w:cs="Times New Roman" w:eastAsia="Times New Roman" w:hAnsi="Times New Roman"/>
          <w:rtl w:val="off"/>
        </w:rPr>
        <w:t>Anderson Euclides da Silva</w:t>
      </w:r>
      <w:r>
        <w:rPr>
          <w:rFonts w:ascii="Times New Roman" w:cs="Times New Roman" w:eastAsia="Times New Roman" w:hAnsi="Times New Roman"/>
          <w:vertAlign w:val="superscript"/>
        </w:rPr>
        <w:footnoteReference w:id="1"/>
      </w:r>
      <w:r>
        <w:rPr>
          <w:rFonts w:ascii="Times New Roman" w:cs="Times New Roman" w:eastAsia="Times New Roman" w:hAnsi="Times New Roman"/>
          <w:rtl w:val="off"/>
        </w:rPr>
        <w:t xml:space="preserve"> </w:t>
      </w:r>
    </w:p>
    <w:p w14:paraId="0000000A">
      <w:pPr>
        <w:widowControl w:val="on"/>
        <w:spacing w:after="100" w:line="240" w:lineRule="auto"/>
        <w:jc w:val="right"/>
        <w:rPr>
          <w:rFonts w:ascii="Times New Roman" w:cs="Times New Roman" w:eastAsia="Times New Roman" w:hAnsi="Times New Roman"/>
        </w:rPr>
      </w:pPr>
      <w:r>
        <w:rPr>
          <w:rFonts w:ascii="Times New Roman" w:cs="Times New Roman" w:eastAsia="Times New Roman" w:hAnsi="Times New Roman"/>
          <w:rtl w:val="off"/>
        </w:rPr>
        <w:t>José Pedro da Silva</w:t>
      </w:r>
      <w:r>
        <w:rPr>
          <w:rFonts w:ascii="Times New Roman" w:cs="Times New Roman" w:eastAsia="Times New Roman" w:hAnsi="Times New Roman"/>
          <w:vertAlign w:val="superscript"/>
        </w:rPr>
        <w:footnoteReference w:id="0"/>
      </w:r>
    </w:p>
    <w:p w14:paraId="0000000B">
      <w:pPr>
        <w:widowControl w:val="on"/>
        <w:spacing w:after="100" w:line="240" w:lineRule="auto"/>
        <w:jc w:val="right"/>
        <w:rPr>
          <w:rFonts w:ascii="Times New Roman" w:cs="Times New Roman" w:eastAsia="Times New Roman" w:hAnsi="Times New Roman"/>
        </w:rPr>
      </w:pPr>
      <w:r>
        <w:rPr>
          <w:rFonts w:ascii="Times New Roman" w:cs="Times New Roman" w:eastAsia="Times New Roman" w:hAnsi="Times New Roman"/>
          <w:rtl w:val="off"/>
        </w:rPr>
        <w:t>Maria Bianca Bezerra</w:t>
      </w:r>
      <w:r>
        <w:rPr>
          <w:rFonts w:ascii="Times New Roman" w:cs="Times New Roman" w:eastAsia="Times New Roman" w:hAnsi="Times New Roman"/>
          <w:vertAlign w:val="superscript"/>
        </w:rPr>
        <w:footnoteReference w:id="2"/>
      </w:r>
    </w:p>
    <w:p w14:paraId="0000000C">
      <w:pPr>
        <w:widowControl w:val="on"/>
        <w:spacing w:after="100" w:line="240" w:lineRule="auto"/>
        <w:jc w:val="right"/>
        <w:rPr>
          <w:rFonts w:ascii="Times New Roman" w:cs="Times New Roman" w:eastAsia="Times New Roman" w:hAnsi="Times New Roman"/>
        </w:rPr>
      </w:pPr>
      <w:r>
        <w:rPr>
          <w:rFonts w:ascii="Times New Roman" w:cs="Times New Roman" w:eastAsia="Times New Roman" w:hAnsi="Times New Roman"/>
          <w:rtl w:val="off"/>
        </w:rPr>
        <w:t>William Rodrigues dos Santos</w:t>
      </w:r>
      <w:r>
        <w:rPr>
          <w:rFonts w:ascii="Times New Roman" w:cs="Times New Roman" w:eastAsia="Times New Roman" w:hAnsi="Times New Roman"/>
          <w:vertAlign w:val="superscript"/>
        </w:rPr>
        <w:footnoteReference w:id="3"/>
      </w:r>
    </w:p>
    <w:p w14:paraId="0000000D">
      <w:pPr>
        <w:widowControl w:val="on"/>
        <w:spacing w:after="100" w:line="240" w:lineRule="auto"/>
        <w:jc w:val="right"/>
        <w:rPr>
          <w:rFonts w:ascii="Times New Roman" w:cs="Times New Roman" w:eastAsia="Times New Roman" w:hAnsi="Times New Roman"/>
        </w:rPr>
      </w:pPr>
      <w:r>
        <w:rPr>
          <w:rFonts w:ascii="Times New Roman" w:cs="Times New Roman" w:eastAsia="Times New Roman" w:hAnsi="Times New Roman"/>
          <w:rtl w:val="off"/>
        </w:rPr>
        <w:t>Lidiane Pereira de Carvalho</w:t>
      </w:r>
      <w:r>
        <w:rPr>
          <w:rFonts w:ascii="Times New Roman" w:cs="Times New Roman" w:eastAsia="Times New Roman" w:hAnsi="Times New Roman"/>
          <w:vertAlign w:val="superscript"/>
        </w:rPr>
        <w:footnoteReference w:id="4"/>
      </w:r>
    </w:p>
    <w:p w14:paraId="0000000E">
      <w:pPr>
        <w:widowControl w:val="on"/>
        <w:spacing w:after="100" w:line="240" w:lineRule="auto"/>
        <w:jc w:val="right"/>
        <w:rPr>
          <w:rFonts w:ascii="Times New Roman" w:cs="Times New Roman" w:eastAsia="Times New Roman" w:hAnsi="Times New Roman"/>
        </w:rPr>
      </w:pPr>
      <w:r>
        <w:rPr>
          <w:rFonts w:ascii="Times New Roman" w:cs="Times New Roman" w:eastAsia="Times New Roman" w:hAnsi="Times New Roman"/>
          <w:rtl w:val="off"/>
        </w:rPr>
        <w:t>Cristiane de Arimatéa Rocha</w:t>
      </w:r>
      <w:r>
        <w:rPr>
          <w:rFonts w:ascii="Times New Roman" w:cs="Times New Roman" w:eastAsia="Times New Roman" w:hAnsi="Times New Roman"/>
          <w:vertAlign w:val="superscript"/>
        </w:rPr>
        <w:footnoteReference w:id="5"/>
      </w:r>
      <w:r>
        <w:rPr>
          <w:rFonts w:ascii="Times New Roman" w:cs="Times New Roman" w:eastAsia="Times New Roman" w:hAnsi="Times New Roman"/>
          <w:rtl w:val="off"/>
        </w:rPr>
        <w:t xml:space="preserve"> </w:t>
      </w:r>
    </w:p>
    <w:p w14:paraId="0000000F">
      <w:pPr>
        <w:widowControl w:val="on"/>
        <w:spacing w:after="100" w:line="240" w:lineRule="auto"/>
        <w:jc w:val="right"/>
        <w:rPr>
          <w:rFonts w:ascii="Times New Roman" w:cs="Times New Roman" w:eastAsia="Times New Roman" w:hAnsi="Times New Roman"/>
          <w:sz w:val="18"/>
          <w:szCs w:val="18"/>
        </w:rPr>
      </w:pPr>
      <w:r>
        <w:rPr>
          <w:rFonts w:ascii="Times New Roman" w:cs="Times New Roman" w:eastAsia="Times New Roman" w:hAnsi="Times New Roman"/>
          <w:sz w:val="18"/>
          <w:szCs w:val="18"/>
        </w:rPr>
        <w:t>DOI-0A99717F5</w:t>
      </w:r>
    </w:p>
    <w:p w14:paraId="00000010">
      <w:pPr>
        <w:widowControl w:val="on"/>
        <w:spacing w:after="0" w:line="240" w:lineRule="auto"/>
        <w:jc w:val="both"/>
        <w:rPr>
          <w:rFonts w:ascii="Times New Roman" w:cs="Times New Roman" w:eastAsia="Times New Roman" w:hAnsi="Times New Roman"/>
          <w:b/>
        </w:rPr>
      </w:pPr>
    </w:p>
    <w:p w14:paraId="00000011">
      <w:pPr>
        <w:widowControl w:val="on"/>
        <w:spacing w:after="160" w:line="259" w:lineRule="auto"/>
        <w:jc w:val="both"/>
        <w:rPr>
          <w:rFonts w:ascii="Times New Roman" w:cs="Times New Roman" w:eastAsia="Times New Roman" w:hAnsi="Times New Roman"/>
        </w:rPr>
      </w:pPr>
      <w:r>
        <w:rPr>
          <w:rFonts w:ascii="Times New Roman" w:cs="Times New Roman" w:eastAsia="Times New Roman" w:hAnsi="Times New Roman"/>
          <w:b/>
          <w:rtl w:val="off"/>
        </w:rPr>
        <w:t xml:space="preserve">Resumo: </w:t>
      </w:r>
      <w:r>
        <w:rPr>
          <w:rFonts w:ascii="Times New Roman" w:cs="Times New Roman" w:eastAsia="Times New Roman" w:hAnsi="Times New Roman"/>
          <w:rtl w:val="off"/>
        </w:rPr>
        <w:t>Este trabalho, disposto em uma pesquisa qualitativa, teve como objetivo investigar como a organização praxeológica de estudantes do 1° ano do ensino médio, nos permite perceber as possíveis contribuições de um recurso manipulável para o ensino de Função Afim. Foi realizada uma intervenção pelos participantes do PIBID, na qual foi trabalhado o conceito de Função Afim através de uma atividade prática, com a utilização do recurso, buscando analisar as potencialidades da ação realizada. Assim, analisamos as respostas dos estudantes às tarefas propostas, dialogando sobre as técnicas utilizadas e definindo as tecnologias que as justificam, bem como a teoria que as envolve. As respostas indicam que o recurso tem potencial para o ensino de função, mas que alguns erros inerentes da prática experimental demandam a orientação e reflexão por parte do professor.</w:t>
      </w:r>
    </w:p>
    <w:p w14:paraId="00000012">
      <w:pPr>
        <w:widowControl w:val="on"/>
        <w:spacing w:after="160" w:line="259" w:lineRule="auto"/>
        <w:jc w:val="both"/>
        <w:rPr>
          <w:rFonts w:ascii="Times New Roman" w:cs="Times New Roman" w:eastAsia="Times New Roman" w:hAnsi="Times New Roman"/>
        </w:rPr>
      </w:pPr>
      <w:r>
        <w:rPr>
          <w:rFonts w:ascii="Times New Roman" w:cs="Times New Roman" w:eastAsia="Times New Roman" w:hAnsi="Times New Roman"/>
          <w:rtl w:val="off"/>
        </w:rPr>
        <w:t>Palavras-chave: Função Afim, Recursos, Experimento, Teoria Antropológica do Didático.</w:t>
      </w:r>
    </w:p>
    <w:p w14:paraId="00000013">
      <w:pPr>
        <w:widowControl w:val="on"/>
        <w:spacing w:after="160" w:line="259" w:lineRule="auto"/>
        <w:jc w:val="both"/>
        <w:rPr>
          <w:rFonts w:ascii="Times New Roman" w:cs="Times New Roman" w:eastAsia="Times New Roman" w:hAnsi="Times New Roman"/>
          <w:sz w:val="24"/>
          <w:szCs w:val="24"/>
        </w:rPr>
      </w:pPr>
      <w:r>
        <w:rPr>
          <w:rFonts w:ascii="Times New Roman" w:cs="Times New Roman" w:eastAsia="Times New Roman" w:hAnsi="Times New Roman"/>
          <w:b/>
          <w:rtl w:val="off"/>
        </w:rPr>
        <w:t xml:space="preserve">INTRODUÇÃO  </w:t>
      </w:r>
    </w:p>
    <w:p w14:paraId="00000014">
      <w:pPr>
        <w:widowControl w:val="on"/>
        <w:spacing w:line="360" w:lineRule="auto"/>
        <w:ind w:firstLine="720"/>
        <w:jc w:val="both"/>
        <w:rPr>
          <w:rFonts w:ascii="Times New Roman" w:cs="Times New Roman" w:eastAsia="Times New Roman" w:hAnsi="Times New Roman"/>
          <w:b/>
        </w:rPr>
      </w:pPr>
      <w:r>
        <w:rPr>
          <w:rFonts w:ascii="Times New Roman" w:cs="Times New Roman" w:eastAsia="Times New Roman" w:hAnsi="Times New Roman"/>
          <w:sz w:val="24"/>
          <w:szCs w:val="24"/>
          <w:rtl w:val="off"/>
        </w:rPr>
        <w:t xml:space="preserve">O cotidiano da sala de aula é marcado pelo desenvolvimento de atividades que oportunizam a construção do conhecimento dos alunos. Assim, para que possamos analisar o desenvolvimento de práticas de ensino, se faz necessário que pesquisas sejam desenvolvidas visando entender como o desenvolvimento da aprendizagem do aluno e como a prática pedagógica do professor influência nesse processo. </w:t>
      </w:r>
    </w:p>
    <w:p w14:paraId="00000015">
      <w:pPr>
        <w:widowControl w:val="on"/>
        <w:spacing w:after="0" w:line="360" w:lineRule="auto"/>
        <w:jc w:val="both"/>
        <w:rPr>
          <w:rFonts w:ascii="Times New Roman" w:cs="Times New Roman" w:eastAsia="Times New Roman" w:hAnsi="Times New Roman"/>
          <w:sz w:val="24"/>
          <w:szCs w:val="24"/>
        </w:rPr>
      </w:pPr>
      <w:r>
        <w:rPr>
          <w:rFonts w:ascii="Times New Roman" w:cs="Times New Roman" w:eastAsia="Times New Roman" w:hAnsi="Times New Roman"/>
          <w:rtl w:val="off"/>
        </w:rPr>
        <w:tab/>
      </w:r>
      <w:r>
        <w:rPr>
          <w:rFonts w:ascii="Times New Roman" w:cs="Times New Roman" w:eastAsia="Times New Roman" w:hAnsi="Times New Roman"/>
          <w:sz w:val="24"/>
          <w:szCs w:val="24"/>
          <w:rtl w:val="off"/>
        </w:rPr>
        <w:t>Assim, nesta pesquisa objetivamos i</w:t>
      </w:r>
      <w:r>
        <w:rPr>
          <w:rFonts w:ascii="Times New Roman" w:cs="Times New Roman" w:eastAsia="Times New Roman" w:hAnsi="Times New Roman"/>
          <w:sz w:val="24"/>
          <w:szCs w:val="24"/>
          <w:rtl w:val="off"/>
        </w:rPr>
        <w:t>nvestigar  como a organização praxeológica de estudantes do 1º ano do ensino médio, nos permite perceber as possíveis contribuições de um recurso manipulável e um manipulável para o ensino de Função Afim, tendo sido necessário para tal, analisar o quadro praxeológico dos estudantes após resolução das tarefas propostas, bem como discutir as possíveis contribuições e um manipulável  do referido recurso para o ensino de Função Afim.</w:t>
      </w:r>
    </w:p>
    <w:p w14:paraId="00000016">
      <w:pPr>
        <w:widowControl w:val="on"/>
        <w:spacing w:after="0" w:line="360" w:lineRule="auto"/>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ab/>
        <w:t>Nesse sentido, foi realizada uma intervenção com estudantes do 1º ano do ensino médio de uma escola estadual do Agreste pernambucano, por licenciandos participantes do Programa Institucional de Bolsas de Iniciação à Docência (PIBID), através da utilização de um recurso manipulável que consistia em um conjunto de bolinhas de gude (esferas de vidro), copos, água, régua e uma ficha de tarefas as quais os estudantes deveriam responder com base na experimentação, através dos comandos dados na atividade.</w:t>
      </w:r>
    </w:p>
    <w:p w14:paraId="00000017">
      <w:pPr>
        <w:widowControl w:val="on"/>
        <w:spacing w:after="0" w:line="360" w:lineRule="auto"/>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ab/>
        <w:t>Ao final, foram recolhidas as fichas, sendo este material usado para fazer as análises deste trabalho. Os dados obtidos foram então organizados, codificados, classificados e analisados com base na Teoria Antropológica do Didático (TAD) de Yves Chevallard (1999), a partir da qual pudemos realizar nossas inferências e reflexões.</w:t>
      </w:r>
    </w:p>
    <w:p w14:paraId="00000018">
      <w:pPr>
        <w:widowControl w:val="on"/>
        <w:spacing w:after="0" w:line="360" w:lineRule="auto"/>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ab/>
        <w:t xml:space="preserve">A partir destas análises pudemos constatar que o referido recurso é muito benéfico para o ensino de Função Afim, tanto por envolver diversos conceitos importante, inclusive de outras áreas do conhecimento, permitindo o estudo das funções de forma dinâmica, quanto por tratar-se de um recurso manipulável de caráter experimental, que permite que os estudantes foquem em resolver as tarefas através da investigação usando o recurso. </w:t>
      </w:r>
    </w:p>
    <w:p w14:paraId="00000019">
      <w:pPr>
        <w:widowControl w:val="on"/>
        <w:spacing w:before="120" w:after="120" w:line="360" w:lineRule="auto"/>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tl w:val="off"/>
        </w:rPr>
        <w:t xml:space="preserve"> RECURSOS DIDÁTICOS NO ENSINO DE FUNÇÃO AFIM </w:t>
      </w:r>
    </w:p>
    <w:p w14:paraId="0000001A">
      <w:pPr>
        <w:widowControl w:val="on"/>
        <w:spacing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O ensino e aprendizagem de matemática por muito tempo limitou-se a abordagens que autores como Libâneo (1994) concebem como tradicional, centrada na memorização de fórmulas e procedimentos. No entanto, tais métodos tornaram-se insuficientes para desenvolver as habilidades necessárias para a vida contemporânea. Para tal, o processo de ensino e aprendizagem deve ser dinâmico e significativo, convidando</w:t>
      </w:r>
      <m:oMathPara>
        <m:oMathParaPr/>
        <m:oMath/>
      </m:oMathPara>
      <w:r>
        <w:rPr>
          <w:rFonts w:ascii="Times New Roman" w:cs="Times New Roman" w:eastAsia="Times New Roman" w:hAnsi="Times New Roman"/>
          <w:sz w:val="24"/>
          <w:szCs w:val="24"/>
          <w:rtl w:val="off"/>
        </w:rPr>
        <w:t>o aluno a ser protagonista da própria aprendizagem.</w:t>
      </w:r>
    </w:p>
    <w:p w14:paraId="0000001B">
      <w:pPr>
        <w:widowControl w:val="on"/>
        <w:spacing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Assim, durante o estudo de um conceito tal como o de Função Afim, é necessário o uso de metodologias e recursos que permitam ao estudante a investigação, a experimentação ou a descoberta das particularidades do conteúdo de forma ativa, por isso, a utilização de recursos adequados é crucial para que as interações na sala de aula tornem-se significativas, permitindo que ocorra de fato a construção do conhecimento.</w:t>
      </w:r>
    </w:p>
    <w:p w14:paraId="0000001C">
      <w:pPr>
        <w:widowControl w:val="on"/>
        <w:spacing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 xml:space="preserve">Nesse sentido, o uso de recursos didáticos, sobretudo de materiais manipuláveis favorece o desenvolvimento da criatividade do aluno mostrando-se um recurso valioso, sendo o recurso didático compreendido por Lorenzato (2010) como </w:t>
      </w:r>
      <w:r>
        <w:rPr>
          <w:rFonts w:ascii="Times New Roman" w:cs="Times New Roman" w:eastAsia="Times New Roman" w:hAnsi="Times New Roman"/>
          <w:sz w:val="24"/>
          <w:szCs w:val="24"/>
          <w:rtl w:val="off"/>
        </w:rPr>
        <w:t>objetos ou coisas que o aluno é capaz de sentir, tocar, manipular e movimentar. Nesse sentido, eles podem ser objetos de uso cotidiano ou próprios para uso na sala de aula, importando apenas se este serve ou não ao processo de aprendizagem, tornando o aprendizado mais visual e intuitivo.</w:t>
      </w:r>
    </w:p>
    <w:p w14:paraId="0000001D">
      <w:pPr>
        <w:widowControl w:val="on"/>
        <w:spacing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Por sua vez, Lorenzato (2010) destaca que mais do que ter acesso a materiais é preciso saber usá-los corretamente e orientar o seu uso para mediar a estruturação do conhecimento pelos estudantes. Assim, no ensino e aprendizagem de funções que detêm grande relevância no desenvolvimento do pensamento matemático, com o uso de recursos didáticos, é possível criar situações de aprendizagem que despertem a curiosidade dos alunos e permitam a construção efetiva de conceitos.</w:t>
      </w:r>
    </w:p>
    <w:p w14:paraId="0000001E">
      <w:pPr>
        <w:widowControl w:val="on"/>
        <w:spacing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 xml:space="preserve">No ensino de funções, por exemplo, é possível propor investigações </w:t>
      </w:r>
      <w:r>
        <w:rPr>
          <w:rFonts w:ascii="Times New Roman" w:cs="Times New Roman" w:eastAsia="Times New Roman" w:hAnsi="Times New Roman"/>
          <w:sz w:val="24"/>
          <w:szCs w:val="24"/>
          <w:rtl w:val="off"/>
        </w:rPr>
        <w:t>u</w:t>
      </w:r>
      <w:r>
        <w:rPr>
          <w:rFonts w:ascii="Times New Roman" w:cs="Times New Roman" w:eastAsia="Times New Roman" w:hAnsi="Times New Roman"/>
          <w:sz w:val="24"/>
          <w:szCs w:val="24"/>
          <w:rtl w:val="off"/>
        </w:rPr>
        <w:t>tilizand</w:t>
      </w:r>
      <w:r>
        <w:rPr>
          <w:rFonts w:ascii="Times New Roman" w:cs="Times New Roman" w:eastAsia="Times New Roman" w:hAnsi="Times New Roman"/>
          <w:sz w:val="24"/>
          <w:szCs w:val="24"/>
          <w:rtl w:val="off"/>
        </w:rPr>
        <w:t xml:space="preserve">o </w:t>
      </w:r>
      <w:r>
        <w:rPr>
          <w:rFonts w:ascii="Times New Roman" w:cs="Times New Roman" w:eastAsia="Times New Roman" w:hAnsi="Times New Roman"/>
          <w:sz w:val="24"/>
          <w:szCs w:val="24"/>
          <w:rtl w:val="off"/>
        </w:rPr>
        <w:t>materiais manipuláveis para explorar fenômenos do cotidiano, como o crescimento populacional, a variação de temperatura ou o custo de um produto, permitindo que o estudante perceba a aplicação do conteúdo. Isso é importante, pois o aluno precisa conhecer o concreto para que haja melhor compreensão e abstração da linguagem matemática (Lorenzato, 2010).</w:t>
      </w:r>
    </w:p>
    <w:p w14:paraId="0000001F">
      <w:pPr>
        <w:widowControl w:val="on"/>
        <w:spacing w:line="360" w:lineRule="auto"/>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ab/>
        <w:t>Para o entendimento das Funções, sobretudo da Função Afim, é essencial que se perceba que, embora haja uma definição geral deste conceito, muitos são os tipos de Função existentes, cada uma delas com um conjunto de características que as diferenciam a depender do fenômeno que descrevem, como bem apontado por Stewart (2013). Assim, no caso da Função Afim, temos um conjunto de características específicas, como o tipo de lei de formação que relaciona os elementos do domínio com os do contradomínio, o gráfico definido como uma reta, a variação constante entre as grandezas, dentre outras peculiaridades, que a diferenciam de outros tipos de função.</w:t>
      </w:r>
    </w:p>
    <w:p w14:paraId="00000020">
      <w:pPr>
        <w:widowControl w:val="on"/>
        <w:spacing w:before="120" w:after="120" w:line="259" w:lineRule="auto"/>
        <w:ind w:left="0" w:firstLine="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tl w:val="off"/>
        </w:rPr>
        <w:t xml:space="preserve">TEORIA ANTROPOLÓGICA DO DIDÁTICO </w:t>
      </w:r>
    </w:p>
    <w:p w14:paraId="00000021">
      <w:pPr>
        <w:widowControl w:val="on"/>
        <w:spacing w:line="360" w:lineRule="auto"/>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ab/>
        <w:t xml:space="preserve">Ao considerar o contexto da sala de aula e como é desenvolvimento a construção do conhecimento do alunos, a Teoria Antropológica do Didático (TAD) teorizada por Yves Chevallard (1992, 1999), apresenta elementos fundamentais para compreendermos o desenvolvimento da aprendizagem, uma vez que ela nos fornece ferramentas para entendermos como um aluno realizar determinada atividade matemática. </w:t>
      </w:r>
    </w:p>
    <w:p w14:paraId="00000022">
      <w:pPr>
        <w:widowControl w:val="on"/>
        <w:spacing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 xml:space="preserve">Assim, se torna um campo teórico rico para que professor/pesquisador realize investigações, para tanto, é preciso compreender alguns elementos primitivos estabelecidos por Chevallard (1992), os objetos (O), as instituições (I) e as pessoas (X). Tais elementos são os pilares para o desenvolvimento desta teoria, os quais não </w:t>
      </w:r>
      <w:r>
        <w:rPr>
          <w:rFonts w:ascii="Times New Roman" w:cs="Times New Roman" w:eastAsia="Times New Roman" w:hAnsi="Times New Roman"/>
          <w:sz w:val="24"/>
          <w:szCs w:val="24"/>
          <w:rtl w:val="off"/>
        </w:rPr>
        <w:t>focaremos</w:t>
      </w:r>
      <w:r>
        <w:rPr>
          <w:rFonts w:ascii="Times New Roman" w:cs="Times New Roman" w:eastAsia="Times New Roman" w:hAnsi="Times New Roman"/>
          <w:sz w:val="24"/>
          <w:szCs w:val="24"/>
          <w:rtl w:val="off"/>
        </w:rPr>
        <w:t xml:space="preserve"> neste trabalho em decorrência do escopo. </w:t>
      </w:r>
    </w:p>
    <w:p w14:paraId="00000023">
      <w:pPr>
        <w:widowControl w:val="on"/>
        <w:spacing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 xml:space="preserve">Na TAD, podemos realizar uma análise da organização praxeológica do estudante investigando as atividades desenvolvidas em termos de Tarefa, técnica, teoria e tecnologia. A Tarefa (t), indica uma determinada ação para algum indivíduo, sendo ela usualmente “[...] expressa por um verbo: varrer a sala, expandir a expressão literal dada, dividir um número inteiro por outro, cumprimentar um vizinho, ler um manual de instruções, subir as escadas [...]” (1999, p. 2, tradução nossa). </w:t>
      </w:r>
    </w:p>
    <w:p w14:paraId="00000024">
      <w:pPr>
        <w:widowControl w:val="on"/>
        <w:spacing w:line="360" w:lineRule="auto"/>
        <w:ind w:firstLine="720"/>
        <w:jc w:val="both"/>
        <w:rPr>
          <w:rFonts w:ascii="Times New Roman" w:cs="Times New Roman" w:eastAsia="Times New Roman" w:hAnsi="Times New Roman"/>
          <w:sz w:val="24"/>
          <w:szCs w:val="24"/>
        </w:rPr>
      </w:pPr>
      <w:r>
        <w:rPr>
          <w:rFonts w:ascii="Cardo" w:cs="Cardo" w:eastAsia="Cardo" w:hAnsi="Cardo"/>
          <w:sz w:val="24"/>
          <w:szCs w:val="24"/>
          <w:rtl w:val="off"/>
        </w:rPr>
        <w:t xml:space="preserve">Consequentemente, uma tarefa (τ) é desenvolvida por uma técnica que permite a sua solução. Assim, ela é compreendida como “[...] uma maneira de realizar, de executar as tarefas t ∈ T: tal maneira de fazer as coisas, τ, é chamada de técnica (do grego </w:t>
      </w:r>
      <w:r>
        <w:rPr>
          <w:rFonts w:ascii="Times New Roman" w:cs="Times New Roman" w:eastAsia="Times New Roman" w:hAnsi="Times New Roman"/>
          <w:sz w:val="24"/>
          <w:szCs w:val="24"/>
          <w:rtl w:val="off"/>
        </w:rPr>
        <w:t>tekhnê</w:t>
      </w:r>
      <w:r>
        <w:rPr>
          <w:rFonts w:ascii="Times New Roman" w:cs="Times New Roman" w:eastAsia="Times New Roman" w:hAnsi="Times New Roman"/>
          <w:sz w:val="24"/>
          <w:szCs w:val="24"/>
          <w:rtl w:val="off"/>
        </w:rPr>
        <w:t xml:space="preserve">, know-how)” (Chevallard, 1999, p, 2, tradução nossa). Na sala de aula, por exemplo, ao apresentarmos um comando para o aluno modelar uma situação, ele claramente irá apresentar uma técnica para resolver essa tarefa. </w:t>
      </w:r>
    </w:p>
    <w:p w14:paraId="00000025">
      <w:pPr>
        <w:widowControl w:val="on"/>
        <w:spacing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 xml:space="preserve">Para justificar as técnicas, isto é, validar o que o aluno realizou temos as tecnologias (θ), que são os conceitos que legitimam as ações feitas. Para Chevallard (1999, p. 3, tradução nossa), o objetivo principal da tecnologia  “[...] é justificar "racionalmente a técnica τ, assegurando-nos de que ela de fato nos permite realizar as tarefas do tipo T, ou seja, alcançar o que é reivindicado”. </w:t>
      </w:r>
    </w:p>
    <w:p w14:paraId="00000026">
      <w:pPr>
        <w:widowControl w:val="on"/>
        <w:spacing w:before="0" w:after="0"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Por sua vez, as teorias (Θ) fornecem justificativas para as tecnologias utilizadas (Chevallard, 1999). Com efeito, ao realizar a atividade de expressar algebricamente uma função, deve ser adotada uma técnica a critério do estudante, bem como dos dados apresentados, sendo necessária a utilização de conceitos que dizem respeito ao quadro tecnológico, sendo ele justificado pelo campo das funções e seus contribuintes para esse campo matemático.</w:t>
      </w:r>
    </w:p>
    <w:p w14:paraId="00000027">
      <w:pPr>
        <w:widowControl w:val="on"/>
        <w:spacing w:before="0" w:after="0"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 xml:space="preserve">Feita a apresentação dos elementos que constituem uma organização praxeológica, temos um quadro apresentado da seguinte forma  [T/τ/θ/Θ] que denota uma praxeologia pontual. </w:t>
      </w:r>
      <w:r>
        <w:rPr>
          <w:rFonts w:ascii="Times New Roman" w:cs="Times New Roman" w:eastAsia="Times New Roman" w:hAnsi="Times New Roman"/>
          <w:sz w:val="24"/>
          <w:szCs w:val="24"/>
          <w:rtl w:val="off"/>
        </w:rPr>
        <w:t>Além disso,  o domínio das técnicas para resolver uma tarefa é denominado de</w:t>
      </w:r>
      <w:r>
        <w:rPr>
          <w:rFonts w:ascii="Times New Roman" w:cs="Times New Roman" w:eastAsia="Times New Roman" w:hAnsi="Times New Roman"/>
          <w:sz w:val="24"/>
          <w:szCs w:val="24"/>
          <w:rtl w:val="off"/>
        </w:rPr>
        <w:t xml:space="preserve"> bloco “saber - fazer”, enquanto que o bloco das tecnologias e teorias são expressos pelo bloco “saber”, bem como definido por Chevallard (1999). Dessarte, temos que tais noções nos permitem analisar a organização matemática de um estudante ao realizar determinadas tarefas, em nosso caso, tarefas associadas ao campo teórico da função afim e suas representações. </w:t>
      </w:r>
    </w:p>
    <w:p w14:paraId="00000028">
      <w:pPr>
        <w:widowControl w:val="on"/>
        <w:spacing w:before="120" w:after="120" w:line="360" w:lineRule="auto"/>
        <w:ind w:left="0" w:firstLine="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tl w:val="off"/>
        </w:rPr>
        <w:t xml:space="preserve">METODOLOGIA </w:t>
      </w:r>
    </w:p>
    <w:p w14:paraId="00000029">
      <w:pPr>
        <w:widowControl w:val="on"/>
        <w:spacing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 xml:space="preserve">A presente pesquisa busca investigar  como a organização praxeológica de estudantes do 1º ano do ensino médio, nos permite perceber as possíveis contribuições de um recurso manipulável  para o ensino de Função Afim. para tanto, levamos em consideração os estudos de Chevallard (1991, 1999) ao discutir a organização praxeológica no desenvolvimento de atividades matemáticas, bem como os estudos de Lorenzato (2010) que trazem contribuições acerca do uso de recursos para o ensino de Função Afim. </w:t>
      </w:r>
    </w:p>
    <w:p w14:paraId="0000002A">
      <w:pPr>
        <w:widowControl w:val="on"/>
        <w:spacing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Nesse sentido, foi realizada uma intervenção pelos participantes do PIBID, na qual foi trabalhado o conceito de Função Afim, utilizando-se um recurso didático manipulável, que consistia num copo, água, bolinhas de gude (esferas de vidro) de mesmo volume, régua e uma ficha de Tarefas, às quais o estudante deveria responder de forma investigativa, com os materiais fornecidos, tendo a atividade por finalidade, descobrir a função que descreve o aumento no nível da água conforme se adicionam uma determinada quantidade de bolinhas, através da apresentação da função em diferentes representações. Para tanto, vale salientar que cada grupo recebeu um desses conjuntos de materiais para desenvolver a atividade.</w:t>
      </w:r>
    </w:p>
    <w:p w14:paraId="0000002B">
      <w:pPr>
        <w:widowControl w:val="on"/>
        <w:spacing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Desse modo, a atividade foi realizada com uma turma de estudantes do 1º ano do Ensino médio de uma escola estadual do agreste pernambucano, os quais estavam vivenciando o conteúdo de funções, trabalhando em grupos de 3 integrantes, os quais tiveram que investigar, discutir e registrar seus resultados no espaço apropriado na ficha de Tarefas, possuindo um tempo de 1 hora e 40 minutos para a realização da referida atividade. É importante destacar, que cada grupo precisou registrar suas respostas em apenas uma ficha, além disso, os grupos serão identificados por 01A para os alunos do curso técnico em Administração e 01R para os de Redes e seguimos atribuindo o código até atingir a quantidade de grupos da sala, buscando preservar a identidade dos participantes da pesquisa.</w:t>
      </w:r>
    </w:p>
    <w:p w14:paraId="0000002C">
      <w:pPr>
        <w:widowControl w:val="on"/>
        <w:spacing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Para a aula, os alunos receberam 24 bolinhas de gude e tiveram que ir colocando no copo, seguindo as instruções das tarefas (T) propostas, e ir medindo com uma régua para acompanhar a variação do líquido, em função da quantidade de bolinhas. Ao final da vivência, as fichas fornecidas com as tarefas (T) e as técnicas (τ) apresentadas foram recolhidas pelos pibidianos, obtendo assim, os dados a serem analisados nesta pesquisa.</w:t>
      </w:r>
    </w:p>
    <w:p w14:paraId="0000002D">
      <w:pPr>
        <w:widowControl w:val="on"/>
        <w:spacing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Diante desse exposto, nossa investigação possui uma abordagem qualitativa, assim como definida por Minayo (2001), uma vez que os dados coletados serão analisados a partir de aspectos como relações do estudante com os saberes ensinados, estratégias e métodos utilizados, que são informações valiosas para entender a efetividade e o nível de acompanhamento dos grupos, quanto ao conteúdo ensinado. Além disso, ela possui caráter descritivo, pois buscamos à descrição dos aspectos observados, quanto a relação do recurso utilizado com o acompanhamento dos grupos na vivência (Gil, 2008).</w:t>
      </w:r>
    </w:p>
    <w:p w14:paraId="0000002E">
      <w:pPr>
        <w:widowControl w:val="on"/>
        <w:spacing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 xml:space="preserve">A partir do exposto, os dados coletados foram analisados com base na TAD, a partir da qual a análise se deu com base na organização praxeológica do estudante, que se configura numa proposta de análise das tarefas (T) propostas ao estudante, que foram resolvidas a partir de Técnicas (τ) empregadas, que por sua vez são justificadas por Tecnologias (θ), sendo estes aspectos associados a uma teoria (Θ), que neste caso em específico, seria a Função Afim, baseada nas contribuições de Iezzi e Murakami (2013) e Medeiros </w:t>
      </w:r>
      <w:r>
        <w:rPr>
          <w:rFonts w:ascii="Times New Roman" w:cs="Times New Roman" w:eastAsia="Times New Roman" w:hAnsi="Times New Roman"/>
          <w:i/>
          <w:sz w:val="24"/>
          <w:szCs w:val="24"/>
          <w:rtl w:val="off"/>
        </w:rPr>
        <w:t>et al.</w:t>
      </w:r>
      <w:r>
        <w:rPr>
          <w:rFonts w:ascii="Times New Roman" w:cs="Times New Roman" w:eastAsia="Times New Roman" w:hAnsi="Times New Roman"/>
          <w:sz w:val="24"/>
          <w:szCs w:val="24"/>
          <w:rtl w:val="off"/>
        </w:rPr>
        <w:t xml:space="preserve"> (2011). A partir destes aspectos, pudemos realizar nossas análises, reflexões, inferências e discussões, a respeito dos dados coletados, e por consequência buscar atingir nosso objetivo de pesquisa.</w:t>
      </w:r>
    </w:p>
    <w:p w14:paraId="0000002F">
      <w:pPr>
        <w:widowControl w:val="on"/>
        <w:spacing w:before="120" w:after="120" w:line="360" w:lineRule="auto"/>
        <w:ind w:left="0" w:firstLine="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tl w:val="off"/>
        </w:rPr>
        <w:t>RESULTADOS E DISCUSSÕES</w:t>
      </w:r>
    </w:p>
    <w:p w14:paraId="00000030">
      <w:pPr>
        <w:widowControl w:val="on"/>
        <w:spacing w:line="360" w:lineRule="auto"/>
        <w:ind w:left="0" w:firstLine="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tl w:val="off"/>
        </w:rPr>
        <w:tab/>
      </w:r>
      <w:r>
        <w:rPr>
          <w:rFonts w:ascii="Times New Roman" w:cs="Times New Roman" w:eastAsia="Times New Roman" w:hAnsi="Times New Roman"/>
          <w:sz w:val="24"/>
          <w:szCs w:val="24"/>
          <w:rtl w:val="off"/>
        </w:rPr>
        <w:t>Partindo de nossas análises, no quadro 1 é apresentada a relação dos grupos que conseguiram desenvolver cada Tarefa (T). Assim, 21 grupos conseguiram desenvolver a T1, 16 a T2, 15 a T3 e 20 grupos desenvolveram a Tarefa T4. Desse modo, podemos observar que grande parte dos grupos foram capazes de desenvolver o que pedem as Tarefas.</w:t>
      </w:r>
    </w:p>
    <w:p w14:paraId="00000031">
      <w:pPr>
        <w:widowControl w:val="on"/>
        <w:spacing w:line="360" w:lineRule="auto"/>
        <w:ind w:left="0" w:firstLine="0"/>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Quadro 1 - Quadro de tarefas cumpridas pelos alunos </w:t>
      </w:r>
    </w:p>
    <w:tbl>
      <w:tblPr>
        <w:tblStyle w:val="Table1"/>
        <w:tblW w:w="8460"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525"/>
        <w:gridCol w:w="3150"/>
        <w:gridCol w:w="4785"/>
      </w:tblGrid>
      <w:tr>
        <w:trPr>
          <w:cantSplit w:val="off"/>
          <w:trHeight w:val="440" w:hRule="atLeast"/>
          <w:tblHeader w:val="off"/>
        </w:trPr>
        <w:tc>
          <w:tcPr>
            <w:cnfStyle w:val="000000000000"/>
            <w:gridSpan w:val="3"/>
            <w:shd w:val="clear" w:fill="auto"/>
            <w:tcMar>
              <w:top w:w="0" w:type="dxa"/>
              <w:left w:w="0" w:type="dxa"/>
              <w:bottom w:w="0" w:type="dxa"/>
              <w:right w:w="0" w:type="dxa"/>
            </w:tcMar>
            <w:vAlign w:val="top"/>
          </w:tcPr>
          <w:p w14:paraId="00000032">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Tarefas</w:t>
            </w:r>
          </w:p>
        </w:tc>
      </w:tr>
      <w:tr>
        <w:trPr>
          <w:cantSplit w:val="off"/>
          <w:tblHeader w:val="off"/>
        </w:trPr>
        <w:tc>
          <w:tcPr>
            <w:cnfStyle w:val="000000000000"/>
            <w:shd w:val="clear" w:fill="auto"/>
            <w:tcMar>
              <w:top w:w="0" w:type="dxa"/>
              <w:left w:w="0" w:type="dxa"/>
              <w:bottom w:w="0" w:type="dxa"/>
              <w:right w:w="0" w:type="dxa"/>
            </w:tcMar>
            <w:vAlign w:val="top"/>
          </w:tcPr>
          <w:p w14:paraId="00000033">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T1</w:t>
            </w:r>
          </w:p>
        </w:tc>
        <w:tc>
          <w:tcPr>
            <w:cnfStyle w:val="000000000000"/>
            <w:shd w:val="clear" w:fill="auto"/>
            <w:tcMar>
              <w:top w:w="0" w:type="dxa"/>
              <w:left w:w="0" w:type="dxa"/>
              <w:bottom w:w="0" w:type="dxa"/>
              <w:right w:w="0" w:type="dxa"/>
            </w:tcMar>
            <w:vAlign w:val="top"/>
          </w:tcPr>
          <w:p w14:paraId="00000034">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left"/>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Faça o nível da água subir 0,5 cm.</w:t>
            </w:r>
          </w:p>
        </w:tc>
        <w:tc>
          <w:tcPr>
            <w:cnfStyle w:val="000000000000"/>
            <w:shd w:val="clear" w:fill="auto"/>
            <w:tcMar>
              <w:top w:w="0" w:type="dxa"/>
              <w:left w:w="0" w:type="dxa"/>
              <w:bottom w:w="0" w:type="dxa"/>
              <w:right w:w="0" w:type="dxa"/>
            </w:tcMar>
            <w:vAlign w:val="top"/>
          </w:tcPr>
          <w:p w14:paraId="00000035">
            <w:pPr>
              <w:widowControl w:val="on"/>
              <w:spacing w:after="0" w:line="240" w:lineRule="auto"/>
              <w:jc w:val="both"/>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01R - 02R - 03R - 04R - 07R - 09R- 10R - 11R - </w:t>
            </w:r>
            <w:r>
              <w:rPr>
                <w:rFonts w:ascii="Times New Roman" w:cs="Times New Roman" w:eastAsia="Times New Roman" w:hAnsi="Times New Roman"/>
                <w:sz w:val="20"/>
                <w:szCs w:val="20"/>
                <w:rtl w:val="off"/>
              </w:rPr>
              <w:t>12R</w:t>
            </w:r>
            <w:r>
              <w:rPr>
                <w:rFonts w:ascii="Times New Roman" w:cs="Times New Roman" w:eastAsia="Times New Roman" w:hAnsi="Times New Roman"/>
                <w:sz w:val="20"/>
                <w:szCs w:val="20"/>
                <w:rtl w:val="off"/>
              </w:rPr>
              <w:t xml:space="preserve"> - 13R - 01A - 02A - 03A - 04A - 05A - 07A - 08A -  09A - 10A - 11A - 12A</w:t>
            </w:r>
          </w:p>
        </w:tc>
      </w:tr>
      <w:tr>
        <w:trPr>
          <w:cantSplit w:val="off"/>
          <w:trHeight w:val="675" w:hRule="atLeast"/>
          <w:tblHeader w:val="off"/>
        </w:trPr>
        <w:tc>
          <w:tcPr>
            <w:cnfStyle w:val="000000000000"/>
            <w:shd w:val="clear" w:fill="auto"/>
            <w:tcMar>
              <w:top w:w="0" w:type="dxa"/>
              <w:left w:w="0" w:type="dxa"/>
              <w:bottom w:w="0" w:type="dxa"/>
              <w:right w:w="0" w:type="dxa"/>
            </w:tcMar>
            <w:vAlign w:val="top"/>
          </w:tcPr>
          <w:p w14:paraId="00000036">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T2</w:t>
            </w:r>
          </w:p>
        </w:tc>
        <w:tc>
          <w:tcPr>
            <w:cnfStyle w:val="000000000000"/>
            <w:shd w:val="clear" w:fill="auto"/>
            <w:tcMar>
              <w:top w:w="0" w:type="dxa"/>
              <w:left w:w="0" w:type="dxa"/>
              <w:bottom w:w="0" w:type="dxa"/>
              <w:right w:w="0" w:type="dxa"/>
            </w:tcMar>
            <w:vAlign w:val="top"/>
          </w:tcPr>
          <w:p w14:paraId="00000037">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left"/>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Faça o nível da água subir 1,5 cm.</w:t>
            </w:r>
          </w:p>
        </w:tc>
        <w:tc>
          <w:tcPr>
            <w:cnfStyle w:val="000000000000"/>
            <w:shd w:val="clear" w:fill="auto"/>
            <w:tcMar>
              <w:top w:w="0" w:type="dxa"/>
              <w:left w:w="0" w:type="dxa"/>
              <w:bottom w:w="0" w:type="dxa"/>
              <w:right w:w="0" w:type="dxa"/>
            </w:tcMar>
            <w:vAlign w:val="top"/>
          </w:tcPr>
          <w:p w14:paraId="00000038">
            <w:pPr>
              <w:widowControl w:val="on"/>
              <w:spacing w:after="0" w:line="240" w:lineRule="auto"/>
              <w:jc w:val="both"/>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02R - </w:t>
            </w:r>
            <w:r>
              <w:rPr>
                <w:rFonts w:ascii="Times New Roman" w:cs="Times New Roman" w:eastAsia="Times New Roman" w:hAnsi="Times New Roman"/>
                <w:color w:val="1f1f1f"/>
                <w:sz w:val="20"/>
                <w:szCs w:val="20"/>
                <w:rtl w:val="off"/>
              </w:rPr>
              <w:t xml:space="preserve">11R - 01R - 04R - 07R - 09R - 10R - 12R - </w:t>
            </w:r>
            <w:r>
              <w:rPr>
                <w:rFonts w:ascii="Times New Roman" w:cs="Times New Roman" w:eastAsia="Times New Roman" w:hAnsi="Times New Roman"/>
                <w:sz w:val="20"/>
                <w:szCs w:val="20"/>
                <w:rtl w:val="off"/>
              </w:rPr>
              <w:t xml:space="preserve"> 01A - 11A - 12A - 03A - 06A - 08A - 09A - 10A</w:t>
            </w:r>
          </w:p>
        </w:tc>
      </w:tr>
      <w:tr>
        <w:trPr>
          <w:cantSplit w:val="off"/>
          <w:trHeight w:val="660" w:hRule="atLeast"/>
          <w:tblHeader w:val="off"/>
        </w:trPr>
        <w:tc>
          <w:tcPr>
            <w:cnfStyle w:val="000000000000"/>
            <w:shd w:val="clear" w:fill="auto"/>
            <w:tcMar>
              <w:top w:w="0" w:type="dxa"/>
              <w:left w:w="0" w:type="dxa"/>
              <w:bottom w:w="0" w:type="dxa"/>
              <w:right w:w="0" w:type="dxa"/>
            </w:tcMar>
            <w:vAlign w:val="top"/>
          </w:tcPr>
          <w:p w14:paraId="00000039">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T3</w:t>
            </w:r>
          </w:p>
        </w:tc>
        <w:tc>
          <w:tcPr>
            <w:cnfStyle w:val="000000000000"/>
            <w:shd w:val="clear" w:fill="auto"/>
            <w:tcMar>
              <w:top w:w="0" w:type="dxa"/>
              <w:left w:w="0" w:type="dxa"/>
              <w:bottom w:w="0" w:type="dxa"/>
              <w:right w:w="0" w:type="dxa"/>
            </w:tcMar>
            <w:vAlign w:val="top"/>
          </w:tcPr>
          <w:p w14:paraId="0000003A">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left"/>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Faça o nível da água subir 2,0 cm. </w:t>
            </w:r>
          </w:p>
        </w:tc>
        <w:tc>
          <w:tcPr>
            <w:cnfStyle w:val="000000000000"/>
            <w:shd w:val="clear" w:fill="auto"/>
            <w:tcMar>
              <w:top w:w="0" w:type="dxa"/>
              <w:left w:w="0" w:type="dxa"/>
              <w:bottom w:w="0" w:type="dxa"/>
              <w:right w:w="0" w:type="dxa"/>
            </w:tcMar>
            <w:vAlign w:val="top"/>
          </w:tcPr>
          <w:p w14:paraId="0000003B">
            <w:pPr>
              <w:widowControl w:val="on"/>
              <w:spacing w:after="0" w:line="240" w:lineRule="auto"/>
              <w:jc w:val="both"/>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01R - 04R - 07R - 09R - 10R - 12R - 02R - 03R - 11R - 01A - 11A - 02A - 06A -08A - 09A</w:t>
            </w:r>
          </w:p>
        </w:tc>
      </w:tr>
      <w:tr>
        <w:trPr>
          <w:cantSplit w:val="off"/>
          <w:tblHeader w:val="off"/>
        </w:trPr>
        <w:tc>
          <w:tcPr>
            <w:cnfStyle w:val="000000000000"/>
            <w:shd w:val="clear" w:fill="auto"/>
            <w:tcMar>
              <w:top w:w="0" w:type="dxa"/>
              <w:left w:w="0" w:type="dxa"/>
              <w:bottom w:w="0" w:type="dxa"/>
              <w:right w:w="0" w:type="dxa"/>
            </w:tcMar>
            <w:vAlign w:val="top"/>
          </w:tcPr>
          <w:p w14:paraId="0000003C">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T4</w:t>
            </w:r>
          </w:p>
        </w:tc>
        <w:tc>
          <w:tcPr>
            <w:cnfStyle w:val="000000000000"/>
            <w:shd w:val="clear" w:fill="auto"/>
            <w:tcMar>
              <w:top w:w="0" w:type="dxa"/>
              <w:left w:w="0" w:type="dxa"/>
              <w:bottom w:w="0" w:type="dxa"/>
              <w:right w:w="0" w:type="dxa"/>
            </w:tcMar>
            <w:vAlign w:val="top"/>
          </w:tcPr>
          <w:p w14:paraId="0000003D">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both"/>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Preencha a tabela a seguir com a variação do nível da água em relação à quantidade de bolinhas utilizadas.</w:t>
            </w:r>
          </w:p>
        </w:tc>
        <w:tc>
          <w:tcPr>
            <w:cnfStyle w:val="000000000000"/>
            <w:shd w:val="clear" w:fill="auto"/>
            <w:tcMar>
              <w:top w:w="0" w:type="dxa"/>
              <w:left w:w="0" w:type="dxa"/>
              <w:bottom w:w="0" w:type="dxa"/>
              <w:right w:w="0" w:type="dxa"/>
            </w:tcMar>
            <w:vAlign w:val="top"/>
          </w:tcPr>
          <w:p w14:paraId="0000003E">
            <w:pPr>
              <w:widowControl w:val="on"/>
              <w:spacing w:after="0" w:line="240" w:lineRule="auto"/>
              <w:jc w:val="both"/>
              <w:rPr>
                <w:rFonts w:ascii="Times New Roman" w:cs="Times New Roman" w:eastAsia="Times New Roman" w:hAnsi="Times New Roman"/>
                <w:sz w:val="16"/>
                <w:szCs w:val="16"/>
              </w:rPr>
            </w:pPr>
            <w:r>
              <w:rPr>
                <w:rFonts w:ascii="Times New Roman" w:cs="Times New Roman" w:eastAsia="Times New Roman" w:hAnsi="Times New Roman"/>
                <w:sz w:val="20"/>
                <w:szCs w:val="20"/>
                <w:rtl w:val="off"/>
              </w:rPr>
              <w:t>01R</w:t>
            </w:r>
            <w:r>
              <w:rPr>
                <w:rFonts w:ascii="Times New Roman" w:cs="Times New Roman" w:eastAsia="Times New Roman" w:hAnsi="Times New Roman"/>
                <w:sz w:val="20"/>
                <w:szCs w:val="20"/>
                <w:rtl w:val="off"/>
              </w:rPr>
              <w:t xml:space="preserve"> - 04R - 08R - 09R - 10R - 12R - 03R - </w:t>
            </w:r>
            <w:r>
              <w:rPr>
                <w:rFonts w:ascii="Times New Roman" w:cs="Times New Roman" w:eastAsia="Times New Roman" w:hAnsi="Times New Roman"/>
                <w:sz w:val="20"/>
                <w:szCs w:val="20"/>
                <w:rtl w:val="off"/>
              </w:rPr>
              <w:t>11R</w:t>
            </w:r>
            <w:r>
              <w:rPr>
                <w:rFonts w:ascii="Times New Roman" w:cs="Times New Roman" w:eastAsia="Times New Roman" w:hAnsi="Times New Roman"/>
                <w:sz w:val="20"/>
                <w:szCs w:val="20"/>
                <w:rtl w:val="off"/>
              </w:rPr>
              <w:t>-  14R - 02R. - 01A - 02A - 03A - 04A -07A - 11A - 12A, 08A - 09A - 10A</w:t>
            </w:r>
          </w:p>
        </w:tc>
      </w:tr>
    </w:tbl>
    <w:p w14:paraId="0000003F">
      <w:pPr>
        <w:widowControl w:val="on"/>
        <w:spacing w:line="360" w:lineRule="auto"/>
        <w:ind w:left="0" w:firstLine="0"/>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Fonte: autores (2025). </w:t>
      </w:r>
    </w:p>
    <w:p w14:paraId="00000040">
      <w:pPr>
        <w:widowControl w:val="on"/>
        <w:spacing w:line="360" w:lineRule="auto"/>
        <w:ind w:left="0" w:firstLin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ab/>
        <w:t>Apesar de grande parte dos grupos terem conseguido desenvolver a atividade experimental, ainda houveram aqueles que utilizaram outras técnicas que não foram suficientes para alcançar o resultado esperado em cada tarefa. Assim, 5 grupos não cumpriram a T1, 10 a T2, 11 a T3, e 6 grupos não cumpriram a T4.</w:t>
      </w:r>
    </w:p>
    <w:p w14:paraId="00000041">
      <w:pPr>
        <w:widowControl w:val="on"/>
        <w:spacing w:line="360" w:lineRule="auto"/>
        <w:ind w:left="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 xml:space="preserve">O quadro 2 apresenta todas as </w:t>
      </w:r>
      <w:r>
        <w:rPr>
          <w:rFonts w:ascii="Times New Roman" w:cs="Times New Roman" w:eastAsia="Times New Roman" w:hAnsi="Times New Roman"/>
          <w:sz w:val="24"/>
          <w:szCs w:val="24"/>
          <w:rtl w:val="off"/>
        </w:rPr>
        <w:t>técnicas (</w:t>
      </w:r>
      <w:r>
        <w:rPr>
          <w:rFonts w:ascii="Times New Roman" w:cs="Times New Roman" w:eastAsia="Times New Roman" w:hAnsi="Times New Roman"/>
          <w:sz w:val="24"/>
          <w:szCs w:val="24"/>
          <w:rtl w:val="off"/>
        </w:rPr>
        <w:t>τ</w:t>
      </w:r>
      <w:r>
        <w:rPr>
          <w:rFonts w:ascii="Times New Roman" w:cs="Times New Roman" w:eastAsia="Times New Roman" w:hAnsi="Times New Roman"/>
          <w:sz w:val="24"/>
          <w:szCs w:val="24"/>
          <w:rtl w:val="off"/>
        </w:rPr>
        <w:t>) empregadas</w:t>
      </w:r>
      <w:r>
        <w:rPr>
          <w:rFonts w:ascii="Times New Roman" w:cs="Times New Roman" w:eastAsia="Times New Roman" w:hAnsi="Times New Roman"/>
          <w:sz w:val="24"/>
          <w:szCs w:val="24"/>
          <w:rtl w:val="off"/>
        </w:rPr>
        <w:t xml:space="preserve"> pelos grupos para cumprirem as Tarefas (T), de modo que τ1, τ2, τ3, τ4 e τ5, são técnicas de T1, e τ6 e τ7 são técnicas de T2. Assim segue:</w:t>
      </w:r>
    </w:p>
    <w:p w14:paraId="00000042">
      <w:pPr>
        <w:widowControl w:val="on"/>
        <w:spacing w:after="160" w:line="259" w:lineRule="auto"/>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Quadro 2 - Técnicas apresentadas pelos estudantes no desenvolvimento das tarefas </w:t>
      </w:r>
    </w:p>
    <w:tbl>
      <w:tblPr>
        <w:tblStyle w:val="Table2"/>
        <w:tblW w:w="9000"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465"/>
        <w:gridCol w:w="465"/>
        <w:gridCol w:w="2115"/>
        <w:gridCol w:w="5955"/>
      </w:tblGrid>
      <w:tr>
        <w:trPr>
          <w:cantSplit w:val="off"/>
          <w:trHeight w:val="420" w:hRule="atLeast"/>
          <w:tblHeader w:val="off"/>
        </w:trPr>
        <w:tc>
          <w:tcPr>
            <w:cnfStyle w:val="000000000000"/>
            <w:gridSpan w:val="4"/>
            <w:shd w:val="clear" w:fill="auto"/>
            <w:tcMar>
              <w:top w:w="100" w:type="dxa"/>
              <w:left w:w="100" w:type="dxa"/>
              <w:bottom w:w="100" w:type="dxa"/>
              <w:right w:w="100" w:type="dxa"/>
            </w:tcMar>
            <w:vAlign w:val="top"/>
          </w:tcPr>
          <w:p w14:paraId="00000043">
            <w:pPr>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Ténicas</w:t>
            </w:r>
          </w:p>
        </w:tc>
      </w:tr>
      <w:tr>
        <w:trPr>
          <w:cantSplit w:val="off"/>
          <w:trHeight w:val="396" w:hRule="atLeast"/>
          <w:tblHeader w:val="off"/>
        </w:trPr>
        <w:tc>
          <w:tcPr>
            <w:cnfStyle w:val="000000000000"/>
            <w:vMerge w:val="restart"/>
            <w:shd w:val="clear" w:fill="auto"/>
            <w:tcMar>
              <w:top w:w="0" w:type="dxa"/>
              <w:left w:w="0" w:type="dxa"/>
              <w:bottom w:w="0" w:type="dxa"/>
              <w:right w:w="0" w:type="dxa"/>
            </w:tcMar>
            <w:vAlign w:val="top"/>
          </w:tcPr>
          <w:p w14:paraId="00000044">
            <w:pPr>
              <w:jc w:val="center"/>
              <w:rPr>
                <w:rFonts w:ascii="Times New Roman" w:cs="Times New Roman" w:eastAsia="Times New Roman" w:hAnsi="Times New Roman"/>
                <w:sz w:val="20"/>
                <w:szCs w:val="20"/>
              </w:rPr>
            </w:pPr>
          </w:p>
          <w:p w14:paraId="00000045">
            <w:pPr>
              <w:jc w:val="center"/>
              <w:rPr>
                <w:rFonts w:ascii="Times New Roman" w:cs="Times New Roman" w:eastAsia="Times New Roman" w:hAnsi="Times New Roman"/>
                <w:sz w:val="20"/>
                <w:szCs w:val="20"/>
              </w:rPr>
            </w:pPr>
          </w:p>
          <w:p w14:paraId="00000046">
            <w:pPr>
              <w:jc w:val="center"/>
              <w:rPr>
                <w:rFonts w:ascii="Times New Roman" w:cs="Times New Roman" w:eastAsia="Times New Roman" w:hAnsi="Times New Roman"/>
                <w:sz w:val="20"/>
                <w:szCs w:val="20"/>
              </w:rPr>
            </w:pPr>
          </w:p>
          <w:p w14:paraId="00000047">
            <w:pPr>
              <w:jc w:val="center"/>
              <w:rPr>
                <w:rFonts w:ascii="Times New Roman" w:cs="Times New Roman" w:eastAsia="Times New Roman" w:hAnsi="Times New Roman"/>
                <w:sz w:val="20"/>
                <w:szCs w:val="20"/>
              </w:rPr>
            </w:pPr>
          </w:p>
          <w:p w14:paraId="00000048">
            <w:pPr>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T1</w:t>
            </w:r>
          </w:p>
        </w:tc>
        <w:tc>
          <w:tcPr>
            <w:cnfStyle w:val="000000000000"/>
            <w:shd w:val="clear" w:fill="auto"/>
            <w:tcMar>
              <w:top w:w="0" w:type="dxa"/>
              <w:left w:w="0" w:type="dxa"/>
              <w:bottom w:w="0" w:type="dxa"/>
              <w:right w:w="0" w:type="dxa"/>
            </w:tcMar>
            <w:vAlign w:val="top"/>
          </w:tcPr>
          <w:p w14:paraId="00000049">
            <w:pPr>
              <w:jc w:val="center"/>
              <w:rPr>
                <w:rFonts w:ascii="Times New Roman" w:cs="Times New Roman" w:eastAsia="Times New Roman" w:hAnsi="Times New Roman"/>
                <w:sz w:val="20"/>
                <w:szCs w:val="20"/>
              </w:rPr>
            </w:pPr>
            <w:r>
              <w:rPr>
                <w:rFonts w:ascii="Times New Roman" w:cs="Times New Roman" w:eastAsia="Times New Roman" w:hAnsi="Times New Roman"/>
                <w:sz w:val="24"/>
                <w:szCs w:val="24"/>
                <w:rtl w:val="off"/>
              </w:rPr>
              <w:t>τ</w:t>
            </w:r>
            <w:r>
              <w:rPr>
                <w:rFonts w:ascii="Times New Roman" w:cs="Times New Roman" w:eastAsia="Times New Roman" w:hAnsi="Times New Roman"/>
                <w:sz w:val="20"/>
                <w:szCs w:val="20"/>
                <w:rtl w:val="off"/>
              </w:rPr>
              <w:t>1</w:t>
            </w:r>
          </w:p>
        </w:tc>
        <w:tc>
          <w:tcPr>
            <w:cnfStyle w:val="000000000000"/>
            <w:shd w:val="clear" w:fill="auto"/>
            <w:tcMar>
              <w:top w:w="0" w:type="dxa"/>
              <w:left w:w="0" w:type="dxa"/>
              <w:bottom w:w="0" w:type="dxa"/>
              <w:right w:w="0" w:type="dxa"/>
            </w:tcMar>
            <w:vAlign w:val="top"/>
          </w:tcPr>
          <w:p w14:paraId="0000004A">
            <w:pP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colocar de 3 em 3 bolas</w:t>
            </w:r>
          </w:p>
        </w:tc>
        <w:tc>
          <w:tcPr>
            <w:cnfStyle w:val="000000000000"/>
            <w:shd w:val="clear" w:fill="auto"/>
            <w:tcMar>
              <w:top w:w="0" w:type="dxa"/>
              <w:left w:w="0" w:type="dxa"/>
              <w:bottom w:w="0" w:type="dxa"/>
              <w:right w:w="0" w:type="dxa"/>
            </w:tcMar>
            <w:vAlign w:val="top"/>
          </w:tcPr>
          <w:p w14:paraId="0000004B">
            <w:pPr>
              <w:rPr>
                <w:rFonts w:ascii="Times New Roman" w:cs="Times New Roman" w:eastAsia="Times New Roman" w:hAnsi="Times New Roman"/>
                <w:sz w:val="20"/>
                <w:szCs w:val="20"/>
                <w:highlight w:val="white"/>
              </w:rPr>
            </w:pPr>
            <w:r>
              <w:rPr>
                <w:rFonts w:ascii="Times New Roman" w:cs="Times New Roman" w:eastAsia="Times New Roman" w:hAnsi="Times New Roman"/>
                <w:sz w:val="20"/>
                <w:szCs w:val="20"/>
                <w:rtl w:val="off"/>
              </w:rPr>
              <w:t xml:space="preserve">01R - 04R - 07R - 08R - 09R - 10R -  12R - 01A </w:t>
            </w:r>
            <w:r>
              <w:rPr>
                <w:rFonts w:ascii="Times New Roman" w:cs="Times New Roman" w:eastAsia="Times New Roman" w:hAnsi="Times New Roman"/>
                <w:sz w:val="20"/>
                <w:szCs w:val="20"/>
                <w:highlight w:val="yellow"/>
                <w:rtl w:val="off"/>
              </w:rPr>
              <w:t xml:space="preserve">04A </w:t>
            </w:r>
            <w:r>
              <w:rPr>
                <w:rFonts w:ascii="Times New Roman" w:cs="Times New Roman" w:eastAsia="Times New Roman" w:hAnsi="Times New Roman"/>
                <w:sz w:val="20"/>
                <w:szCs w:val="20"/>
                <w:highlight w:val="white"/>
                <w:rtl w:val="off"/>
              </w:rPr>
              <w:t xml:space="preserve"> - 07A  -11A - 12A </w:t>
            </w:r>
          </w:p>
        </w:tc>
      </w:tr>
      <w:tr>
        <w:trPr>
          <w:cantSplit w:val="off"/>
          <w:trHeight w:val="396" w:hRule="atLeast"/>
          <w:tblHeader w:val="off"/>
        </w:trPr>
        <w:tc>
          <w:tcPr>
            <w:cnfStyle w:val="000000000000"/>
            <w:vMerge w:val="continue"/>
            <w:shd w:val="clear" w:fill="auto"/>
            <w:tcMar>
              <w:top w:w="0" w:type="dxa"/>
              <w:left w:w="0" w:type="dxa"/>
              <w:bottom w:w="0" w:type="dxa"/>
              <w:right w:w="0" w:type="dxa"/>
            </w:tcMar>
            <w:vAlign w:val="top"/>
          </w:tcPr>
          <w:p w14:paraId="0000004C">
            <w:pPr>
              <w:spacing w:before="0" w:after="0" w:line="240" w:lineRule="auto"/>
              <w:ind w:left="0" w:firstLine="0"/>
              <w:jc w:val="center"/>
              <w:rPr>
                <w:rFonts w:ascii="Times New Roman" w:cs="Times New Roman" w:eastAsia="Times New Roman" w:hAnsi="Times New Roman"/>
                <w:sz w:val="20"/>
                <w:szCs w:val="20"/>
              </w:rPr>
            </w:pPr>
          </w:p>
        </w:tc>
        <w:tc>
          <w:tcPr>
            <w:cnfStyle w:val="000000000000"/>
            <w:shd w:val="clear" w:fill="auto"/>
            <w:tcMar>
              <w:top w:w="0" w:type="dxa"/>
              <w:left w:w="0" w:type="dxa"/>
              <w:bottom w:w="0" w:type="dxa"/>
              <w:right w:w="0" w:type="dxa"/>
            </w:tcMar>
            <w:vAlign w:val="top"/>
          </w:tcPr>
          <w:p w14:paraId="0000004D">
            <w:pPr>
              <w:jc w:val="center"/>
              <w:rPr>
                <w:rFonts w:ascii="Times New Roman" w:cs="Times New Roman" w:eastAsia="Times New Roman" w:hAnsi="Times New Roman"/>
                <w:sz w:val="20"/>
                <w:szCs w:val="20"/>
              </w:rPr>
            </w:pPr>
            <w:r>
              <w:rPr>
                <w:rFonts w:ascii="Times New Roman" w:cs="Times New Roman" w:eastAsia="Times New Roman" w:hAnsi="Times New Roman"/>
                <w:sz w:val="24"/>
                <w:szCs w:val="24"/>
                <w:rtl w:val="off"/>
              </w:rPr>
              <w:t>τ</w:t>
            </w:r>
            <w:r>
              <w:rPr>
                <w:rFonts w:ascii="Times New Roman" w:cs="Times New Roman" w:eastAsia="Times New Roman" w:hAnsi="Times New Roman"/>
                <w:sz w:val="20"/>
                <w:szCs w:val="20"/>
                <w:rtl w:val="off"/>
              </w:rPr>
              <w:t>2</w:t>
            </w:r>
          </w:p>
        </w:tc>
        <w:tc>
          <w:tcPr>
            <w:cnfStyle w:val="000000000000"/>
            <w:shd w:val="clear" w:fill="auto"/>
            <w:tcMar>
              <w:top w:w="0" w:type="dxa"/>
              <w:left w:w="0" w:type="dxa"/>
              <w:bottom w:w="0" w:type="dxa"/>
              <w:right w:w="0" w:type="dxa"/>
            </w:tcMar>
            <w:vAlign w:val="top"/>
          </w:tcPr>
          <w:p w14:paraId="0000004E">
            <w:pP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colocar de 4 em 4 bolas</w:t>
            </w:r>
          </w:p>
        </w:tc>
        <w:tc>
          <w:tcPr>
            <w:cnfStyle w:val="000000000000"/>
            <w:shd w:val="clear" w:fill="auto"/>
            <w:tcMar>
              <w:top w:w="0" w:type="dxa"/>
              <w:left w:w="0" w:type="dxa"/>
              <w:bottom w:w="0" w:type="dxa"/>
              <w:right w:w="0" w:type="dxa"/>
            </w:tcMar>
            <w:vAlign w:val="top"/>
          </w:tcPr>
          <w:p w14:paraId="0000004F">
            <w:pP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02R - 03R  - 11R - 14R -  02A - 06A -  08A - 09A 10A</w:t>
            </w:r>
          </w:p>
        </w:tc>
      </w:tr>
      <w:tr>
        <w:trPr>
          <w:cantSplit w:val="off"/>
          <w:trHeight w:val="396" w:hRule="atLeast"/>
          <w:tblHeader w:val="off"/>
        </w:trPr>
        <w:tc>
          <w:tcPr>
            <w:cnfStyle w:val="000000000000"/>
            <w:vMerge w:val="continue"/>
            <w:shd w:val="clear" w:fill="auto"/>
            <w:tcMar>
              <w:top w:w="0" w:type="dxa"/>
              <w:left w:w="0" w:type="dxa"/>
              <w:bottom w:w="0" w:type="dxa"/>
              <w:right w:w="0" w:type="dxa"/>
            </w:tcMar>
            <w:vAlign w:val="top"/>
          </w:tcPr>
          <w:p w14:paraId="00000050">
            <w:pPr>
              <w:spacing w:before="0" w:after="0" w:line="240" w:lineRule="auto"/>
              <w:ind w:left="0" w:firstLine="0"/>
              <w:jc w:val="center"/>
              <w:rPr>
                <w:rFonts w:ascii="Times New Roman" w:cs="Times New Roman" w:eastAsia="Times New Roman" w:hAnsi="Times New Roman"/>
                <w:sz w:val="20"/>
                <w:szCs w:val="20"/>
              </w:rPr>
            </w:pPr>
          </w:p>
        </w:tc>
        <w:tc>
          <w:tcPr>
            <w:cnfStyle w:val="000000000000"/>
            <w:shd w:val="clear" w:fill="auto"/>
            <w:tcMar>
              <w:top w:w="0" w:type="dxa"/>
              <w:left w:w="0" w:type="dxa"/>
              <w:bottom w:w="0" w:type="dxa"/>
              <w:right w:w="0" w:type="dxa"/>
            </w:tcMar>
            <w:vAlign w:val="top"/>
          </w:tcPr>
          <w:p w14:paraId="00000051">
            <w:pPr>
              <w:jc w:val="center"/>
              <w:rPr>
                <w:rFonts w:ascii="Times New Roman" w:cs="Times New Roman" w:eastAsia="Times New Roman" w:hAnsi="Times New Roman"/>
                <w:sz w:val="20"/>
                <w:szCs w:val="20"/>
              </w:rPr>
            </w:pPr>
            <w:r>
              <w:rPr>
                <w:rFonts w:ascii="Times New Roman" w:cs="Times New Roman" w:eastAsia="Times New Roman" w:hAnsi="Times New Roman"/>
                <w:sz w:val="24"/>
                <w:szCs w:val="24"/>
                <w:rtl w:val="off"/>
              </w:rPr>
              <w:t>τ</w:t>
            </w:r>
            <w:r>
              <w:rPr>
                <w:rFonts w:ascii="Times New Roman" w:cs="Times New Roman" w:eastAsia="Times New Roman" w:hAnsi="Times New Roman"/>
                <w:sz w:val="20"/>
                <w:szCs w:val="20"/>
                <w:rtl w:val="off"/>
              </w:rPr>
              <w:t>3</w:t>
            </w:r>
          </w:p>
        </w:tc>
        <w:tc>
          <w:tcPr>
            <w:cnfStyle w:val="000000000000"/>
            <w:shd w:val="clear" w:fill="auto"/>
            <w:tcMar>
              <w:top w:w="0" w:type="dxa"/>
              <w:left w:w="0" w:type="dxa"/>
              <w:bottom w:w="0" w:type="dxa"/>
              <w:right w:w="0" w:type="dxa"/>
            </w:tcMar>
            <w:vAlign w:val="top"/>
          </w:tcPr>
          <w:p w14:paraId="00000052">
            <w:pP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Colocar de 5 em 5 bolas </w:t>
            </w:r>
          </w:p>
        </w:tc>
        <w:tc>
          <w:tcPr>
            <w:cnfStyle w:val="000000000000"/>
            <w:shd w:val="clear" w:fill="auto"/>
            <w:tcMar>
              <w:top w:w="0" w:type="dxa"/>
              <w:left w:w="0" w:type="dxa"/>
              <w:bottom w:w="0" w:type="dxa"/>
              <w:right w:w="0" w:type="dxa"/>
            </w:tcMar>
            <w:vAlign w:val="top"/>
          </w:tcPr>
          <w:p w14:paraId="00000053">
            <w:pP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06R </w:t>
            </w:r>
          </w:p>
        </w:tc>
      </w:tr>
      <w:tr>
        <w:trPr>
          <w:cantSplit w:val="off"/>
          <w:trHeight w:val="396" w:hRule="atLeast"/>
          <w:tblHeader w:val="off"/>
        </w:trPr>
        <w:tc>
          <w:tcPr>
            <w:cnfStyle w:val="000000000000"/>
            <w:vMerge w:val="continue"/>
            <w:shd w:val="clear" w:fill="auto"/>
            <w:tcMar>
              <w:top w:w="0" w:type="dxa"/>
              <w:left w:w="0" w:type="dxa"/>
              <w:bottom w:w="0" w:type="dxa"/>
              <w:right w:w="0" w:type="dxa"/>
            </w:tcMar>
            <w:vAlign w:val="top"/>
          </w:tcPr>
          <w:p w14:paraId="00000054">
            <w:pPr>
              <w:spacing w:before="0" w:after="0" w:line="240" w:lineRule="auto"/>
              <w:ind w:left="0" w:firstLine="0"/>
              <w:jc w:val="center"/>
              <w:rPr>
                <w:rFonts w:ascii="Times New Roman" w:cs="Times New Roman" w:eastAsia="Times New Roman" w:hAnsi="Times New Roman"/>
                <w:sz w:val="20"/>
                <w:szCs w:val="20"/>
              </w:rPr>
            </w:pPr>
          </w:p>
        </w:tc>
        <w:tc>
          <w:tcPr>
            <w:cnfStyle w:val="000000000000"/>
            <w:shd w:val="clear" w:fill="auto"/>
            <w:tcMar>
              <w:top w:w="0" w:type="dxa"/>
              <w:left w:w="0" w:type="dxa"/>
              <w:bottom w:w="0" w:type="dxa"/>
              <w:right w:w="0" w:type="dxa"/>
            </w:tcMar>
            <w:vAlign w:val="top"/>
          </w:tcPr>
          <w:p w14:paraId="00000055">
            <w:pPr>
              <w:jc w:val="center"/>
              <w:rPr>
                <w:rFonts w:ascii="Times New Roman" w:cs="Times New Roman" w:eastAsia="Times New Roman" w:hAnsi="Times New Roman"/>
                <w:sz w:val="20"/>
                <w:szCs w:val="20"/>
              </w:rPr>
            </w:pPr>
            <w:r>
              <w:rPr>
                <w:rFonts w:ascii="Times New Roman" w:cs="Times New Roman" w:eastAsia="Times New Roman" w:hAnsi="Times New Roman"/>
                <w:sz w:val="24"/>
                <w:szCs w:val="24"/>
                <w:rtl w:val="off"/>
              </w:rPr>
              <w:t>τ</w:t>
            </w:r>
            <w:r>
              <w:rPr>
                <w:rFonts w:ascii="Times New Roman" w:cs="Times New Roman" w:eastAsia="Times New Roman" w:hAnsi="Times New Roman"/>
                <w:sz w:val="20"/>
                <w:szCs w:val="20"/>
                <w:rtl w:val="off"/>
              </w:rPr>
              <w:t>4</w:t>
            </w:r>
          </w:p>
        </w:tc>
        <w:tc>
          <w:tcPr>
            <w:cnfStyle w:val="000000000000"/>
            <w:shd w:val="clear" w:fill="auto"/>
            <w:tcMar>
              <w:top w:w="0" w:type="dxa"/>
              <w:left w:w="0" w:type="dxa"/>
              <w:bottom w:w="0" w:type="dxa"/>
              <w:right w:w="0" w:type="dxa"/>
            </w:tcMar>
            <w:vAlign w:val="top"/>
          </w:tcPr>
          <w:p w14:paraId="00000056">
            <w:pP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colocar 4 e 3 bolas </w:t>
            </w:r>
          </w:p>
        </w:tc>
        <w:tc>
          <w:tcPr>
            <w:cnfStyle w:val="000000000000"/>
            <w:shd w:val="clear" w:fill="auto"/>
            <w:tcMar>
              <w:top w:w="0" w:type="dxa"/>
              <w:left w:w="0" w:type="dxa"/>
              <w:bottom w:w="0" w:type="dxa"/>
              <w:right w:w="0" w:type="dxa"/>
            </w:tcMar>
            <w:vAlign w:val="top"/>
          </w:tcPr>
          <w:p w14:paraId="00000057">
            <w:pP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05R </w:t>
            </w:r>
          </w:p>
        </w:tc>
      </w:tr>
      <w:tr>
        <w:trPr>
          <w:cantSplit w:val="off"/>
          <w:trHeight w:val="396" w:hRule="atLeast"/>
          <w:tblHeader w:val="off"/>
        </w:trPr>
        <w:tc>
          <w:tcPr>
            <w:cnfStyle w:val="000000000000"/>
            <w:vMerge w:val="continue"/>
            <w:shd w:val="clear" w:fill="auto"/>
            <w:tcMar>
              <w:top w:w="0" w:type="dxa"/>
              <w:left w:w="0" w:type="dxa"/>
              <w:bottom w:w="0" w:type="dxa"/>
              <w:right w:w="0" w:type="dxa"/>
            </w:tcMar>
            <w:vAlign w:val="top"/>
          </w:tcPr>
          <w:p w14:paraId="00000058">
            <w:pPr>
              <w:spacing w:before="0" w:after="0" w:line="240" w:lineRule="auto"/>
              <w:ind w:left="0" w:firstLine="0"/>
              <w:jc w:val="center"/>
              <w:rPr>
                <w:rFonts w:ascii="Times New Roman" w:cs="Times New Roman" w:eastAsia="Times New Roman" w:hAnsi="Times New Roman"/>
                <w:sz w:val="20"/>
                <w:szCs w:val="20"/>
              </w:rPr>
            </w:pPr>
          </w:p>
        </w:tc>
        <w:tc>
          <w:tcPr>
            <w:cnfStyle w:val="000000000000"/>
            <w:shd w:val="clear" w:fill="auto"/>
            <w:tcMar>
              <w:top w:w="0" w:type="dxa"/>
              <w:left w:w="0" w:type="dxa"/>
              <w:bottom w:w="0" w:type="dxa"/>
              <w:right w:w="0" w:type="dxa"/>
            </w:tcMar>
            <w:vAlign w:val="top"/>
          </w:tcPr>
          <w:p w14:paraId="00000059">
            <w:pPr>
              <w:jc w:val="center"/>
              <w:rPr>
                <w:rFonts w:ascii="Times New Roman" w:cs="Times New Roman" w:eastAsia="Times New Roman" w:hAnsi="Times New Roman"/>
                <w:sz w:val="20"/>
                <w:szCs w:val="20"/>
              </w:rPr>
            </w:pPr>
            <w:r>
              <w:rPr>
                <w:rFonts w:ascii="Times New Roman" w:cs="Times New Roman" w:eastAsia="Times New Roman" w:hAnsi="Times New Roman"/>
                <w:sz w:val="24"/>
                <w:szCs w:val="24"/>
                <w:rtl w:val="off"/>
              </w:rPr>
              <w:t>τ</w:t>
            </w:r>
            <w:r>
              <w:rPr>
                <w:rFonts w:ascii="Times New Roman" w:cs="Times New Roman" w:eastAsia="Times New Roman" w:hAnsi="Times New Roman"/>
                <w:sz w:val="20"/>
                <w:szCs w:val="20"/>
                <w:rtl w:val="off"/>
              </w:rPr>
              <w:t>5</w:t>
            </w:r>
          </w:p>
        </w:tc>
        <w:tc>
          <w:tcPr>
            <w:cnfStyle w:val="000000000000"/>
            <w:shd w:val="clear" w:fill="auto"/>
            <w:tcMar>
              <w:top w:w="0" w:type="dxa"/>
              <w:left w:w="0" w:type="dxa"/>
              <w:bottom w:w="0" w:type="dxa"/>
              <w:right w:w="0" w:type="dxa"/>
            </w:tcMar>
            <w:vAlign w:val="top"/>
          </w:tcPr>
          <w:p w14:paraId="0000005A">
            <w:pP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não tem padrão </w:t>
            </w:r>
          </w:p>
        </w:tc>
        <w:tc>
          <w:tcPr>
            <w:cnfStyle w:val="000000000000"/>
            <w:shd w:val="clear" w:fill="auto"/>
            <w:tcMar>
              <w:top w:w="0" w:type="dxa"/>
              <w:left w:w="0" w:type="dxa"/>
              <w:bottom w:w="0" w:type="dxa"/>
              <w:right w:w="0" w:type="dxa"/>
            </w:tcMar>
            <w:vAlign w:val="top"/>
          </w:tcPr>
          <w:p w14:paraId="0000005B">
            <w:pP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13R - </w:t>
            </w:r>
            <w:r>
              <w:rPr>
                <w:rFonts w:ascii="Times New Roman" w:cs="Times New Roman" w:eastAsia="Times New Roman" w:hAnsi="Times New Roman"/>
                <w:sz w:val="20"/>
                <w:szCs w:val="20"/>
                <w:highlight w:val="white"/>
                <w:rtl w:val="off"/>
              </w:rPr>
              <w:t xml:space="preserve">03A - 05A </w:t>
            </w:r>
          </w:p>
        </w:tc>
      </w:tr>
      <w:tr>
        <w:trPr>
          <w:cantSplit w:val="off"/>
          <w:trHeight w:val="396" w:hRule="atLeast"/>
          <w:tblHeader w:val="off"/>
        </w:trPr>
        <w:tc>
          <w:tcPr>
            <w:cnfStyle w:val="000000000000"/>
            <w:vMerge w:val="restart"/>
            <w:shd w:val="clear" w:fill="auto"/>
            <w:tcMar>
              <w:top w:w="0" w:type="dxa"/>
              <w:left w:w="0" w:type="dxa"/>
              <w:bottom w:w="0" w:type="dxa"/>
              <w:right w:w="0" w:type="dxa"/>
            </w:tcMar>
            <w:vAlign w:val="top"/>
          </w:tcPr>
          <w:p w14:paraId="0000005C">
            <w:pPr>
              <w:jc w:val="center"/>
              <w:rPr>
                <w:rFonts w:ascii="Times New Roman" w:cs="Times New Roman" w:eastAsia="Times New Roman" w:hAnsi="Times New Roman"/>
                <w:sz w:val="20"/>
                <w:szCs w:val="20"/>
              </w:rPr>
            </w:pPr>
          </w:p>
          <w:p w14:paraId="0000005D">
            <w:pPr>
              <w:jc w:val="center"/>
              <w:rPr>
                <w:rFonts w:ascii="Times New Roman" w:cs="Times New Roman" w:eastAsia="Times New Roman" w:hAnsi="Times New Roman"/>
                <w:sz w:val="20"/>
                <w:szCs w:val="20"/>
              </w:rPr>
            </w:pPr>
          </w:p>
          <w:p w14:paraId="0000005E">
            <w:pPr>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T2</w:t>
            </w:r>
          </w:p>
        </w:tc>
        <w:tc>
          <w:tcPr>
            <w:cnfStyle w:val="000000000000"/>
            <w:shd w:val="clear" w:fill="auto"/>
            <w:tcMar>
              <w:top w:w="0" w:type="dxa"/>
              <w:left w:w="0" w:type="dxa"/>
              <w:bottom w:w="0" w:type="dxa"/>
              <w:right w:w="0" w:type="dxa"/>
            </w:tcMar>
            <w:vAlign w:val="top"/>
          </w:tcPr>
          <w:p w14:paraId="0000005F">
            <w:pPr>
              <w:jc w:val="center"/>
              <w:rPr>
                <w:rFonts w:ascii="Times New Roman" w:cs="Times New Roman" w:eastAsia="Times New Roman" w:hAnsi="Times New Roman"/>
                <w:sz w:val="20"/>
                <w:szCs w:val="20"/>
              </w:rPr>
            </w:pPr>
            <w:r>
              <w:rPr>
                <w:rFonts w:ascii="Times New Roman" w:cs="Times New Roman" w:eastAsia="Times New Roman" w:hAnsi="Times New Roman"/>
                <w:sz w:val="24"/>
                <w:szCs w:val="24"/>
                <w:rtl w:val="off"/>
              </w:rPr>
              <w:t>τ</w:t>
            </w:r>
            <w:r>
              <w:rPr>
                <w:rFonts w:ascii="Times New Roman" w:cs="Times New Roman" w:eastAsia="Times New Roman" w:hAnsi="Times New Roman"/>
                <w:sz w:val="20"/>
                <w:szCs w:val="20"/>
                <w:rtl w:val="off"/>
              </w:rPr>
              <w:t>6</w:t>
            </w:r>
          </w:p>
        </w:tc>
        <w:tc>
          <w:tcPr>
            <w:cnfStyle w:val="000000000000"/>
            <w:shd w:val="clear" w:fill="auto"/>
            <w:tcMar>
              <w:top w:w="0" w:type="dxa"/>
              <w:left w:w="0" w:type="dxa"/>
              <w:bottom w:w="0" w:type="dxa"/>
              <w:right w:w="0" w:type="dxa"/>
            </w:tcMar>
            <w:vAlign w:val="top"/>
          </w:tcPr>
          <w:p w14:paraId="00000060">
            <w:pP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Função linear</w:t>
            </w:r>
          </w:p>
        </w:tc>
        <w:tc>
          <w:tcPr>
            <w:cnfStyle w:val="000000000000"/>
            <w:shd w:val="clear" w:fill="auto"/>
            <w:tcMar>
              <w:top w:w="0" w:type="dxa"/>
              <w:left w:w="0" w:type="dxa"/>
              <w:bottom w:w="0" w:type="dxa"/>
              <w:right w:w="0" w:type="dxa"/>
            </w:tcMar>
            <w:vAlign w:val="top"/>
          </w:tcPr>
          <w:p w14:paraId="00000061">
            <w:pP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03R - 06R - 08R - 10R - 06A - 07A - 08A </w:t>
            </w:r>
          </w:p>
        </w:tc>
      </w:tr>
      <w:tr>
        <w:trPr>
          <w:cantSplit w:val="off"/>
          <w:trHeight w:val="396" w:hRule="atLeast"/>
          <w:tblHeader w:val="off"/>
        </w:trPr>
        <w:tc>
          <w:tcPr>
            <w:cnfStyle w:val="000000000000"/>
            <w:vMerge w:val="continue"/>
            <w:shd w:val="clear" w:fill="auto"/>
            <w:tcMar>
              <w:top w:w="0" w:type="dxa"/>
              <w:left w:w="0" w:type="dxa"/>
              <w:bottom w:w="0" w:type="dxa"/>
              <w:right w:w="0" w:type="dxa"/>
            </w:tcMar>
            <w:vAlign w:val="top"/>
          </w:tcPr>
          <w:p w14:paraId="00000062">
            <w:pPr>
              <w:spacing w:before="0" w:after="0" w:line="240" w:lineRule="auto"/>
              <w:ind w:left="0" w:firstLine="0"/>
              <w:jc w:val="center"/>
              <w:rPr>
                <w:rFonts w:ascii="Times New Roman" w:cs="Times New Roman" w:eastAsia="Times New Roman" w:hAnsi="Times New Roman"/>
                <w:sz w:val="20"/>
                <w:szCs w:val="20"/>
              </w:rPr>
            </w:pPr>
          </w:p>
        </w:tc>
        <w:tc>
          <w:tcPr>
            <w:cnfStyle w:val="000000000000"/>
            <w:shd w:val="clear" w:fill="auto"/>
            <w:tcMar>
              <w:top w:w="0" w:type="dxa"/>
              <w:left w:w="0" w:type="dxa"/>
              <w:bottom w:w="0" w:type="dxa"/>
              <w:right w:w="0" w:type="dxa"/>
            </w:tcMar>
            <w:vAlign w:val="top"/>
          </w:tcPr>
          <w:p w14:paraId="00000063">
            <w:pPr>
              <w:jc w:val="center"/>
              <w:rPr>
                <w:rFonts w:ascii="Times New Roman" w:cs="Times New Roman" w:eastAsia="Times New Roman" w:hAnsi="Times New Roman"/>
                <w:sz w:val="20"/>
                <w:szCs w:val="20"/>
              </w:rPr>
            </w:pPr>
            <w:r>
              <w:rPr>
                <w:rFonts w:ascii="Times New Roman" w:cs="Times New Roman" w:eastAsia="Times New Roman" w:hAnsi="Times New Roman"/>
                <w:sz w:val="24"/>
                <w:szCs w:val="24"/>
                <w:rtl w:val="off"/>
              </w:rPr>
              <w:t>τ</w:t>
            </w:r>
            <w:r>
              <w:rPr>
                <w:rFonts w:ascii="Times New Roman" w:cs="Times New Roman" w:eastAsia="Times New Roman" w:hAnsi="Times New Roman"/>
                <w:sz w:val="20"/>
                <w:szCs w:val="20"/>
                <w:rtl w:val="off"/>
              </w:rPr>
              <w:t>7</w:t>
            </w:r>
          </w:p>
        </w:tc>
        <w:tc>
          <w:tcPr>
            <w:cnfStyle w:val="000000000000"/>
            <w:shd w:val="clear" w:fill="auto"/>
            <w:tcMar>
              <w:top w:w="0" w:type="dxa"/>
              <w:left w:w="0" w:type="dxa"/>
              <w:bottom w:w="0" w:type="dxa"/>
              <w:right w:w="0" w:type="dxa"/>
            </w:tcMar>
            <w:vAlign w:val="top"/>
          </w:tcPr>
          <w:p w14:paraId="00000064">
            <w:pP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Função afim</w:t>
            </w:r>
          </w:p>
        </w:tc>
        <w:tc>
          <w:tcPr>
            <w:cnfStyle w:val="000000000000"/>
            <w:shd w:val="clear" w:fill="auto"/>
            <w:tcMar>
              <w:top w:w="0" w:type="dxa"/>
              <w:left w:w="0" w:type="dxa"/>
              <w:bottom w:w="0" w:type="dxa"/>
              <w:right w:w="0" w:type="dxa"/>
            </w:tcMar>
            <w:vAlign w:val="top"/>
          </w:tcPr>
          <w:p w14:paraId="00000065">
            <w:pP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01R -02R -04R -05R – 07R - 09R -11R - 12R - 14R - 01A - 02A - 03A - 04A -05A - 09A - 10A - 11A - 12A </w:t>
            </w:r>
          </w:p>
        </w:tc>
      </w:tr>
    </w:tbl>
    <w:p w14:paraId="00000066">
      <w:pPr>
        <w:widowControl w:val="on"/>
        <w:spacing w:after="160" w:line="259" w:lineRule="auto"/>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Fonte: autores (2025).</w:t>
      </w:r>
    </w:p>
    <w:p w14:paraId="00000067">
      <w:pPr>
        <w:widowControl w:val="on"/>
        <w:spacing w:after="0" w:line="360" w:lineRule="auto"/>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ab/>
        <w:t>Para a atividade, os grupos dispunham de dois tipos de conjuntos de bolinhas, com volumes ligeiramente diferentes, por isso, no quadro 2 podemos observar que alguns grupos precisam de 3 bolinhas para cada movimentação de 0,5 cm enquanto outros precisam de 4 delas.</w:t>
      </w:r>
    </w:p>
    <w:p w14:paraId="00000068">
      <w:pPr>
        <w:widowControl w:val="on"/>
        <w:spacing w:after="0"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Nesse sentido, também houve grupos que encontraram o resultado solicitado nas tarefas, colocando outras quantidades de bolinhas. Estas variações estão atreladas a aspectos como imprecisões mínimas nos instrumentos de medição, pouca familiaridade dos estudantes com medições, mensurações e processos matemáticos de aproximação e, nas turmas identificadas como A, a aula ocorreu de forma intercalada, então alguns grupos que inicialmente haviam usado um determinado conjunto de bolinhas na primeira aula, acabou usando um segundo, conjunto o que provocou discrepâncias nos resultados.</w:t>
      </w:r>
    </w:p>
    <w:p w14:paraId="00000069">
      <w:pPr>
        <w:widowControl w:val="on"/>
        <w:spacing w:after="0"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Em sequência, no quadro 3 apresentado a seguir, estão presentes as Tecnologias (θ)  que justificam as técnicas empregadas para cumprir as tarefas. Assim temos:</w:t>
      </w:r>
    </w:p>
    <w:p w14:paraId="0000006A">
      <w:pPr>
        <w:widowControl w:val="on"/>
        <w:spacing w:after="160" w:line="259" w:lineRule="auto"/>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Quadro 3 - Tecnologias associadas às técnicas apresentadas pelos alunos </w:t>
      </w:r>
    </w:p>
    <w:tbl>
      <w:tblPr>
        <w:tblStyle w:val="Table3"/>
        <w:tblW w:w="846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585"/>
        <w:gridCol w:w="6915"/>
        <w:gridCol w:w="960"/>
      </w:tblGrid>
      <w:tr>
        <w:trPr>
          <w:cantSplit w:val="off"/>
          <w:trHeight w:val="396" w:hRule="atLeast"/>
          <w:tblHeader w:val="off"/>
        </w:trPr>
        <w:tc>
          <w:tcPr>
            <w:cnfStyle w:val="000000000000"/>
            <w:gridSpan w:val="2"/>
            <w:shd w:val="clear" w:fill="auto"/>
            <w:tcMar>
              <w:top w:w="100" w:type="dxa"/>
              <w:left w:w="100" w:type="dxa"/>
              <w:bottom w:w="100" w:type="dxa"/>
              <w:right w:w="100" w:type="dxa"/>
            </w:tcMar>
            <w:vAlign w:val="top"/>
          </w:tcPr>
          <w:p w14:paraId="0000006B">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Tecnologia</w:t>
            </w:r>
          </w:p>
        </w:tc>
        <w:tc>
          <w:tcPr>
            <w:cnfStyle w:val="000000000000"/>
            <w:shd w:val="clear" w:fill="auto"/>
            <w:tcMar>
              <w:top w:w="100" w:type="dxa"/>
              <w:left w:w="100" w:type="dxa"/>
              <w:bottom w:w="100" w:type="dxa"/>
              <w:right w:w="100" w:type="dxa"/>
            </w:tcMar>
            <w:vAlign w:val="top"/>
          </w:tcPr>
          <w:p w14:paraId="0000006C">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left"/>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Técnicas</w:t>
            </w:r>
          </w:p>
        </w:tc>
      </w:tr>
      <w:tr>
        <w:trPr>
          <w:cantSplit w:val="off"/>
          <w:trHeight w:val="400" w:hRule="atLeast"/>
          <w:tblHeader w:val="off"/>
        </w:trPr>
        <w:tc>
          <w:tcPr>
            <w:cnfStyle w:val="000000000000"/>
            <w:shd w:val="clear" w:fill="auto"/>
            <w:tcMar>
              <w:top w:w="0" w:type="dxa"/>
              <w:left w:w="0" w:type="dxa"/>
              <w:bottom w:w="0" w:type="dxa"/>
              <w:right w:w="0" w:type="dxa"/>
            </w:tcMar>
            <w:vAlign w:val="top"/>
          </w:tcPr>
          <w:p w14:paraId="0000006D">
            <w:pPr>
              <w:widowControl w:val="on"/>
              <w:spacing w:line="360" w:lineRule="auto"/>
              <w:jc w:val="center"/>
              <w:rPr>
                <w:rFonts w:ascii="Times New Roman" w:cs="Times New Roman" w:eastAsia="Times New Roman" w:hAnsi="Times New Roman"/>
              </w:rPr>
            </w:pPr>
            <w:r>
              <w:rPr>
                <w:rFonts w:ascii="Times New Roman" w:cs="Times New Roman" w:eastAsia="Times New Roman" w:hAnsi="Times New Roman"/>
                <w:sz w:val="24"/>
                <w:szCs w:val="24"/>
                <w:rtl w:val="off"/>
              </w:rPr>
              <w:t>θ1</w:t>
            </w:r>
          </w:p>
        </w:tc>
        <w:tc>
          <w:tcPr>
            <w:cnfStyle w:val="000000000000"/>
            <w:shd w:val="clear" w:fill="auto"/>
            <w:tcMar>
              <w:top w:w="0" w:type="dxa"/>
              <w:left w:w="0" w:type="dxa"/>
              <w:bottom w:w="0" w:type="dxa"/>
              <w:right w:w="0" w:type="dxa"/>
            </w:tcMar>
            <w:vAlign w:val="top"/>
          </w:tcPr>
          <w:p w14:paraId="0000006E">
            <w:pPr>
              <w:rPr>
                <w:rFonts w:ascii="Times New Roman" w:cs="Times New Roman" w:eastAsia="Times New Roman" w:hAnsi="Times New Roman"/>
              </w:rPr>
            </w:pPr>
            <w:r>
              <w:rPr>
                <w:rFonts w:ascii="Times New Roman" w:cs="Times New Roman" w:eastAsia="Times New Roman" w:hAnsi="Times New Roman"/>
                <w:rtl w:val="off"/>
              </w:rPr>
              <w:t xml:space="preserve">Volume de líquidos </w:t>
            </w:r>
          </w:p>
        </w:tc>
        <w:tc>
          <w:tcPr>
            <w:cnfStyle w:val="000000000000"/>
            <w:vMerge w:val="restart"/>
            <w:shd w:val="clear" w:fill="auto"/>
            <w:tcMar>
              <w:top w:w="100" w:type="dxa"/>
              <w:left w:w="100" w:type="dxa"/>
              <w:bottom w:w="100" w:type="dxa"/>
              <w:right w:w="100" w:type="dxa"/>
            </w:tcMar>
            <w:vAlign w:val="top"/>
          </w:tcPr>
          <w:p w14:paraId="0000006F">
            <w:pPr>
              <w:jc w:val="center"/>
              <w:rPr>
                <w:rFonts w:ascii="Times New Roman" w:cs="Times New Roman" w:eastAsia="Times New Roman" w:hAnsi="Times New Roman"/>
              </w:rPr>
            </w:pPr>
          </w:p>
          <w:p w14:paraId="00000070">
            <w:pPr>
              <w:jc w:val="center"/>
              <w:rPr>
                <w:rFonts w:ascii="Times New Roman" w:cs="Times New Roman" w:eastAsia="Times New Roman" w:hAnsi="Times New Roman"/>
              </w:rPr>
            </w:pPr>
            <w:r>
              <w:rPr>
                <w:rFonts w:ascii="Times New Roman" w:cs="Times New Roman" w:eastAsia="Times New Roman" w:hAnsi="Times New Roman"/>
                <w:sz w:val="24"/>
                <w:szCs w:val="24"/>
                <w:rtl w:val="off"/>
              </w:rPr>
              <w:t>τ</w:t>
            </w:r>
            <w:r>
              <w:rPr>
                <w:rFonts w:ascii="Times New Roman" w:cs="Times New Roman" w:eastAsia="Times New Roman" w:hAnsi="Times New Roman"/>
                <w:rtl w:val="off"/>
              </w:rPr>
              <w:t>1</w:t>
            </w:r>
          </w:p>
          <w:p w14:paraId="00000071">
            <w:pPr>
              <w:jc w:val="center"/>
              <w:rPr>
                <w:rFonts w:ascii="Times New Roman" w:cs="Times New Roman" w:eastAsia="Times New Roman" w:hAnsi="Times New Roman"/>
              </w:rPr>
            </w:pPr>
            <w:r>
              <w:rPr>
                <w:rFonts w:ascii="Times New Roman" w:cs="Times New Roman" w:eastAsia="Times New Roman" w:hAnsi="Times New Roman"/>
                <w:sz w:val="24"/>
                <w:szCs w:val="24"/>
                <w:rtl w:val="off"/>
              </w:rPr>
              <w:t>τ</w:t>
            </w:r>
            <w:r>
              <w:rPr>
                <w:rFonts w:ascii="Times New Roman" w:cs="Times New Roman" w:eastAsia="Times New Roman" w:hAnsi="Times New Roman"/>
                <w:rtl w:val="off"/>
              </w:rPr>
              <w:t>2</w:t>
            </w:r>
          </w:p>
          <w:p w14:paraId="00000072">
            <w:pPr>
              <w:jc w:val="center"/>
              <w:rPr>
                <w:rFonts w:ascii="Times New Roman" w:cs="Times New Roman" w:eastAsia="Times New Roman" w:hAnsi="Times New Roman"/>
              </w:rPr>
            </w:pPr>
            <w:r>
              <w:rPr>
                <w:rFonts w:ascii="Times New Roman" w:cs="Times New Roman" w:eastAsia="Times New Roman" w:hAnsi="Times New Roman"/>
                <w:sz w:val="24"/>
                <w:szCs w:val="24"/>
                <w:rtl w:val="off"/>
              </w:rPr>
              <w:t>τ</w:t>
            </w:r>
            <w:r>
              <w:rPr>
                <w:rFonts w:ascii="Times New Roman" w:cs="Times New Roman" w:eastAsia="Times New Roman" w:hAnsi="Times New Roman"/>
                <w:rtl w:val="off"/>
              </w:rPr>
              <w:t xml:space="preserve">3 </w:t>
            </w:r>
          </w:p>
          <w:p w14:paraId="00000073">
            <w:pPr>
              <w:jc w:val="center"/>
              <w:rPr>
                <w:rFonts w:ascii="Times New Roman" w:cs="Times New Roman" w:eastAsia="Times New Roman" w:hAnsi="Times New Roman"/>
              </w:rPr>
            </w:pPr>
            <w:r>
              <w:rPr>
                <w:rFonts w:ascii="Times New Roman" w:cs="Times New Roman" w:eastAsia="Times New Roman" w:hAnsi="Times New Roman"/>
                <w:sz w:val="24"/>
                <w:szCs w:val="24"/>
                <w:rtl w:val="off"/>
              </w:rPr>
              <w:t>τ</w:t>
            </w:r>
            <w:r>
              <w:rPr>
                <w:rFonts w:ascii="Times New Roman" w:cs="Times New Roman" w:eastAsia="Times New Roman" w:hAnsi="Times New Roman"/>
                <w:rtl w:val="off"/>
              </w:rPr>
              <w:t>4</w:t>
            </w:r>
          </w:p>
          <w:p w14:paraId="00000074">
            <w:pPr>
              <w:jc w:val="center"/>
              <w:rPr>
                <w:rFonts w:ascii="Times New Roman" w:cs="Times New Roman" w:eastAsia="Times New Roman" w:hAnsi="Times New Roman"/>
                <w:sz w:val="20"/>
                <w:szCs w:val="20"/>
              </w:rPr>
            </w:pPr>
            <w:r>
              <w:rPr>
                <w:rFonts w:ascii="Times New Roman" w:cs="Times New Roman" w:eastAsia="Times New Roman" w:hAnsi="Times New Roman"/>
                <w:sz w:val="24"/>
                <w:szCs w:val="24"/>
                <w:rtl w:val="off"/>
              </w:rPr>
              <w:t>τ</w:t>
            </w:r>
            <w:r>
              <w:rPr>
                <w:rFonts w:ascii="Times New Roman" w:cs="Times New Roman" w:eastAsia="Times New Roman" w:hAnsi="Times New Roman"/>
                <w:rtl w:val="off"/>
              </w:rPr>
              <w:t>5</w:t>
            </w:r>
          </w:p>
        </w:tc>
      </w:tr>
      <w:tr>
        <w:trPr>
          <w:cantSplit w:val="off"/>
          <w:trHeight w:val="400" w:hRule="atLeast"/>
          <w:tblHeader w:val="off"/>
        </w:trPr>
        <w:tc>
          <w:tcPr>
            <w:cnfStyle w:val="000000000000"/>
            <w:shd w:val="clear" w:fill="auto"/>
            <w:tcMar>
              <w:top w:w="0" w:type="dxa"/>
              <w:left w:w="0" w:type="dxa"/>
              <w:bottom w:w="0" w:type="dxa"/>
              <w:right w:w="0" w:type="dxa"/>
            </w:tcMar>
            <w:vAlign w:val="top"/>
          </w:tcPr>
          <w:p w14:paraId="00000075">
            <w:pPr>
              <w:widowControl w:val="on"/>
              <w:spacing w:line="360" w:lineRule="auto"/>
              <w:jc w:val="center"/>
              <w:rPr>
                <w:rFonts w:ascii="Times New Roman" w:cs="Times New Roman" w:eastAsia="Times New Roman" w:hAnsi="Times New Roman"/>
              </w:rPr>
            </w:pPr>
            <w:r>
              <w:rPr>
                <w:rFonts w:ascii="Times New Roman" w:cs="Times New Roman" w:eastAsia="Times New Roman" w:hAnsi="Times New Roman"/>
                <w:sz w:val="24"/>
                <w:szCs w:val="24"/>
                <w:rtl w:val="off"/>
              </w:rPr>
              <w:t>θ2</w:t>
            </w:r>
          </w:p>
        </w:tc>
        <w:tc>
          <w:tcPr>
            <w:cnfStyle w:val="000000000000"/>
            <w:shd w:val="clear" w:fill="auto"/>
            <w:tcMar>
              <w:top w:w="0" w:type="dxa"/>
              <w:left w:w="0" w:type="dxa"/>
              <w:bottom w:w="0" w:type="dxa"/>
              <w:right w:w="0" w:type="dxa"/>
            </w:tcMar>
            <w:vAlign w:val="top"/>
          </w:tcPr>
          <w:p w14:paraId="00000076">
            <w:pPr>
              <w:rPr>
                <w:rFonts w:ascii="Times New Roman" w:cs="Times New Roman" w:eastAsia="Times New Roman" w:hAnsi="Times New Roman"/>
              </w:rPr>
            </w:pPr>
            <w:r>
              <w:rPr>
                <w:rFonts w:ascii="Times New Roman" w:cs="Times New Roman" w:eastAsia="Times New Roman" w:hAnsi="Times New Roman"/>
                <w:rtl w:val="off"/>
              </w:rPr>
              <w:t xml:space="preserve">Densidade </w:t>
            </w:r>
          </w:p>
        </w:tc>
        <w:tc>
          <w:tcPr>
            <w:cnfStyle w:val="000000000000"/>
            <w:vMerge w:val="continue"/>
            <w:shd w:val="clear" w:fill="auto"/>
            <w:tcMar>
              <w:top w:w="100" w:type="dxa"/>
              <w:left w:w="100" w:type="dxa"/>
              <w:bottom w:w="100" w:type="dxa"/>
              <w:right w:w="100" w:type="dxa"/>
            </w:tcMar>
            <w:vAlign w:val="top"/>
          </w:tcPr>
          <w:p w14:paraId="00000077">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left"/>
              <w:rPr>
                <w:rFonts w:ascii="Times New Roman" w:cs="Times New Roman" w:eastAsia="Times New Roman" w:hAnsi="Times New Roman"/>
                <w:sz w:val="20"/>
                <w:szCs w:val="20"/>
              </w:rPr>
            </w:pPr>
          </w:p>
        </w:tc>
      </w:tr>
      <w:tr>
        <w:trPr>
          <w:cantSplit w:val="off"/>
          <w:trHeight w:val="400" w:hRule="atLeast"/>
          <w:tblHeader w:val="off"/>
        </w:trPr>
        <w:tc>
          <w:tcPr>
            <w:cnfStyle w:val="000000000000"/>
            <w:shd w:val="clear" w:fill="auto"/>
            <w:tcMar>
              <w:top w:w="0" w:type="dxa"/>
              <w:left w:w="0" w:type="dxa"/>
              <w:bottom w:w="0" w:type="dxa"/>
              <w:right w:w="0" w:type="dxa"/>
            </w:tcMar>
            <w:vAlign w:val="top"/>
          </w:tcPr>
          <w:p w14:paraId="00000078">
            <w:pPr>
              <w:jc w:val="center"/>
              <w:rPr>
                <w:rFonts w:ascii="Times New Roman" w:cs="Times New Roman" w:eastAsia="Times New Roman" w:hAnsi="Times New Roman"/>
                <w:sz w:val="24"/>
                <w:szCs w:val="24"/>
              </w:rPr>
            </w:pPr>
            <w:r>
              <w:rPr>
                <w:rFonts w:ascii="Times New Roman" w:cs="Times New Roman" w:eastAsia="Times New Roman" w:hAnsi="Times New Roman"/>
                <w:rtl w:val="off"/>
              </w:rPr>
              <w:t xml:space="preserve"> </w:t>
            </w:r>
            <w:r>
              <w:rPr>
                <w:rFonts w:ascii="Times New Roman" w:cs="Times New Roman" w:eastAsia="Times New Roman" w:hAnsi="Times New Roman"/>
                <w:sz w:val="24"/>
                <w:szCs w:val="24"/>
                <w:rtl w:val="off"/>
              </w:rPr>
              <w:t>θ3</w:t>
            </w:r>
          </w:p>
        </w:tc>
        <w:tc>
          <w:tcPr>
            <w:cnfStyle w:val="000000000000"/>
            <w:shd w:val="clear" w:fill="auto"/>
            <w:tcMar>
              <w:top w:w="0" w:type="dxa"/>
              <w:left w:w="0" w:type="dxa"/>
              <w:bottom w:w="0" w:type="dxa"/>
              <w:right w:w="0" w:type="dxa"/>
            </w:tcMar>
            <w:vAlign w:val="top"/>
          </w:tcPr>
          <w:p w14:paraId="00000079">
            <w:pPr>
              <w:rPr>
                <w:rFonts w:ascii="Times New Roman" w:cs="Times New Roman" w:eastAsia="Times New Roman" w:hAnsi="Times New Roman"/>
              </w:rPr>
            </w:pPr>
            <w:r>
              <w:rPr>
                <w:rFonts w:ascii="Times New Roman" w:cs="Times New Roman" w:eastAsia="Times New Roman" w:hAnsi="Times New Roman"/>
                <w:rtl w:val="off"/>
              </w:rPr>
              <w:t xml:space="preserve">Empuxo </w:t>
            </w:r>
          </w:p>
        </w:tc>
        <w:tc>
          <w:tcPr>
            <w:cnfStyle w:val="000000000000"/>
            <w:vMerge w:val="continue"/>
            <w:shd w:val="clear" w:fill="auto"/>
            <w:tcMar>
              <w:top w:w="100" w:type="dxa"/>
              <w:left w:w="100" w:type="dxa"/>
              <w:bottom w:w="100" w:type="dxa"/>
              <w:right w:w="100" w:type="dxa"/>
            </w:tcMar>
            <w:vAlign w:val="top"/>
          </w:tcPr>
          <w:p w14:paraId="0000007A">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left"/>
              <w:rPr>
                <w:rFonts w:ascii="Times New Roman" w:cs="Times New Roman" w:eastAsia="Times New Roman" w:hAnsi="Times New Roman"/>
                <w:sz w:val="20"/>
                <w:szCs w:val="20"/>
              </w:rPr>
            </w:pPr>
          </w:p>
        </w:tc>
      </w:tr>
      <w:tr>
        <w:trPr>
          <w:cantSplit w:val="off"/>
          <w:trHeight w:val="400" w:hRule="atLeast"/>
          <w:tblHeader w:val="off"/>
        </w:trPr>
        <w:tc>
          <w:tcPr>
            <w:cnfStyle w:val="000000000000"/>
            <w:shd w:val="clear" w:fill="auto"/>
            <w:tcMar>
              <w:top w:w="0" w:type="dxa"/>
              <w:left w:w="0" w:type="dxa"/>
              <w:bottom w:w="0" w:type="dxa"/>
              <w:right w:w="0" w:type="dxa"/>
            </w:tcMar>
            <w:vAlign w:val="top"/>
          </w:tcPr>
          <w:p w14:paraId="0000007B">
            <w:pPr>
              <w:jc w:val="center"/>
              <w:rPr>
                <w:rFonts w:ascii="Times New Roman" w:cs="Times New Roman" w:eastAsia="Times New Roman" w:hAnsi="Times New Roman"/>
              </w:rPr>
            </w:pPr>
            <w:r>
              <w:rPr>
                <w:rFonts w:ascii="Times New Roman" w:cs="Times New Roman" w:eastAsia="Times New Roman" w:hAnsi="Times New Roman"/>
                <w:sz w:val="24"/>
                <w:szCs w:val="24"/>
                <w:rtl w:val="off"/>
              </w:rPr>
              <w:t>θ4</w:t>
            </w:r>
          </w:p>
        </w:tc>
        <w:tc>
          <w:tcPr>
            <w:cnfStyle w:val="000000000000"/>
            <w:shd w:val="clear" w:fill="auto"/>
            <w:tcMar>
              <w:top w:w="0" w:type="dxa"/>
              <w:left w:w="0" w:type="dxa"/>
              <w:bottom w:w="0" w:type="dxa"/>
              <w:right w:w="0" w:type="dxa"/>
            </w:tcMar>
            <w:vAlign w:val="top"/>
          </w:tcPr>
          <w:p w14:paraId="0000007C">
            <w:pPr>
              <w:rPr>
                <w:rFonts w:ascii="Times New Roman" w:cs="Times New Roman" w:eastAsia="Times New Roman" w:hAnsi="Times New Roman"/>
              </w:rPr>
            </w:pPr>
            <w:r>
              <w:rPr>
                <w:rFonts w:ascii="Times New Roman" w:cs="Times New Roman" w:eastAsia="Times New Roman" w:hAnsi="Times New Roman"/>
                <w:rtl w:val="off"/>
              </w:rPr>
              <w:t>Forças</w:t>
            </w:r>
          </w:p>
        </w:tc>
        <w:tc>
          <w:tcPr>
            <w:cnfStyle w:val="000000000000"/>
            <w:vMerge w:val="continue"/>
            <w:shd w:val="clear" w:fill="auto"/>
            <w:tcMar>
              <w:top w:w="100" w:type="dxa"/>
              <w:left w:w="100" w:type="dxa"/>
              <w:bottom w:w="100" w:type="dxa"/>
              <w:right w:w="100" w:type="dxa"/>
            </w:tcMar>
            <w:vAlign w:val="top"/>
          </w:tcPr>
          <w:p w14:paraId="0000007D">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left"/>
              <w:rPr>
                <w:rFonts w:ascii="Times New Roman" w:cs="Times New Roman" w:eastAsia="Times New Roman" w:hAnsi="Times New Roman"/>
                <w:sz w:val="20"/>
                <w:szCs w:val="20"/>
              </w:rPr>
            </w:pPr>
          </w:p>
        </w:tc>
      </w:tr>
      <w:tr>
        <w:trPr>
          <w:cantSplit w:val="off"/>
          <w:trHeight w:val="400" w:hRule="atLeast"/>
          <w:tblHeader w:val="off"/>
        </w:trPr>
        <w:tc>
          <w:tcPr>
            <w:cnfStyle w:val="000000000000"/>
            <w:shd w:val="clear" w:fill="auto"/>
            <w:tcMar>
              <w:top w:w="0" w:type="dxa"/>
              <w:left w:w="0" w:type="dxa"/>
              <w:bottom w:w="0" w:type="dxa"/>
              <w:right w:w="0" w:type="dxa"/>
            </w:tcMar>
            <w:vAlign w:val="top"/>
          </w:tcPr>
          <w:p w14:paraId="0000007E">
            <w:pPr>
              <w:widowControl w:val="on"/>
              <w:spacing w:line="360" w:lineRule="auto"/>
              <w:jc w:val="center"/>
              <w:rPr>
                <w:rFonts w:ascii="Times New Roman" w:cs="Times New Roman" w:eastAsia="Times New Roman" w:hAnsi="Times New Roman"/>
              </w:rPr>
            </w:pPr>
            <w:r>
              <w:rPr>
                <w:rFonts w:ascii="Times New Roman" w:cs="Times New Roman" w:eastAsia="Times New Roman" w:hAnsi="Times New Roman"/>
                <w:sz w:val="24"/>
                <w:szCs w:val="24"/>
                <w:rtl w:val="off"/>
              </w:rPr>
              <w:t>θ5</w:t>
            </w:r>
          </w:p>
        </w:tc>
        <w:tc>
          <w:tcPr>
            <w:cnfStyle w:val="000000000000"/>
            <w:shd w:val="clear" w:fill="auto"/>
            <w:tcMar>
              <w:top w:w="0" w:type="dxa"/>
              <w:left w:w="0" w:type="dxa"/>
              <w:bottom w:w="0" w:type="dxa"/>
              <w:right w:w="0" w:type="dxa"/>
            </w:tcMar>
            <w:vAlign w:val="top"/>
          </w:tcPr>
          <w:p w14:paraId="0000007F">
            <w:pPr>
              <w:rPr>
                <w:rFonts w:ascii="Times New Roman" w:cs="Times New Roman" w:eastAsia="Times New Roman" w:hAnsi="Times New Roman"/>
              </w:rPr>
            </w:pPr>
            <w:r>
              <w:rPr>
                <w:rFonts w:ascii="Times New Roman" w:cs="Times New Roman" w:eastAsia="Times New Roman" w:hAnsi="Times New Roman"/>
                <w:rtl w:val="off"/>
              </w:rPr>
              <w:t>Uma função é definida por uma relação entre dois conjuntos (Bolas e variação de altura)</w:t>
            </w:r>
          </w:p>
        </w:tc>
        <w:tc>
          <w:tcPr>
            <w:cnfStyle w:val="000000000000"/>
            <w:vMerge w:val="continue"/>
            <w:shd w:val="clear" w:fill="auto"/>
            <w:tcMar>
              <w:top w:w="100" w:type="dxa"/>
              <w:left w:w="100" w:type="dxa"/>
              <w:bottom w:w="100" w:type="dxa"/>
              <w:right w:w="100" w:type="dxa"/>
            </w:tcMar>
            <w:vAlign w:val="top"/>
          </w:tcPr>
          <w:p w14:paraId="00000080">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left"/>
              <w:rPr>
                <w:rFonts w:ascii="Times New Roman" w:cs="Times New Roman" w:eastAsia="Times New Roman" w:hAnsi="Times New Roman"/>
                <w:sz w:val="20"/>
                <w:szCs w:val="20"/>
              </w:rPr>
            </w:pPr>
          </w:p>
        </w:tc>
      </w:tr>
      <w:tr>
        <w:trPr>
          <w:cantSplit w:val="off"/>
          <w:trHeight w:val="400" w:hRule="atLeast"/>
          <w:tblHeader w:val="off"/>
        </w:trPr>
        <w:tc>
          <w:tcPr>
            <w:cnfStyle w:val="000000000000"/>
            <w:shd w:val="clear" w:fill="auto"/>
            <w:tcMar>
              <w:top w:w="0" w:type="dxa"/>
              <w:left w:w="0" w:type="dxa"/>
              <w:bottom w:w="0" w:type="dxa"/>
              <w:right w:w="0" w:type="dxa"/>
            </w:tcMar>
            <w:vAlign w:val="top"/>
          </w:tcPr>
          <w:p w14:paraId="00000081">
            <w:pPr>
              <w:jc w:val="center"/>
              <w:rPr>
                <w:rFonts w:ascii="Times New Roman" w:cs="Times New Roman" w:eastAsia="Times New Roman" w:hAnsi="Times New Roman"/>
              </w:rPr>
            </w:pPr>
            <w:r>
              <w:rPr>
                <w:rFonts w:ascii="Times New Roman" w:cs="Times New Roman" w:eastAsia="Times New Roman" w:hAnsi="Times New Roman"/>
                <w:rtl w:val="off"/>
              </w:rPr>
              <w:t xml:space="preserve"> </w:t>
            </w:r>
            <w:r>
              <w:rPr>
                <w:rFonts w:ascii="Times New Roman" w:cs="Times New Roman" w:eastAsia="Times New Roman" w:hAnsi="Times New Roman"/>
                <w:sz w:val="24"/>
                <w:szCs w:val="24"/>
                <w:rtl w:val="off"/>
              </w:rPr>
              <w:t>θ6</w:t>
            </w:r>
          </w:p>
        </w:tc>
        <w:tc>
          <w:tcPr>
            <w:cnfStyle w:val="000000000000"/>
            <w:shd w:val="clear" w:fill="auto"/>
            <w:tcMar>
              <w:top w:w="0" w:type="dxa"/>
              <w:left w:w="0" w:type="dxa"/>
              <w:bottom w:w="0" w:type="dxa"/>
              <w:right w:w="0" w:type="dxa"/>
            </w:tcMar>
            <w:vAlign w:val="top"/>
          </w:tcPr>
          <w:p w14:paraId="00000082">
            <w:pPr>
              <w:rPr>
                <w:rFonts w:ascii="Times New Roman" w:cs="Times New Roman" w:eastAsia="Times New Roman" w:hAnsi="Times New Roman"/>
              </w:rPr>
            </w:pPr>
            <w:r>
              <w:rPr>
                <w:rFonts w:ascii="Times New Roman" w:cs="Times New Roman" w:eastAsia="Times New Roman" w:hAnsi="Times New Roman"/>
                <w:rtl w:val="off"/>
              </w:rPr>
              <w:t xml:space="preserve">Ao adicionar bolas no sistema o volume de líquido aumenta </w:t>
            </w:r>
          </w:p>
        </w:tc>
        <w:tc>
          <w:tcPr>
            <w:cnfStyle w:val="000000000000"/>
            <w:vMerge w:val="continue"/>
            <w:shd w:val="clear" w:fill="auto"/>
            <w:tcMar>
              <w:top w:w="100" w:type="dxa"/>
              <w:left w:w="100" w:type="dxa"/>
              <w:bottom w:w="100" w:type="dxa"/>
              <w:right w:w="100" w:type="dxa"/>
            </w:tcMar>
            <w:vAlign w:val="top"/>
          </w:tcPr>
          <w:p w14:paraId="00000083">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left"/>
              <w:rPr>
                <w:rFonts w:ascii="Times New Roman" w:cs="Times New Roman" w:eastAsia="Times New Roman" w:hAnsi="Times New Roman"/>
                <w:sz w:val="20"/>
                <w:szCs w:val="20"/>
              </w:rPr>
            </w:pPr>
          </w:p>
        </w:tc>
      </w:tr>
      <w:tr>
        <w:trPr>
          <w:cantSplit w:val="off"/>
          <w:trHeight w:val="396" w:hRule="atLeast"/>
          <w:tblHeader w:val="off"/>
        </w:trPr>
        <w:tc>
          <w:tcPr>
            <w:cnfStyle w:val="000000000000"/>
            <w:shd w:val="clear" w:fill="auto"/>
            <w:tcMar>
              <w:top w:w="0" w:type="dxa"/>
              <w:left w:w="0" w:type="dxa"/>
              <w:bottom w:w="0" w:type="dxa"/>
              <w:right w:w="0" w:type="dxa"/>
            </w:tcMar>
            <w:vAlign w:val="top"/>
          </w:tcPr>
          <w:p w14:paraId="00000084">
            <w:pPr>
              <w:jc w:val="center"/>
              <w:rPr>
                <w:rFonts w:ascii="Times New Roman" w:cs="Times New Roman" w:eastAsia="Times New Roman" w:hAnsi="Times New Roman"/>
              </w:rPr>
            </w:pPr>
            <w:r>
              <w:rPr>
                <w:rFonts w:ascii="Times New Roman" w:cs="Times New Roman" w:eastAsia="Times New Roman" w:hAnsi="Times New Roman"/>
                <w:rtl w:val="off"/>
              </w:rPr>
              <w:t xml:space="preserve"> </w:t>
            </w:r>
            <w:r>
              <w:rPr>
                <w:rFonts w:ascii="Times New Roman" w:cs="Times New Roman" w:eastAsia="Times New Roman" w:hAnsi="Times New Roman"/>
                <w:sz w:val="24"/>
                <w:szCs w:val="24"/>
                <w:rtl w:val="off"/>
              </w:rPr>
              <w:t>θ7</w:t>
            </w:r>
          </w:p>
        </w:tc>
        <w:tc>
          <w:tcPr>
            <w:cnfStyle w:val="000000000000"/>
            <w:shd w:val="clear" w:fill="auto"/>
            <w:tcMar>
              <w:top w:w="0" w:type="dxa"/>
              <w:left w:w="0" w:type="dxa"/>
              <w:bottom w:w="0" w:type="dxa"/>
              <w:right w:w="0" w:type="dxa"/>
            </w:tcMar>
            <w:vAlign w:val="top"/>
          </w:tcPr>
          <w:p w14:paraId="00000085">
            <w:pPr>
              <w:rPr>
                <w:rFonts w:ascii="Times New Roman" w:cs="Times New Roman" w:eastAsia="Times New Roman" w:hAnsi="Times New Roman"/>
              </w:rPr>
            </w:pPr>
            <w:r>
              <w:rPr>
                <w:rFonts w:ascii="Times New Roman" w:cs="Times New Roman" w:eastAsia="Times New Roman" w:hAnsi="Times New Roman"/>
                <w:rtl w:val="off"/>
              </w:rPr>
              <w:t>Em uma função linear o coeficiente b é nulo</w:t>
            </w:r>
          </w:p>
        </w:tc>
        <w:tc>
          <w:tcPr>
            <w:cnfStyle w:val="000000000000"/>
            <w:shd w:val="clear" w:fill="auto"/>
            <w:tcMar>
              <w:top w:w="0" w:type="dxa"/>
              <w:left w:w="0" w:type="dxa"/>
              <w:bottom w:w="0" w:type="dxa"/>
              <w:right w:w="0" w:type="dxa"/>
            </w:tcMar>
            <w:vAlign w:val="top"/>
          </w:tcPr>
          <w:p w14:paraId="00000086">
            <w:pPr>
              <w:jc w:val="center"/>
              <w:rPr>
                <w:rFonts w:ascii="Times New Roman" w:cs="Times New Roman" w:eastAsia="Times New Roman" w:hAnsi="Times New Roman"/>
              </w:rPr>
            </w:pPr>
            <w:r>
              <w:rPr>
                <w:rFonts w:ascii="Times New Roman" w:cs="Times New Roman" w:eastAsia="Times New Roman" w:hAnsi="Times New Roman"/>
                <w:sz w:val="24"/>
                <w:szCs w:val="24"/>
                <w:rtl w:val="off"/>
              </w:rPr>
              <w:t>τ</w:t>
            </w:r>
            <w:r>
              <w:rPr>
                <w:rFonts w:ascii="Times New Roman" w:cs="Times New Roman" w:eastAsia="Times New Roman" w:hAnsi="Times New Roman"/>
                <w:rtl w:val="off"/>
              </w:rPr>
              <w:t>6</w:t>
            </w:r>
          </w:p>
        </w:tc>
      </w:tr>
      <w:tr>
        <w:trPr>
          <w:cantSplit w:val="off"/>
          <w:trHeight w:val="396" w:hRule="atLeast"/>
          <w:tblHeader w:val="off"/>
        </w:trPr>
        <w:tc>
          <w:tcPr>
            <w:cnfStyle w:val="000000000000"/>
            <w:shd w:val="clear" w:fill="auto"/>
            <w:tcMar>
              <w:top w:w="0" w:type="dxa"/>
              <w:left w:w="0" w:type="dxa"/>
              <w:bottom w:w="0" w:type="dxa"/>
              <w:right w:w="0" w:type="dxa"/>
            </w:tcMar>
            <w:vAlign w:val="top"/>
          </w:tcPr>
          <w:p w14:paraId="00000087">
            <w:pPr>
              <w:jc w:val="center"/>
              <w:rPr>
                <w:rFonts w:ascii="Times New Roman" w:cs="Times New Roman" w:eastAsia="Times New Roman" w:hAnsi="Times New Roman"/>
              </w:rPr>
            </w:pPr>
            <w:r>
              <w:rPr>
                <w:rFonts w:ascii="Times New Roman" w:cs="Times New Roman" w:eastAsia="Times New Roman" w:hAnsi="Times New Roman"/>
                <w:rtl w:val="off"/>
              </w:rPr>
              <w:t xml:space="preserve"> </w:t>
            </w:r>
            <w:r>
              <w:rPr>
                <w:rFonts w:ascii="Times New Roman" w:cs="Times New Roman" w:eastAsia="Times New Roman" w:hAnsi="Times New Roman"/>
                <w:sz w:val="24"/>
                <w:szCs w:val="24"/>
                <w:rtl w:val="off"/>
              </w:rPr>
              <w:t>θ8</w:t>
            </w:r>
          </w:p>
        </w:tc>
        <w:tc>
          <w:tcPr>
            <w:cnfStyle w:val="000000000000"/>
            <w:shd w:val="clear" w:fill="auto"/>
            <w:tcMar>
              <w:top w:w="0" w:type="dxa"/>
              <w:left w:w="0" w:type="dxa"/>
              <w:bottom w:w="0" w:type="dxa"/>
              <w:right w:w="0" w:type="dxa"/>
            </w:tcMar>
            <w:vAlign w:val="top"/>
          </w:tcPr>
          <w:p w14:paraId="00000088">
            <w:pPr>
              <w:rPr>
                <w:rFonts w:ascii="Times New Roman" w:cs="Times New Roman" w:eastAsia="Times New Roman" w:hAnsi="Times New Roman"/>
              </w:rPr>
            </w:pPr>
            <w:r>
              <w:rPr>
                <w:rFonts w:ascii="Times New Roman" w:cs="Times New Roman" w:eastAsia="Times New Roman" w:hAnsi="Times New Roman"/>
                <w:rtl w:val="off"/>
              </w:rPr>
              <w:t>Em uma função afim temos dois coeficientes, ao ( angular), que representa a taxa de crescimento da função e o b que representa o nível base de 4 cm de água</w:t>
            </w:r>
          </w:p>
        </w:tc>
        <w:tc>
          <w:tcPr>
            <w:cnfStyle w:val="000000000000"/>
            <w:shd w:val="clear" w:fill="auto"/>
            <w:tcMar>
              <w:top w:w="0" w:type="dxa"/>
              <w:left w:w="0" w:type="dxa"/>
              <w:bottom w:w="0" w:type="dxa"/>
              <w:right w:w="0" w:type="dxa"/>
            </w:tcMar>
            <w:vAlign w:val="top"/>
          </w:tcPr>
          <w:p w14:paraId="00000089">
            <w:pPr>
              <w:jc w:val="center"/>
              <w:rPr>
                <w:rFonts w:ascii="Times New Roman" w:cs="Times New Roman" w:eastAsia="Times New Roman" w:hAnsi="Times New Roman"/>
              </w:rPr>
            </w:pPr>
            <w:r>
              <w:rPr>
                <w:rFonts w:ascii="Times New Roman" w:cs="Times New Roman" w:eastAsia="Times New Roman" w:hAnsi="Times New Roman"/>
                <w:sz w:val="24"/>
                <w:szCs w:val="24"/>
                <w:rtl w:val="off"/>
              </w:rPr>
              <w:t>τ</w:t>
            </w:r>
            <w:r>
              <w:rPr>
                <w:rFonts w:ascii="Times New Roman" w:cs="Times New Roman" w:eastAsia="Times New Roman" w:hAnsi="Times New Roman"/>
                <w:rtl w:val="off"/>
              </w:rPr>
              <w:t>7</w:t>
            </w:r>
          </w:p>
        </w:tc>
      </w:tr>
    </w:tbl>
    <w:p w14:paraId="0000008A">
      <w:pPr>
        <w:widowControl w:val="on"/>
        <w:spacing w:after="160" w:line="259" w:lineRule="auto"/>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Fonte: Autores (2025).</w:t>
      </w:r>
    </w:p>
    <w:p w14:paraId="0000008B">
      <w:pPr>
        <w:widowControl w:val="on"/>
        <w:spacing w:after="0" w:line="360" w:lineRule="auto"/>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ab/>
        <w:t>Podemos observar, no referido quadro 3, que estão expostas as tecnologias, que referem-se aos conceitos que justificam a utilização das técnicas, conforme explica Chevallard (1999). Neste contexto, dentre as tecnologias apresentadas, destacamos θ5, θ6, θ7 e θ8, que dizem respeito, especificamente ao conteúdo em estudo, Função Afim.</w:t>
      </w:r>
    </w:p>
    <w:p w14:paraId="0000008C">
      <w:pPr>
        <w:widowControl w:val="on"/>
        <w:spacing w:after="0"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Desse modo, as tecnologias θ5 e θ6, dizem respeito ao fato de que conforme se adicionam bolinhas no recipiente o nível da água sobe, estando a quantidade de bolinhas relacionada de forma linear ao aumento no nível da água, de modo que, quando expresso de forma algébrica, na forma (a.x + b), o nível da água em cm pode ser representada por “y”, sendo chamada de variável dependente. Já a quantidade de bolinhas, pode ser representada por “x”, sendo chamada de variável independente.</w:t>
      </w:r>
    </w:p>
    <w:p w14:paraId="0000008D">
      <w:pPr>
        <w:widowControl w:val="on"/>
        <w:spacing w:after="0" w:line="360" w:lineRule="auto"/>
        <w:ind w:firstLine="720"/>
        <w:jc w:val="both"/>
        <w:rPr>
          <w:rFonts w:ascii="Times New Roman" w:cs="Times New Roman" w:eastAsia="Times New Roman" w:hAnsi="Times New Roman"/>
          <w:sz w:val="24"/>
          <w:szCs w:val="24"/>
        </w:rPr>
      </w:pPr>
      <w:r>
        <w:rPr>
          <w:rFonts w:ascii="Cardo" w:cs="Cardo" w:eastAsia="Cardo" w:hAnsi="Cardo"/>
          <w:sz w:val="24"/>
          <w:szCs w:val="24"/>
          <w:rtl w:val="off"/>
        </w:rPr>
        <w:t>Por fim, em relação às tecnologias θ7 e θ8, temos a diferenciação entre a Função Afim e a Função Linear, tendo em vista que alguns grupos consideraram o nível base estabelecido nos recipientes de 4 cm como ponto de continuidade para aumentar o nível da água, enquanto outros o consideraram como zero. Quanto aos que consideraram a base como 4 cm, estes estão lidando com uma Função do tipo Afim, onde b ≠ 0, já aqueles que consideraram a base como sendo 0 cm, trabalharam com uma Função do tipo Linear onde b = 0.</w:t>
      </w:r>
    </w:p>
    <w:p w14:paraId="0000008E">
      <w:pPr>
        <w:widowControl w:val="on"/>
        <w:spacing w:after="0" w:line="360" w:lineRule="auto"/>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No quadro 4, por sua vez, serão apresentadas as teorias as quais as Tecnologias estão envoltas. Portanto, são descritos os blocos teóricos que justificam as tecnologias utilizadas pelos estudantes, durante a utilização das técnicas, para cumprir cada uma das tarefas propostas.</w:t>
      </w:r>
    </w:p>
    <w:p w14:paraId="0000008F">
      <w:pPr>
        <w:widowControl w:val="on"/>
        <w:spacing w:after="0" w:line="360" w:lineRule="auto"/>
        <w:ind w:firstLine="720"/>
        <w:jc w:val="center"/>
        <w:rPr>
          <w:rFonts w:ascii="Times New Roman" w:cs="Times New Roman" w:eastAsia="Times New Roman" w:hAnsi="Times New Roman"/>
          <w:sz w:val="18"/>
          <w:szCs w:val="18"/>
        </w:rPr>
      </w:pPr>
      <w:r>
        <w:rPr>
          <w:rFonts w:ascii="Times New Roman" w:cs="Times New Roman" w:eastAsia="Times New Roman" w:hAnsi="Times New Roman"/>
          <w:sz w:val="20"/>
          <w:szCs w:val="20"/>
          <w:rtl w:val="off"/>
        </w:rPr>
        <w:t>Quadro 4 - Bloco teórico apresentado na realização das tarefas</w:t>
      </w:r>
    </w:p>
    <w:tbl>
      <w:tblPr>
        <w:tblStyle w:val="Table4"/>
        <w:tblW w:w="9045"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495"/>
        <w:gridCol w:w="5535"/>
        <w:gridCol w:w="3015"/>
      </w:tblGrid>
      <w:tr>
        <w:trPr>
          <w:cantSplit w:val="off"/>
          <w:trHeight w:val="285" w:hRule="atLeast"/>
          <w:tblHeader w:val="off"/>
        </w:trPr>
        <w:tc>
          <w:tcPr>
            <w:cnfStyle w:val="000000000000"/>
            <w:gridSpan w:val="3"/>
            <w:shd w:val="clear" w:fill="auto"/>
            <w:tcMar>
              <w:top w:w="0" w:type="dxa"/>
              <w:left w:w="0" w:type="dxa"/>
              <w:bottom w:w="0" w:type="dxa"/>
              <w:right w:w="0" w:type="dxa"/>
            </w:tcMar>
            <w:vAlign w:val="top"/>
          </w:tcPr>
          <w:p w14:paraId="00000090">
            <w:pPr>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Teoria </w:t>
            </w:r>
          </w:p>
        </w:tc>
      </w:tr>
      <w:tr>
        <w:trPr>
          <w:cantSplit w:val="off"/>
          <w:trHeight w:val="969" w:hRule="atLeast"/>
          <w:tblHeader w:val="off"/>
        </w:trPr>
        <w:tc>
          <w:tcPr>
            <w:cnfStyle w:val="000000000000"/>
            <w:shd w:val="clear" w:fill="auto"/>
            <w:tcMar>
              <w:top w:w="0" w:type="dxa"/>
              <w:left w:w="0" w:type="dxa"/>
              <w:bottom w:w="0" w:type="dxa"/>
              <w:right w:w="0" w:type="dxa"/>
            </w:tcMar>
            <w:vAlign w:val="top"/>
          </w:tcPr>
          <w:p w14:paraId="00000091">
            <w:pPr>
              <w:widowControl w:val="on"/>
              <w:spacing w:line="360" w:lineRule="auto"/>
              <w:ind w:left="0" w:firstLine="0"/>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Θ1</w:t>
            </w:r>
          </w:p>
        </w:tc>
        <w:tc>
          <w:tcPr>
            <w:cnfStyle w:val="000000000000"/>
            <w:gridSpan w:val="2"/>
            <w:shd w:val="clear" w:fill="auto"/>
            <w:tcMar>
              <w:top w:w="0" w:type="dxa"/>
              <w:left w:w="0" w:type="dxa"/>
              <w:bottom w:w="0" w:type="dxa"/>
              <w:right w:w="0" w:type="dxa"/>
            </w:tcMar>
            <w:vAlign w:val="top"/>
          </w:tcPr>
          <w:p w14:paraId="00000092">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40" w:lineRule="auto"/>
              <w:ind w:left="0" w:right="0" w:firstLine="0"/>
              <w:jc w:val="both"/>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Os conceitos associados à experimentação dizem respeito à variação do nível de água no copo, ocasionando em virtude da densidade das bolinhas que por ser maior fazem com que elas não </w:t>
            </w:r>
            <w:r>
              <w:rPr>
                <w:rFonts w:ascii="Times New Roman" w:cs="Times New Roman" w:eastAsia="Times New Roman" w:hAnsi="Times New Roman"/>
                <w:sz w:val="20"/>
                <w:szCs w:val="20"/>
                <w:rtl w:val="off"/>
              </w:rPr>
              <w:t>flutuem</w:t>
            </w:r>
            <w:r>
              <w:rPr>
                <w:rFonts w:ascii="Times New Roman" w:cs="Times New Roman" w:eastAsia="Times New Roman" w:hAnsi="Times New Roman"/>
                <w:sz w:val="20"/>
                <w:szCs w:val="20"/>
                <w:rtl w:val="off"/>
              </w:rPr>
              <w:t xml:space="preserve"> no líquido. Além disso, outra noção importante é o de empuxo  que se associa também a densidade que não é suficiente para fazer as bolas flutuarem, o que faz as bolas deslocarem um volume de líquido horizontal em nosso objeto. </w:t>
            </w:r>
          </w:p>
        </w:tc>
      </w:tr>
      <w:tr>
        <w:trPr>
          <w:cantSplit w:val="off"/>
          <w:trHeight w:val="844" w:hRule="atLeast"/>
          <w:tblHeader w:val="off"/>
        </w:trPr>
        <w:tc>
          <w:tcPr>
            <w:cnfStyle w:val="000000000000"/>
            <w:shd w:val="clear" w:fill="auto"/>
            <w:tcMar>
              <w:top w:w="0" w:type="dxa"/>
              <w:left w:w="0" w:type="dxa"/>
              <w:bottom w:w="0" w:type="dxa"/>
              <w:right w:w="0" w:type="dxa"/>
            </w:tcMar>
            <w:vAlign w:val="top"/>
          </w:tcPr>
          <w:p w14:paraId="00000093">
            <w:pPr>
              <w:widowControl w:val="on"/>
              <w:spacing w:line="360" w:lineRule="auto"/>
              <w:ind w:left="0" w:firstLine="0"/>
              <w:jc w:val="center"/>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Θ2</w:t>
            </w:r>
          </w:p>
        </w:tc>
        <w:tc>
          <w:tcPr>
            <w:cnfStyle w:val="000000000000"/>
            <w:gridSpan w:val="2"/>
            <w:shd w:val="clear" w:fill="auto"/>
            <w:tcMar>
              <w:top w:w="0" w:type="dxa"/>
              <w:left w:w="0" w:type="dxa"/>
              <w:bottom w:w="0" w:type="dxa"/>
              <w:right w:w="0" w:type="dxa"/>
            </w:tcMar>
            <w:vAlign w:val="top"/>
          </w:tcPr>
          <w:p w14:paraId="00000094">
            <w:pPr>
              <w:jc w:val="both"/>
              <w:rPr>
                <w:rFonts w:ascii="Times New Roman" w:cs="Times New Roman" w:eastAsia="Times New Roman" w:hAnsi="Times New Roman"/>
                <w:sz w:val="20"/>
                <w:szCs w:val="20"/>
              </w:rPr>
            </w:pPr>
            <w:r>
              <w:rPr>
                <w:rFonts w:ascii="Times New Roman" w:cs="Times New Roman" w:eastAsia="Times New Roman" w:hAnsi="Times New Roman"/>
                <w:sz w:val="20"/>
                <w:szCs w:val="20"/>
                <w:rtl w:val="off"/>
              </w:rPr>
              <w:t xml:space="preserve">Enquanto no campo das funções temos as funções afim. Em que temos fenômenos com crescimentos constantes de forma linear. Os quais são representados algericamente na forma  y = ax+b. Sendo a denotando o crescimento/decrescimento  e o b termo fixo. </w:t>
            </w:r>
          </w:p>
        </w:tc>
      </w:tr>
    </w:tbl>
    <w:p w14:paraId="00000095">
      <w:pPr>
        <w:widowControl w:val="on"/>
        <w:spacing w:after="160" w:line="259" w:lineRule="auto"/>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 xml:space="preserve">Fonte: autores (2025). </w:t>
      </w:r>
    </w:p>
    <w:p w14:paraId="00000096">
      <w:pPr>
        <w:widowControl w:val="on"/>
        <w:spacing w:after="160" w:line="360" w:lineRule="auto"/>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tl w:val="off"/>
        </w:rPr>
        <w:tab/>
      </w:r>
      <w:r>
        <w:rPr>
          <w:rFonts w:ascii="Times New Roman" w:cs="Times New Roman" w:eastAsia="Times New Roman" w:hAnsi="Times New Roman"/>
          <w:sz w:val="24"/>
          <w:szCs w:val="24"/>
          <w:rtl w:val="off"/>
        </w:rPr>
        <w:t xml:space="preserve">Em suma, podemos afirmar, com base em Chevallard (1999), que as  teorias destacadas no quadro 4 </w:t>
      </w:r>
      <w:r>
        <w:rPr>
          <w:rFonts w:ascii="Times New Roman" w:cs="Times New Roman" w:eastAsia="Times New Roman" w:hAnsi="Times New Roman"/>
          <w:sz w:val="24"/>
          <w:szCs w:val="24"/>
          <w:rtl w:val="off"/>
        </w:rPr>
        <w:t>fornecem</w:t>
      </w:r>
      <w:r>
        <w:rPr>
          <w:rFonts w:ascii="Times New Roman" w:cs="Times New Roman" w:eastAsia="Times New Roman" w:hAnsi="Times New Roman"/>
          <w:sz w:val="24"/>
          <w:szCs w:val="24"/>
          <w:rtl w:val="off"/>
        </w:rPr>
        <w:t xml:space="preserve"> subsídios para que possamos melhor compreender as tecnologias utilizadas, estas por sua vez justificam as técnicas empregadas pelos estudantes para cumprir as tarefas propostas. Com base nestas exposições, pudemos no capítulo a seguir realizar nossas conclusões.</w:t>
      </w:r>
    </w:p>
    <w:p w14:paraId="00000097">
      <w:pPr>
        <w:widowControl w:val="on"/>
        <w:spacing w:before="120" w:after="120" w:line="240" w:lineRule="auto"/>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tl w:val="off"/>
        </w:rPr>
        <w:t>CONCLUSÕES</w:t>
      </w:r>
    </w:p>
    <w:p w14:paraId="00000098">
      <w:pPr>
        <w:widowControl w:val="on"/>
        <w:spacing w:after="0" w:line="360" w:lineRule="auto"/>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ab/>
        <w:t>Ancorados nos estudos de Yves Chevallard (1999), com este estudo buscamos investigar  como a organização praxeológica de estudantes do 1º ano do ensino médio, nos permite perceber as possíveis contribuições de um recurso manipulável para o ensino de Função Afim, para tal foi necessário analisar o quadro praxeológico dos estudantes após  resolução das tarefas propostas, bem como discutir as possíveis contribuições do referido recurso para o ensino de Função Afim.</w:t>
      </w:r>
    </w:p>
    <w:p w14:paraId="00000099">
      <w:pPr>
        <w:widowControl w:val="on"/>
        <w:spacing w:after="0" w:line="360" w:lineRule="auto"/>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ab/>
        <w:t>A partir das análises realizadas, pudemos constatar que o recurso é proveitoso para o ensino de Função Afim, uma vez que trabalha com diversos conceitos e explora muitas maneiras de enxergar as relações existentes entre os dois conjuntos considerados (nível da água e quantidade de bolinhas). Além disso, este é formado por materiais manipuláveis, permitindo acima de tudo que o processo de construção do conhecimento se dê através da experimentação, exigindo a atenção e o engajamento dos estudantes, o que por consequência favorece a criação de mais oportunidades de aprendizado (Lorenzato, 2010).</w:t>
      </w:r>
    </w:p>
    <w:p w14:paraId="0000009A">
      <w:pPr>
        <w:widowControl w:val="on"/>
        <w:spacing w:after="0" w:line="360" w:lineRule="auto"/>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ab/>
        <w:t>Por outro lado, devido às suas características experimentais, alguns grupos podem apresentar dificuldades no desenvolvimento das tarefas, que incluem medições, mensurações, aproximações e manipulações de números decimais. Além disso, aspectos como variações nas medidas das réguas, a quantidade de água que sai do recipiente conforme se adicionam e se retiram bolinhas, bem como, as variações ainda que mínimas nos tamanhos das bolinhas, são elementos que combinados resultam em alterações nas medições dos estudantes.</w:t>
      </w:r>
    </w:p>
    <w:p w14:paraId="0000009B">
      <w:pPr>
        <w:widowControl w:val="on"/>
        <w:spacing w:after="0" w:line="360" w:lineRule="auto"/>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ab/>
        <w:t xml:space="preserve">Portanto, concluímos que este é um recurso muito rico para o ensino de Função Afim, no entanto, possui algumas limitações próprias de seu caráter experimental, que podem ser superadas com o apoio do professor. Assim, este trabalho abre margem para que outras investigações sejam realizadas, como, por exemplo: investigar as potencialidades desta atividade para auxiliar os estudantes a transitarem entre as diferentes representações de Função Afim. </w:t>
      </w:r>
    </w:p>
    <w:p w14:paraId="0000009C">
      <w:pPr>
        <w:widowControl w:val="on"/>
        <w:spacing w:before="120" w:after="120" w:line="360" w:lineRule="auto"/>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tl w:val="off"/>
        </w:rPr>
        <w:t>AGRADECIMENTOS</w:t>
      </w:r>
    </w:p>
    <w:p w14:paraId="0000009D">
      <w:pPr>
        <w:widowControl w:val="on"/>
        <w:spacing w:after="160" w:line="259" w:lineRule="auto"/>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tl w:val="off"/>
        </w:rPr>
        <w:tab/>
        <w:t>Este trabalho foi realizado com o apoio da CAPES (Coordenação de Aperfeiçoamento de Pessoal de Nível Superior) - Código 001. Assim, agradecemos pelo apoio fornecido na prestação de bolsas do PIBID.</w:t>
      </w:r>
    </w:p>
    <w:p w14:paraId="0000009E">
      <w:pPr>
        <w:widowControl w:val="on"/>
        <w:spacing w:before="120" w:after="120" w:line="360" w:lineRule="auto"/>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tl w:val="off"/>
        </w:rPr>
        <w:t>REFERÊNCIAS</w:t>
      </w:r>
    </w:p>
    <w:p w14:paraId="0000009F">
      <w:pPr>
        <w:widowControl w:val="on"/>
        <w:jc w:val="both"/>
        <w:rPr>
          <w:rFonts w:ascii="Times New Roman" w:cs="Times New Roman" w:eastAsia="Times New Roman" w:hAnsi="Times New Roman"/>
          <w:color w:val="333333"/>
          <w:sz w:val="24"/>
          <w:szCs w:val="24"/>
          <w:highlight w:val="white"/>
        </w:rPr>
      </w:pPr>
      <w:r>
        <w:rPr>
          <w:rFonts w:ascii="Times New Roman" w:cs="Times New Roman" w:eastAsia="Times New Roman" w:hAnsi="Times New Roman"/>
          <w:color w:val="333333"/>
          <w:sz w:val="24"/>
          <w:szCs w:val="24"/>
          <w:highlight w:val="white"/>
          <w:rtl w:val="off"/>
        </w:rPr>
        <w:t xml:space="preserve">ALMOULOUD, S. A. G. Teoria Antropológica do Didático: metodología de análisis de materiales didácticos. UNIÓN - </w:t>
      </w:r>
      <w:r>
        <w:rPr>
          <w:rFonts w:ascii="Times New Roman" w:cs="Times New Roman" w:eastAsia="Times New Roman" w:hAnsi="Times New Roman"/>
          <w:b/>
          <w:color w:val="333333"/>
          <w:sz w:val="24"/>
          <w:szCs w:val="24"/>
          <w:highlight w:val="white"/>
          <w:rtl w:val="off"/>
        </w:rPr>
        <w:t>REVISTA IBEROAMERICANA DE EDUCACIÓN MATEMÁTICA</w:t>
      </w:r>
      <w:r>
        <w:rPr>
          <w:rFonts w:ascii="Times New Roman" w:cs="Times New Roman" w:eastAsia="Times New Roman" w:hAnsi="Times New Roman"/>
          <w:color w:val="333333"/>
          <w:sz w:val="24"/>
          <w:szCs w:val="24"/>
          <w:highlight w:val="white"/>
          <w:rtl w:val="off"/>
        </w:rPr>
        <w:t>, v. 11, n. 42, 2 nov. 2015.</w:t>
      </w:r>
    </w:p>
    <w:p w14:paraId="000000A0">
      <w:pPr>
        <w:widowControl w:val="on"/>
        <w:shd w:val="clear" w:fill="ffffff"/>
        <w:jc w:val="both"/>
        <w:rPr>
          <w:rFonts w:ascii="Times New Roman" w:cs="Times New Roman" w:eastAsia="Times New Roman" w:hAnsi="Times New Roman"/>
          <w:sz w:val="24"/>
          <w:szCs w:val="24"/>
          <w:highlight w:val="white"/>
        </w:rPr>
      </w:pPr>
    </w:p>
    <w:p w14:paraId="000000A1">
      <w:pPr>
        <w:widowControl w:val="on"/>
        <w:jc w:val="both"/>
        <w:rPr>
          <w:rFonts w:ascii="Times New Roman" w:cs="Times New Roman" w:eastAsia="Times New Roman" w:hAnsi="Times New Roman"/>
          <w:sz w:val="24"/>
          <w:szCs w:val="24"/>
          <w:highlight w:val="white"/>
        </w:rPr>
      </w:pPr>
      <w:r>
        <w:rPr>
          <w:rFonts w:ascii="Times New Roman" w:cs="Times New Roman" w:eastAsia="Times New Roman" w:hAnsi="Times New Roman"/>
          <w:sz w:val="24"/>
          <w:szCs w:val="24"/>
          <w:highlight w:val="white"/>
          <w:rtl w:val="off"/>
        </w:rPr>
        <w:t xml:space="preserve">CHEVALLARD, Y. Analyse des pratiques enseignantes et didactique des mathématiques : L’approche anthropologique. </w:t>
      </w:r>
      <w:r>
        <w:rPr>
          <w:rFonts w:ascii="Times New Roman" w:cs="Times New Roman" w:eastAsia="Times New Roman" w:hAnsi="Times New Roman"/>
          <w:b/>
          <w:sz w:val="24"/>
          <w:szCs w:val="24"/>
          <w:highlight w:val="white"/>
          <w:rtl w:val="off"/>
        </w:rPr>
        <w:t>Recherches en Didactique des Mathématiques</w:t>
      </w:r>
      <w:r>
        <w:rPr>
          <w:rFonts w:ascii="Times New Roman" w:cs="Times New Roman" w:eastAsia="Times New Roman" w:hAnsi="Times New Roman"/>
          <w:sz w:val="24"/>
          <w:szCs w:val="24"/>
          <w:highlight w:val="white"/>
          <w:rtl w:val="off"/>
        </w:rPr>
        <w:t xml:space="preserve">, v. 19, n. 2, p. 221–266, 1999. </w:t>
      </w:r>
    </w:p>
    <w:p w14:paraId="000000A2">
      <w:pPr>
        <w:widowControl w:val="on"/>
        <w:jc w:val="both"/>
        <w:rPr>
          <w:rFonts w:ascii="Times New Roman" w:cs="Times New Roman" w:eastAsia="Times New Roman" w:hAnsi="Times New Roman"/>
          <w:sz w:val="24"/>
          <w:szCs w:val="24"/>
          <w:highlight w:val="white"/>
        </w:rPr>
      </w:pPr>
    </w:p>
    <w:p w14:paraId="000000A3">
      <w:pPr>
        <w:widowControl w:val="on"/>
        <w:jc w:val="both"/>
        <w:rPr>
          <w:rFonts w:ascii="Times New Roman" w:cs="Times New Roman" w:eastAsia="Times New Roman" w:hAnsi="Times New Roman"/>
          <w:sz w:val="24"/>
          <w:szCs w:val="24"/>
          <w:highlight w:val="white"/>
        </w:rPr>
      </w:pPr>
      <w:r>
        <w:rPr>
          <w:rFonts w:ascii="Times New Roman" w:cs="Times New Roman" w:eastAsia="Times New Roman" w:hAnsi="Times New Roman"/>
          <w:sz w:val="24"/>
          <w:szCs w:val="24"/>
          <w:highlight w:val="white"/>
          <w:rtl w:val="off"/>
        </w:rPr>
        <w:t>CHEVALLARD, Y.</w:t>
      </w:r>
      <w:r>
        <w:rPr>
          <w:rFonts w:ascii="Times New Roman" w:cs="Times New Roman" w:eastAsia="Times New Roman" w:hAnsi="Times New Roman"/>
          <w:b/>
          <w:sz w:val="24"/>
          <w:szCs w:val="24"/>
          <w:highlight w:val="white"/>
          <w:rtl w:val="off"/>
        </w:rPr>
        <w:t xml:space="preserve"> Concepts fondamentaux de la didactique perspectives apportées par une approche anthropologique en recherches en didactique des mathématiques</w:t>
      </w:r>
      <w:r>
        <w:rPr>
          <w:rFonts w:ascii="Times New Roman" w:cs="Times New Roman" w:eastAsia="Times New Roman" w:hAnsi="Times New Roman"/>
          <w:sz w:val="24"/>
          <w:szCs w:val="24"/>
          <w:highlight w:val="white"/>
          <w:rtl w:val="off"/>
        </w:rPr>
        <w:t>, volumen 12, Nro. 1. éd. La Pensée Sauvage, p. 73-111, 1992.</w:t>
      </w:r>
    </w:p>
    <w:p w14:paraId="000000A4">
      <w:pPr>
        <w:widowControl w:val="on"/>
        <w:jc w:val="both"/>
        <w:rPr>
          <w:rFonts w:ascii="Times New Roman" w:cs="Times New Roman" w:eastAsia="Times New Roman" w:hAnsi="Times New Roman"/>
          <w:sz w:val="24"/>
          <w:szCs w:val="24"/>
          <w:highlight w:val="white"/>
        </w:rPr>
      </w:pPr>
    </w:p>
    <w:p w14:paraId="000000A5">
      <w:pPr>
        <w:widowControl w:val="on"/>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GIL, A. C..</w:t>
      </w:r>
      <w:r>
        <w:rPr>
          <w:rFonts w:ascii="Times New Roman" w:cs="Times New Roman" w:eastAsia="Times New Roman" w:hAnsi="Times New Roman"/>
          <w:b/>
          <w:sz w:val="24"/>
          <w:szCs w:val="24"/>
          <w:rtl w:val="off"/>
        </w:rPr>
        <w:t xml:space="preserve"> Métodos e técnicas de pesquisa social.</w:t>
      </w:r>
      <w:r>
        <w:rPr>
          <w:rFonts w:ascii="Times New Roman" w:cs="Times New Roman" w:eastAsia="Times New Roman" w:hAnsi="Times New Roman"/>
          <w:sz w:val="24"/>
          <w:szCs w:val="24"/>
          <w:rtl w:val="off"/>
        </w:rPr>
        <w:t xml:space="preserve"> São Paulo: Atlas, 2008. </w:t>
      </w:r>
    </w:p>
    <w:p w14:paraId="000000A6">
      <w:pPr>
        <w:widowControl w:val="on"/>
        <w:jc w:val="both"/>
        <w:rPr>
          <w:rFonts w:ascii="Times New Roman" w:cs="Times New Roman" w:eastAsia="Times New Roman" w:hAnsi="Times New Roman"/>
          <w:sz w:val="24"/>
          <w:szCs w:val="24"/>
        </w:rPr>
      </w:pPr>
    </w:p>
    <w:p w14:paraId="000000A7">
      <w:pPr>
        <w:widowControl w:val="on"/>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IEZZI, G.; MURAKAMI, C. FUNDAMENTOS DE MATEMÁTICA ELEMENTAR, 1: Conjuntos, Funções. 9. ed. São Paulo: Atual, 2013.</w:t>
      </w:r>
    </w:p>
    <w:p w14:paraId="000000A8">
      <w:pPr>
        <w:widowControl w:val="on"/>
        <w:jc w:val="both"/>
        <w:rPr>
          <w:rFonts w:ascii="Times New Roman" w:cs="Times New Roman" w:eastAsia="Times New Roman" w:hAnsi="Times New Roman"/>
          <w:sz w:val="24"/>
          <w:szCs w:val="24"/>
        </w:rPr>
      </w:pPr>
    </w:p>
    <w:p w14:paraId="000000A9">
      <w:pPr>
        <w:widowControl w:val="on"/>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LIBÂNEO, J. C. Didática. São Paulo: Cortez, 1994.</w:t>
      </w:r>
    </w:p>
    <w:p w14:paraId="000000AA">
      <w:pPr>
        <w:widowControl w:val="on"/>
        <w:jc w:val="both"/>
        <w:rPr>
          <w:rFonts w:ascii="Times New Roman" w:cs="Times New Roman" w:eastAsia="Times New Roman" w:hAnsi="Times New Roman"/>
          <w:sz w:val="24"/>
          <w:szCs w:val="24"/>
        </w:rPr>
      </w:pPr>
    </w:p>
    <w:p w14:paraId="000000AB">
      <w:pPr>
        <w:widowControl w:val="on"/>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LORENZATO, S.</w:t>
      </w:r>
      <w:r>
        <w:rPr>
          <w:rFonts w:ascii="Times New Roman" w:cs="Times New Roman" w:eastAsia="Times New Roman" w:hAnsi="Times New Roman"/>
          <w:b/>
          <w:sz w:val="24"/>
          <w:szCs w:val="24"/>
          <w:rtl w:val="off"/>
        </w:rPr>
        <w:t xml:space="preserve"> O laboratório de Ensino de Matemática na formação de professores</w:t>
      </w:r>
      <w:r>
        <w:rPr>
          <w:rFonts w:ascii="Times New Roman" w:cs="Times New Roman" w:eastAsia="Times New Roman" w:hAnsi="Times New Roman"/>
          <w:sz w:val="24"/>
          <w:szCs w:val="24"/>
          <w:rtl w:val="off"/>
        </w:rPr>
        <w:t>. Campinas, SP: Autores Associados, 2010. (Coleção Formação de Professores).</w:t>
      </w:r>
    </w:p>
    <w:p w14:paraId="000000AC">
      <w:pPr>
        <w:widowControl w:val="on"/>
        <w:rPr>
          <w:rFonts w:ascii="Times New Roman" w:cs="Times New Roman" w:eastAsia="Times New Roman" w:hAnsi="Times New Roman"/>
          <w:sz w:val="24"/>
          <w:szCs w:val="24"/>
        </w:rPr>
      </w:pPr>
    </w:p>
    <w:p w14:paraId="000000AD">
      <w:pPr>
        <w:widowControl w:val="on"/>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MEDEIROS, V. Z</w:t>
      </w:r>
      <w:r>
        <w:rPr>
          <w:rFonts w:ascii="Times New Roman" w:cs="Times New Roman" w:eastAsia="Times New Roman" w:hAnsi="Times New Roman"/>
          <w:sz w:val="24"/>
          <w:szCs w:val="24"/>
          <w:rtl w:val="off"/>
        </w:rPr>
        <w:t>.; CALDEIRA</w:t>
      </w:r>
      <w:r>
        <w:rPr>
          <w:rFonts w:ascii="Times New Roman" w:cs="Times New Roman" w:eastAsia="Times New Roman" w:hAnsi="Times New Roman"/>
          <w:sz w:val="24"/>
          <w:szCs w:val="24"/>
          <w:rtl w:val="off"/>
        </w:rPr>
        <w:t xml:space="preserve">, A. M.; SILVA, L. M. O.; MACHADO, M. A. S. Pré-Cálculo. 2. ed. rev. e atual. São Paulo: Cengage Learning, 2011. </w:t>
      </w:r>
    </w:p>
    <w:p w14:paraId="000000AE">
      <w:pPr>
        <w:widowControl w:val="on"/>
        <w:jc w:val="both"/>
        <w:rPr>
          <w:rFonts w:ascii="Times New Roman" w:cs="Times New Roman" w:eastAsia="Times New Roman" w:hAnsi="Times New Roman"/>
          <w:sz w:val="24"/>
          <w:szCs w:val="24"/>
        </w:rPr>
      </w:pPr>
    </w:p>
    <w:p w14:paraId="000000AF">
      <w:pPr>
        <w:widowControl w:val="on"/>
        <w:jc w:val="both"/>
        <w:rPr>
          <w:rFonts w:ascii="Times New Roman" w:cs="Times New Roman" w:eastAsia="Times New Roman" w:hAnsi="Times New Roman"/>
          <w:sz w:val="24"/>
          <w:szCs w:val="24"/>
        </w:rPr>
      </w:pPr>
      <w:r>
        <w:rPr>
          <w:rFonts w:ascii="Times New Roman" w:cs="Times New Roman" w:eastAsia="Times New Roman" w:hAnsi="Times New Roman"/>
          <w:sz w:val="24"/>
          <w:szCs w:val="24"/>
          <w:rtl w:val="off"/>
        </w:rPr>
        <w:t>MINAYO, M. C. S. (org.). Pesquisa Social. Teoria, método e criatividade. 18 ed. Petrópolis: Vozes, 2001</w:t>
      </w:r>
    </w:p>
    <w:p w14:paraId="000000B0">
      <w:pPr>
        <w:widowControl w:val="on"/>
        <w:jc w:val="both"/>
        <w:rPr>
          <w:rFonts w:ascii="Times New Roman" w:cs="Times New Roman" w:eastAsia="Times New Roman" w:hAnsi="Times New Roman"/>
          <w:sz w:val="24"/>
          <w:szCs w:val="24"/>
        </w:rPr>
      </w:pPr>
    </w:p>
    <w:p w14:paraId="000000B1">
      <w:pPr>
        <w:widowControl w:val="on"/>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tl w:val="off"/>
        </w:rPr>
        <w:t xml:space="preserve">STEWART, J. </w:t>
      </w:r>
      <w:r>
        <w:rPr>
          <w:rFonts w:ascii="Times New Roman" w:cs="Times New Roman" w:eastAsia="Times New Roman" w:hAnsi="Times New Roman"/>
          <w:i/>
          <w:sz w:val="24"/>
          <w:szCs w:val="24"/>
          <w:rtl w:val="off"/>
        </w:rPr>
        <w:t>Cálculo, Volume 1</w:t>
      </w:r>
      <w:r>
        <w:rPr>
          <w:rFonts w:ascii="Times New Roman" w:cs="Times New Roman" w:eastAsia="Times New Roman" w:hAnsi="Times New Roman"/>
          <w:sz w:val="24"/>
          <w:szCs w:val="24"/>
          <w:rtl w:val="off"/>
        </w:rPr>
        <w:t>. 7. ed. Tradução: EZ2Translate. São Paulo: Cengage Learning, 2013.</w:t>
      </w:r>
    </w:p>
    <w:sectPr>
      <w:headerReference w:type="default" r:id="rId8"/>
      <w:footerReference w:type="default" r:id="rId9"/>
      <w:pgSz w:w="11900" w:h="16840" w:orient="portrait"/>
      <w:pgMar w:top="1700" w:right="1133" w:bottom="1133" w:left="1700" w:header="0" w:footer="360"/>
      <w:pgNumType w:start="1"/>
    </w:sectPr>
  </w:body>
</w:document>
</file>

<file path=word/fontTable.xml><?xml version="1.0" encoding="utf-8"?>
<w:fonts xmlns:r="http://schemas.openxmlformats.org/officeDocument/2006/relationships" xmlns:w="http://schemas.openxmlformats.org/wordprocessingml/2006/main">
  <w:font w:name="Calibri"/>
  <w:font w:name="Times New Roman"/>
  <w:font w:name="Georgia"/>
  <w:font w:name="Arial"/>
  <w:font w:name="Cardo">
    <w:embedRegular w:fontKey="{00000000-0000-0000-0000-000000000000}" r:id="rId1" w:subsetted="0"/>
    <w:embedBold w:fontKey="{00000000-0000-0000-0000-000000000000}" r:id="rId2" w:subsetted="0"/>
    <w:embedItalic w:fontKey="{00000000-0000-0000-0000-000000000000}" r:id="rId3" w:subsetted="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roman"/>
    <w:pitch w:val="variable"/>
    <w:sig w:usb0="61002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xmlns:wp14="http://schemas.microsoft.com/office/word/2010/wordprocessingDrawing" xmlns:wpi="http://schemas.microsoft.com/office/word/2010/wordprocessingInk" xmlns:aink="http://schemas.microsoft.com/office/drawing/2016/ink" mc:Ignorable="w14 wp14 ">
  <w:p w14:paraId="000000B9">
    <w:pPr>
      <w:spacing w:after="0" w:line="240" w:lineRule="auto"/>
      <w:rPr/>
    </w:pP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xmlns:wp14="http://schemas.microsoft.com/office/word/2010/wordprocessingDrawing" xmlns:wpi="http://schemas.microsoft.com/office/word/2010/wordprocessingInk" xmlns:aink="http://schemas.microsoft.com/office/drawing/2016/ink" mc:Ignorable="w14 wp14 ">
  <w:footnote w:id="0">
    <w:p w14:paraId="00000001">
      <w:pPr>
        <w:rPr>
          <w:rFonts w:ascii="Times New Roman" w:cs="Times New Roman" w:eastAsia="Times New Roman" w:hAnsi="Times New Roman"/>
          <w:sz w:val="20"/>
          <w:szCs w:val="20"/>
        </w:rPr>
      </w:pPr>
      <w:r>
        <w:rPr>
          <w:rStyle w:val="Footnotereference"/>
          <w:vertAlign w:val="superscript"/>
        </w:rPr>
        <w:footnoteRef/>
      </w:r>
      <w:r>
        <w:rPr>
          <w:sz w:val="20"/>
          <w:szCs w:val="20"/>
          <w:rtl w:val="off"/>
        </w:rPr>
        <w:t xml:space="preserve"> </w:t>
      </w:r>
      <w:r>
        <w:rPr>
          <w:rFonts w:ascii="Times New Roman" w:cs="Times New Roman" w:eastAsia="Times New Roman" w:hAnsi="Times New Roman"/>
          <w:sz w:val="20"/>
          <w:szCs w:val="20"/>
          <w:rtl w:val="off"/>
        </w:rPr>
        <w:t xml:space="preserve"> Universidade Federal de Pernambuco (UFPE) • </w:t>
      </w:r>
      <w:r>
        <w:rPr>
          <w:rFonts w:ascii="Times New Roman" w:cs="Times New Roman" w:eastAsia="Times New Roman" w:hAnsi="Times New Roman"/>
          <w:color w:val="1155cc"/>
          <w:sz w:val="20"/>
          <w:szCs w:val="20"/>
          <w:u w:val="single"/>
          <w:rtl w:val="off"/>
        </w:rPr>
        <w:fldChar w:fldCharType="begin"/>
      </w:r>
      <w:r>
        <w:rPr>
          <w:rFonts w:ascii="Times New Roman" w:cs="Times New Roman" w:eastAsia="Times New Roman" w:hAnsi="Times New Roman"/>
          <w:color w:val="1155cc"/>
          <w:sz w:val="20"/>
          <w:szCs w:val="20"/>
          <w:u w:val="single"/>
          <w:rtl w:val="off"/>
        </w:rPr>
        <w:instrText xml:space="preserve">HYPERLINK "mailto:pedropvz2silva@gmail.com" </w:instrText>
      </w:r>
      <w:r>
        <w:rPr>
          <w:rFonts w:ascii="Times New Roman" w:cs="Times New Roman" w:eastAsia="Times New Roman" w:hAnsi="Times New Roman"/>
          <w:color w:val="1155cc"/>
          <w:sz w:val="20"/>
          <w:szCs w:val="20"/>
          <w:u w:val="single"/>
          <w:rtl w:val="off"/>
        </w:rPr>
        <w:fldChar w:fldCharType="separate"/>
      </w:r>
      <w:r>
        <w:rPr>
          <w:rFonts w:ascii="Times New Roman" w:cs="Times New Roman" w:eastAsia="Times New Roman" w:hAnsi="Times New Roman"/>
          <w:color w:val="1155cc"/>
          <w:sz w:val="20"/>
          <w:szCs w:val="20"/>
          <w:u w:val="single"/>
          <w:rtl w:val="off"/>
        </w:rPr>
        <w:t>pedropvz2silva@gmail.com</w:t>
      </w:r>
      <w:r>
        <w:rPr>
          <w:rFonts w:ascii="Times New Roman" w:cs="Times New Roman" w:eastAsia="Times New Roman" w:hAnsi="Times New Roman"/>
          <w:sz w:val="20"/>
          <w:szCs w:val="20"/>
        </w:rPr>
        <w:fldChar w:fldCharType="end"/>
      </w:r>
    </w:p>
  </w:footnote>
  <w:footnote w:id="1">
    <w:p w14:paraId="00000002">
      <w:pPr>
        <w:rPr>
          <w:sz w:val="20"/>
          <w:szCs w:val="20"/>
        </w:rPr>
      </w:pPr>
      <w:r>
        <w:rPr>
          <w:rStyle w:val="Footnotereference"/>
          <w:vertAlign w:val="superscript"/>
        </w:rPr>
        <w:footnoteRef/>
      </w:r>
      <w:r>
        <w:rPr>
          <w:sz w:val="20"/>
          <w:szCs w:val="20"/>
          <w:rtl w:val="off"/>
        </w:rPr>
        <w:t xml:space="preserve">  </w:t>
      </w:r>
      <w:r>
        <w:rPr>
          <w:rFonts w:ascii="Times New Roman" w:cs="Times New Roman" w:eastAsia="Times New Roman" w:hAnsi="Times New Roman"/>
          <w:sz w:val="20"/>
          <w:szCs w:val="20"/>
          <w:rtl w:val="off"/>
        </w:rPr>
        <w:t xml:space="preserve">Universidade Federal de Pernambuco (UFPE) • </w:t>
      </w:r>
      <w:r>
        <w:rPr>
          <w:rFonts w:ascii="Times New Roman" w:cs="Times New Roman" w:eastAsia="Times New Roman" w:hAnsi="Times New Roman"/>
          <w:color w:val="1155cc"/>
          <w:sz w:val="20"/>
          <w:szCs w:val="20"/>
          <w:u w:val="single"/>
          <w:rtl w:val="off"/>
        </w:rPr>
        <w:fldChar w:fldCharType="begin"/>
      </w:r>
      <w:r>
        <w:rPr>
          <w:rFonts w:ascii="Times New Roman" w:cs="Times New Roman" w:eastAsia="Times New Roman" w:hAnsi="Times New Roman"/>
          <w:color w:val="1155cc"/>
          <w:sz w:val="20"/>
          <w:szCs w:val="20"/>
          <w:u w:val="single"/>
          <w:rtl w:val="off"/>
        </w:rPr>
        <w:instrText xml:space="preserve">HYPERLINK "mailto:Anderson.euclides@ufpe.br" </w:instrText>
      </w:r>
      <w:r>
        <w:rPr>
          <w:rFonts w:ascii="Times New Roman" w:cs="Times New Roman" w:eastAsia="Times New Roman" w:hAnsi="Times New Roman"/>
          <w:color w:val="1155cc"/>
          <w:sz w:val="20"/>
          <w:szCs w:val="20"/>
          <w:u w:val="single"/>
          <w:rtl w:val="off"/>
        </w:rPr>
        <w:fldChar w:fldCharType="separate"/>
      </w:r>
      <w:r>
        <w:rPr>
          <w:rFonts w:ascii="Times New Roman" w:cs="Times New Roman" w:eastAsia="Times New Roman" w:hAnsi="Times New Roman"/>
          <w:color w:val="1155cc"/>
          <w:sz w:val="20"/>
          <w:szCs w:val="20"/>
          <w:u w:val="single"/>
          <w:rtl w:val="off"/>
        </w:rPr>
        <w:t>Anderson.euclides@ufpe.br</w:t>
      </w:r>
      <w:r>
        <w:rPr>
          <w:rFonts w:ascii="Times New Roman" w:cs="Times New Roman" w:eastAsia="Times New Roman" w:hAnsi="Times New Roman"/>
          <w:sz w:val="20"/>
          <w:szCs w:val="20"/>
          <w:rtl w:val="off"/>
        </w:rPr>
        <w:fldChar w:fldCharType="end"/>
      </w:r>
      <w:r>
        <w:rPr>
          <w:rFonts w:ascii="Times New Roman" w:cs="Times New Roman" w:eastAsia="Times New Roman" w:hAnsi="Times New Roman"/>
          <w:sz w:val="20"/>
          <w:szCs w:val="20"/>
          <w:rtl w:val="off"/>
        </w:rPr>
        <w:t xml:space="preserve">. </w:t>
      </w:r>
    </w:p>
  </w:footnote>
  <w:footnote w:id="2">
    <w:p w14:paraId="00000003">
      <w:pPr>
        <w:rPr>
          <w:sz w:val="20"/>
          <w:szCs w:val="20"/>
        </w:rPr>
      </w:pPr>
      <w:r>
        <w:rPr>
          <w:rStyle w:val="Footnotereference"/>
          <w:vertAlign w:val="superscript"/>
        </w:rPr>
        <w:footnoteRef/>
      </w:r>
      <w:r>
        <w:rPr>
          <w:sz w:val="20"/>
          <w:szCs w:val="20"/>
          <w:rtl w:val="off"/>
        </w:rPr>
        <w:t xml:space="preserve"> </w:t>
      </w:r>
      <w:r>
        <w:rPr>
          <w:rFonts w:ascii="Times New Roman" w:cs="Times New Roman" w:eastAsia="Times New Roman" w:hAnsi="Times New Roman"/>
          <w:sz w:val="20"/>
          <w:szCs w:val="20"/>
          <w:rtl w:val="off"/>
        </w:rPr>
        <w:t xml:space="preserve">Universidade Federal de Pernambuco (UFPE) • </w:t>
      </w:r>
      <w:r>
        <w:rPr>
          <w:rFonts w:ascii="Times New Roman" w:cs="Times New Roman" w:eastAsia="Times New Roman" w:hAnsi="Times New Roman"/>
          <w:color w:val="1155cc"/>
          <w:sz w:val="20"/>
          <w:szCs w:val="20"/>
          <w:u w:val="single"/>
          <w:rtl w:val="off"/>
        </w:rPr>
        <w:fldChar w:fldCharType="begin"/>
      </w:r>
      <w:r>
        <w:rPr>
          <w:rFonts w:ascii="Times New Roman" w:cs="Times New Roman" w:eastAsia="Times New Roman" w:hAnsi="Times New Roman"/>
          <w:color w:val="1155cc"/>
          <w:sz w:val="20"/>
          <w:szCs w:val="20"/>
          <w:u w:val="single"/>
          <w:rtl w:val="off"/>
        </w:rPr>
        <w:instrText xml:space="preserve">HYPERLINK "mailto:mariabianca.bezerra@ufpe.br" </w:instrText>
      </w:r>
      <w:r>
        <w:rPr>
          <w:rFonts w:ascii="Times New Roman" w:cs="Times New Roman" w:eastAsia="Times New Roman" w:hAnsi="Times New Roman"/>
          <w:color w:val="1155cc"/>
          <w:sz w:val="20"/>
          <w:szCs w:val="20"/>
          <w:u w:val="single"/>
          <w:rtl w:val="off"/>
        </w:rPr>
        <w:fldChar w:fldCharType="separate"/>
      </w:r>
      <w:r>
        <w:rPr>
          <w:rFonts w:ascii="Times New Roman" w:cs="Times New Roman" w:eastAsia="Times New Roman" w:hAnsi="Times New Roman"/>
          <w:color w:val="1155cc"/>
          <w:sz w:val="20"/>
          <w:szCs w:val="20"/>
          <w:u w:val="single"/>
          <w:rtl w:val="off"/>
        </w:rPr>
        <w:t>mariabianca.bezerra@ufpe.br</w:t>
      </w:r>
      <w:r>
        <w:rPr>
          <w:rFonts w:ascii="Times New Roman" w:cs="Times New Roman" w:eastAsia="Times New Roman" w:hAnsi="Times New Roman"/>
          <w:sz w:val="20"/>
          <w:szCs w:val="20"/>
          <w:rtl w:val="off"/>
        </w:rPr>
        <w:fldChar w:fldCharType="end"/>
      </w:r>
      <w:r>
        <w:rPr>
          <w:rFonts w:ascii="Times New Roman" w:cs="Times New Roman" w:eastAsia="Times New Roman" w:hAnsi="Times New Roman"/>
          <w:sz w:val="20"/>
          <w:szCs w:val="20"/>
          <w:rtl w:val="off"/>
        </w:rPr>
        <w:t xml:space="preserve"> </w:t>
      </w:r>
    </w:p>
  </w:footnote>
  <w:footnote w:id="3">
    <w:p w14:paraId="00000004">
      <w:pPr>
        <w:rPr>
          <w:sz w:val="20"/>
          <w:szCs w:val="20"/>
        </w:rPr>
      </w:pPr>
      <w:r>
        <w:rPr>
          <w:rStyle w:val="Footnotereference"/>
          <w:vertAlign w:val="superscript"/>
        </w:rPr>
        <w:footnoteRef/>
      </w:r>
      <w:r>
        <w:rPr>
          <w:sz w:val="20"/>
          <w:szCs w:val="20"/>
          <w:rtl w:val="off"/>
        </w:rPr>
        <w:t xml:space="preserve"> </w:t>
      </w:r>
      <w:r>
        <w:rPr>
          <w:rFonts w:ascii="Times New Roman" w:cs="Times New Roman" w:eastAsia="Times New Roman" w:hAnsi="Times New Roman"/>
          <w:sz w:val="20"/>
          <w:szCs w:val="20"/>
          <w:rtl w:val="off"/>
        </w:rPr>
        <w:t xml:space="preserve">Universidade Federal de Pernambuco (UFPE) • </w:t>
      </w:r>
      <w:r>
        <w:rPr>
          <w:rFonts w:ascii="Times New Roman" w:cs="Times New Roman" w:eastAsia="Times New Roman" w:hAnsi="Times New Roman"/>
          <w:color w:val="1155cc"/>
          <w:sz w:val="20"/>
          <w:szCs w:val="20"/>
          <w:u w:val="single"/>
          <w:rtl w:val="off"/>
        </w:rPr>
        <w:fldChar w:fldCharType="begin"/>
      </w:r>
      <w:r>
        <w:rPr>
          <w:rFonts w:ascii="Times New Roman" w:cs="Times New Roman" w:eastAsia="Times New Roman" w:hAnsi="Times New Roman"/>
          <w:color w:val="1155cc"/>
          <w:sz w:val="20"/>
          <w:szCs w:val="20"/>
          <w:u w:val="single"/>
          <w:rtl w:val="off"/>
        </w:rPr>
        <w:instrText xml:space="preserve">HYPERLINK "mailto:willia.rodrigues@ufpe.br" </w:instrText>
      </w:r>
      <w:r>
        <w:rPr>
          <w:rFonts w:ascii="Times New Roman" w:cs="Times New Roman" w:eastAsia="Times New Roman" w:hAnsi="Times New Roman"/>
          <w:color w:val="1155cc"/>
          <w:sz w:val="20"/>
          <w:szCs w:val="20"/>
          <w:u w:val="single"/>
          <w:rtl w:val="off"/>
        </w:rPr>
        <w:fldChar w:fldCharType="separate"/>
      </w:r>
      <w:r>
        <w:rPr>
          <w:rFonts w:ascii="Times New Roman" w:cs="Times New Roman" w:eastAsia="Times New Roman" w:hAnsi="Times New Roman"/>
          <w:color w:val="1155cc"/>
          <w:sz w:val="20"/>
          <w:szCs w:val="20"/>
          <w:u w:val="single"/>
          <w:rtl w:val="off"/>
        </w:rPr>
        <w:t>william.rodrigues@ufpe.br</w:t>
      </w:r>
      <w:r>
        <w:rPr>
          <w:rFonts w:ascii="Times New Roman" w:cs="Times New Roman" w:eastAsia="Times New Roman" w:hAnsi="Times New Roman"/>
          <w:sz w:val="20"/>
          <w:szCs w:val="20"/>
          <w:rtl w:val="off"/>
        </w:rPr>
        <w:fldChar w:fldCharType="end"/>
      </w:r>
      <w:r>
        <w:rPr>
          <w:rFonts w:ascii="Times New Roman" w:cs="Times New Roman" w:eastAsia="Times New Roman" w:hAnsi="Times New Roman"/>
          <w:sz w:val="20"/>
          <w:szCs w:val="20"/>
          <w:rtl w:val="off"/>
        </w:rPr>
        <w:t xml:space="preserve"> </w:t>
      </w:r>
    </w:p>
  </w:footnote>
  <w:footnote w:id="4">
    <w:p w14:paraId="00000005">
      <w:pPr>
        <w:rPr>
          <w:sz w:val="20"/>
          <w:szCs w:val="20"/>
        </w:rPr>
      </w:pPr>
      <w:r>
        <w:rPr>
          <w:rStyle w:val="Footnotereference"/>
          <w:vertAlign w:val="superscript"/>
        </w:rPr>
        <w:footnoteRef/>
      </w:r>
      <w:r>
        <w:rPr>
          <w:sz w:val="20"/>
          <w:szCs w:val="20"/>
          <w:rtl w:val="off"/>
        </w:rPr>
        <w:t xml:space="preserve"> </w:t>
      </w:r>
      <w:r>
        <w:rPr>
          <w:rFonts w:ascii="Times New Roman" w:cs="Times New Roman" w:eastAsia="Times New Roman" w:hAnsi="Times New Roman"/>
          <w:sz w:val="20"/>
          <w:szCs w:val="20"/>
          <w:rtl w:val="off"/>
        </w:rPr>
        <w:t xml:space="preserve">Secretaria de Educação e Esportes (SEE-PE) • </w:t>
      </w:r>
      <w:r>
        <w:rPr>
          <w:rFonts w:ascii="Times New Roman" w:cs="Times New Roman" w:eastAsia="Times New Roman" w:hAnsi="Times New Roman"/>
          <w:color w:val="0563c1"/>
          <w:sz w:val="20"/>
          <w:szCs w:val="20"/>
          <w:u w:val="single"/>
          <w:rtl w:val="off"/>
        </w:rPr>
        <w:t>lidiane.p.carvalho@gmail.com</w:t>
      </w:r>
    </w:p>
  </w:footnote>
  <w:footnote w:id="5">
    <w:p w14:paraId="00000006">
      <w:pPr>
        <w:rPr>
          <w:sz w:val="20"/>
          <w:szCs w:val="20"/>
        </w:rPr>
      </w:pPr>
      <w:r>
        <w:rPr>
          <w:rStyle w:val="Footnotereference"/>
          <w:vertAlign w:val="superscript"/>
        </w:rPr>
        <w:footnoteRef/>
      </w:r>
      <w:r>
        <w:rPr>
          <w:sz w:val="20"/>
          <w:szCs w:val="20"/>
          <w:rtl w:val="off"/>
        </w:rPr>
        <w:t xml:space="preserve"> </w:t>
      </w:r>
      <w:r>
        <w:rPr>
          <w:rFonts w:ascii="Times New Roman" w:cs="Times New Roman" w:eastAsia="Times New Roman" w:hAnsi="Times New Roman"/>
          <w:sz w:val="20"/>
          <w:szCs w:val="20"/>
          <w:rtl w:val="off"/>
        </w:rPr>
        <w:t xml:space="preserve">Universidade Federal de Pernambuco (UFPE) • </w:t>
      </w:r>
      <w:r>
        <w:rPr>
          <w:rFonts w:ascii="Times New Roman" w:cs="Times New Roman" w:eastAsia="Times New Roman" w:hAnsi="Times New Roman"/>
          <w:color w:val="0563c1"/>
          <w:sz w:val="20"/>
          <w:szCs w:val="20"/>
          <w:u w:val="single"/>
          <w:rtl w:val="off"/>
        </w:rPr>
        <w:fldChar w:fldCharType="begin"/>
      </w:r>
      <w:r>
        <w:rPr>
          <w:rFonts w:ascii="Times New Roman" w:cs="Times New Roman" w:eastAsia="Times New Roman" w:hAnsi="Times New Roman"/>
          <w:color w:val="0563c1"/>
          <w:sz w:val="20"/>
          <w:szCs w:val="20"/>
          <w:u w:val="single"/>
          <w:rtl w:val="off"/>
        </w:rPr>
        <w:instrText xml:space="preserve">HYPERLINK "mailto:coautor2@email.com" </w:instrText>
      </w:r>
      <w:r>
        <w:rPr>
          <w:rFonts w:ascii="Times New Roman" w:cs="Times New Roman" w:eastAsia="Times New Roman" w:hAnsi="Times New Roman"/>
          <w:color w:val="0563c1"/>
          <w:sz w:val="20"/>
          <w:szCs w:val="20"/>
          <w:u w:val="single"/>
          <w:rtl w:val="off"/>
        </w:rPr>
        <w:fldChar w:fldCharType="separate"/>
      </w:r>
      <w:r>
        <w:rPr>
          <w:rFonts w:ascii="Times New Roman" w:cs="Times New Roman" w:eastAsia="Times New Roman" w:hAnsi="Times New Roman"/>
          <w:color w:val="0563c1"/>
          <w:sz w:val="20"/>
          <w:szCs w:val="20"/>
          <w:u w:val="single"/>
          <w:rtl w:val="off"/>
        </w:rPr>
        <w:t>cristiane.arocha@ufpe.br</w:t>
      </w:r>
      <w:r>
        <w:rPr>
          <w:sz w:val="20"/>
          <w:szCs w:val="20"/>
        </w:rPr>
        <w:fldChar w:fldCharType="end"/>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xmlns:wp14="http://schemas.microsoft.com/office/word/2010/wordprocessingDrawing" xmlns:wpi="http://schemas.microsoft.com/office/word/2010/wordprocessingInk" xmlns:aink="http://schemas.microsoft.com/office/drawing/2016/ink" mc:Ignorable="w14 wp14 ">
  <w:p w14:paraId="000000B2">
    <w:r>
      <w:rPr/>
      <w:drawing xmlns:mc="http://schemas.openxmlformats.org/markup-compatibility/2006">
        <wp:anchor allowOverlap="1" behindDoc="1" layoutInCell="1" locked="0" relativeHeight="-1" simplePos="0">
          <wp:simplePos x="0" y="0"/>
          <wp:positionH relativeFrom="margin">
            <wp:posOffset>-621581</wp:posOffset>
          </wp:positionH>
          <wp:positionV relativeFrom="margin">
            <wp:posOffset>-18615189</wp:posOffset>
          </wp:positionV>
          <wp:extent cx="6076950" cy="8271916"/>
          <wp:effectExtent l="0" t="0" r="25400" b="2540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
                  <a:srcRect l="0" t="0" r="0" b="0"/>
                  <a:stretch/>
                </pic:blipFill>
                <pic:spPr>
                  <a:xfrm>
                    <a:off x="0" y="0"/>
                    <a:ext cx="6076950" cy="8271916"/>
                  </a:xfrm>
                  <a:prstGeom prst="rect">
                    <a:avLst/>
                  </a:prstGeom>
                  <a:solidFill>
                    <a:srgbClr val="FFFFFF"/>
                  </a:solidFill>
                  <a:ln w="12700">
                    <a:solidFill>
                      <a:srgbClr val="000000"/>
                    </a:solidFill>
                  </a:ln>
                  <a:effectLst/>
                </pic:spPr>
              </pic:pic>
            </a:graphicData>
          </a:graphic>
        </wp:anchor>
      </w:drawing>
    </w:r>
  </w:p>
  <w:p w14:paraId="000000B3"/>
  <w:p w14:paraId="000000B4"/>
  <w:p w14:paraId="000000B5">
    <w:pPr>
      <w:spacing w:before="3"/>
      <w:ind w:left="-566" w:right="1338" w:firstLine="0"/>
      <w:jc w:val="center"/>
      <w:rPr>
        <w:rFonts w:ascii="Arial" w:cs="Arial" w:eastAsia="Arial" w:hAnsi="Arial"/>
        <w:sz w:val="17"/>
        <w:szCs w:val="17"/>
      </w:rPr>
    </w:pPr>
  </w:p>
  <w:p w14:paraId="000000B6">
    <w:pPr>
      <w:ind w:left="-850" w:firstLine="0"/>
      <w:jc w:val="both"/>
      <w:rPr/>
    </w:pPr>
    <w:r>
      <w:rPr/>
      <w:drawing xmlns:mc="http://schemas.openxmlformats.org/markup-compatibility/2006">
        <wp:inline distT="0" distB="0" distL="0" distR="0">
          <wp:extent cx="5829300" cy="1962150"/>
          <wp:effectExtent l="0" t="0" r="0" b="0"/>
          <wp:docPr id="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5"/>
                  <a:srcRect/>
                  <a:stretch>
                    <a:fillRect/>
                  </a:stretch>
                </pic:blipFill>
                <pic:spPr>
                  <a:xfrm>
                    <a:off x="0" y="0"/>
                    <a:ext cx="5829300" cy="1962150"/>
                  </a:xfrm>
                  <a:prstGeom prst="rect">
                    <a:avLst/>
                  </a:prstGeom>
                </pic:spPr>
              </pic:pic>
            </a:graphicData>
          </a:graphic>
        </wp:inline>
      </w:drawing>
    </w:r>
  </w:p>
  <w:p w14:paraId="000000B7"/>
  <w:p w14:paraId="000000B8">
    <w:r>
      <w:rPr/>
      <w:drawing xmlns:mc="http://schemas.openxmlformats.org/markup-compatibility/2006">
        <wp:anchor allowOverlap="1" behindDoc="1" layoutInCell="1" locked="0" relativeHeight="-2" simplePos="0">
          <wp:simplePos x="0" y="0"/>
          <wp:positionH relativeFrom="margin">
            <wp:posOffset>-109703</wp:posOffset>
          </wp:positionH>
          <wp:positionV relativeFrom="margin">
            <wp:posOffset>5577626</wp:posOffset>
          </wp:positionV>
          <wp:extent cx="6076950" cy="8271916"/>
          <wp:effectExtent l="0" t="0" r="25400" b="2540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srcRect l="0" t="0" r="0" b="0"/>
                  <a:stretch/>
                </pic:blipFill>
                <pic:spPr>
                  <a:xfrm>
                    <a:off x="0" y="0"/>
                    <a:ext cx="6076950" cy="8271916"/>
                  </a:xfrm>
                  <a:prstGeom prst="rect">
                    <a:avLst/>
                  </a:prstGeom>
                  <a:solidFill>
                    <a:srgbClr val="FFFFFF"/>
                  </a:solidFill>
                  <a:ln w="12700">
                    <a:solidFill>
                      <a:srgbClr val="000000"/>
                    </a:solidFill>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footnotePr/>
  <w:endnotePr/>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Calibri" w:cs="Calibri" w:eastAsia="Calibri" w:hAnsi="Calibri"/>
        <w:sz w:val="22"/>
        <w:szCs w:val="22"/>
        <w:lang w:val="en-US"/>
      </w:rPr>
    </w:rPrDefault>
    <w:pPrDefault>
      <w:pPr>
        <w:widowControl w:val="off"/>
      </w:pPr>
    </w:pPrDefault>
  </w:docDefaults>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styleId="DefaultParagraphFont">
    <w:name w:val="Default Paragraph Font"/>
    <w:uiPriority w:val="1"/>
    <w:semiHidden w:val="on"/>
    <w:unhideWhenUsed w:val="on"/>
  </w:style>
  <w:style w:type="table"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f81bd"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000ff" w:themeColor="hyperlink"/>
      <w:u w:val="single"/>
    </w:rPr>
  </w:style>
  <w:style w:type="character" w:styleId="FollowedHyperlink">
    <w:name w:val="FollowedHyperlink"/>
    <w:basedOn w:val="DefaultParagraphFont"/>
    <w:uiPriority w:val="99"/>
    <w:semiHidden w:val="on"/>
    <w:unhideWhenUsed w:val="on"/>
    <w:rPr>
      <w:color w:val="800080" w:themeColor="followed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1f497d" w:themeColor="text2"/>
      <w:sz w:val="18"/>
      <w:szCs w:val="18"/>
    </w:rPr>
  </w:style>
  <w:style w:type="paragraph" w:default="1" w:styleId="Normal">
    <w:name w:val="Normal"/>
    <w:uiPriority w:val="99"/>
  </w:style>
  <w:style w:type="table" w:default="1" w:styleId="TableNormal">
    <w:name w:val="TableNormal"/>
    <w:uiPriority w:val="99"/>
  </w:style>
  <w:style w:type="paragraph" w:styleId="Heading1">
    <w:name w:val="Heading 1"/>
    <w:basedOn w:val="Normal"/>
    <w:next w:val="Normal"/>
    <w:uiPriority w:val="99"/>
    <w:pPr>
      <w:keepNext w:val="on"/>
      <w:keepLines w:val="on"/>
      <w:pageBreakBefore w:val="off"/>
      <w:spacing w:before="480" w:after="120"/>
    </w:pPr>
    <w:rPr>
      <w:b/>
      <w:sz w:val="48"/>
      <w:szCs w:val="48"/>
    </w:rPr>
  </w:style>
  <w:style w:type="paragraph" w:styleId="Heading2">
    <w:name w:val="Heading 2"/>
    <w:basedOn w:val="Normal"/>
    <w:next w:val="Normal"/>
    <w:uiPriority w:val="99"/>
    <w:pPr>
      <w:keepNext w:val="on"/>
      <w:keepLines w:val="on"/>
      <w:pageBreakBefore w:val="off"/>
      <w:spacing w:before="360" w:after="80"/>
    </w:pPr>
    <w:rPr>
      <w:b/>
      <w:sz w:val="36"/>
      <w:szCs w:val="36"/>
    </w:rPr>
  </w:style>
  <w:style w:type="paragraph" w:styleId="Heading3">
    <w:name w:val="Heading 3"/>
    <w:basedOn w:val="Normal"/>
    <w:next w:val="Normal"/>
    <w:uiPriority w:val="99"/>
    <w:pPr>
      <w:keepNext w:val="on"/>
      <w:keepLines w:val="on"/>
      <w:pageBreakBefore w:val="off"/>
      <w:spacing w:before="280" w:after="80"/>
    </w:pPr>
    <w:rPr>
      <w:b/>
      <w:sz w:val="28"/>
      <w:szCs w:val="28"/>
    </w:rPr>
  </w:style>
  <w:style w:type="paragraph" w:styleId="Heading4">
    <w:name w:val="Heading 4"/>
    <w:basedOn w:val="Normal"/>
    <w:next w:val="Normal"/>
    <w:uiPriority w:val="99"/>
    <w:pPr>
      <w:keepNext w:val="on"/>
      <w:keepLines w:val="on"/>
      <w:pageBreakBefore w:val="off"/>
      <w:spacing w:before="240" w:after="40"/>
    </w:pPr>
    <w:rPr>
      <w:b/>
      <w:sz w:val="24"/>
      <w:szCs w:val="24"/>
    </w:rPr>
  </w:style>
  <w:style w:type="paragraph" w:styleId="Heading5">
    <w:name w:val="Heading 5"/>
    <w:basedOn w:val="Normal"/>
    <w:next w:val="Normal"/>
    <w:uiPriority w:val="99"/>
    <w:pPr>
      <w:keepNext w:val="on"/>
      <w:keepLines w:val="on"/>
      <w:pageBreakBefore w:val="off"/>
      <w:spacing w:before="220" w:after="40"/>
    </w:pPr>
    <w:rPr>
      <w:b/>
      <w:sz w:val="22"/>
      <w:szCs w:val="22"/>
    </w:rPr>
  </w:style>
  <w:style w:type="paragraph" w:styleId="Heading6">
    <w:name w:val="Heading 6"/>
    <w:basedOn w:val="Normal"/>
    <w:next w:val="Normal"/>
    <w:uiPriority w:val="99"/>
    <w:pPr>
      <w:keepNext w:val="on"/>
      <w:keepLines w:val="on"/>
      <w:pageBreakBefore w:val="off"/>
      <w:spacing w:before="200" w:after="40"/>
    </w:pPr>
    <w:rPr>
      <w:b/>
      <w:sz w:val="20"/>
      <w:szCs w:val="20"/>
    </w:rPr>
  </w:style>
  <w:style w:type="paragraph" w:styleId="Title">
    <w:name w:val="Title"/>
    <w:basedOn w:val="Normal"/>
    <w:next w:val="Normal"/>
    <w:uiPriority w:val="99"/>
    <w:pPr>
      <w:spacing w:before="4"/>
    </w:pPr>
    <w:rPr>
      <w:rFonts w:ascii="Times New Roman" w:cs="Times New Roman" w:eastAsia="Times New Roman" w:hAnsi="Times New Roman"/>
    </w:rPr>
  </w:style>
  <w:style w:type="paragraph" w:styleId="Subtitle">
    <w:name w:val="Subtitle"/>
    <w:basedOn w:val="Normal"/>
    <w:next w:val="Normal"/>
    <w:uiPriority w:val="99"/>
    <w:pPr>
      <w:keepNext w:val="on"/>
      <w:keepLines w:val="on"/>
      <w:pageBreakBefore w:val="off"/>
      <w:spacing w:before="360" w:after="80"/>
    </w:pPr>
    <w:rPr>
      <w:rFonts w:ascii="Georgia" w:cs="Georgia" w:eastAsia="Georgia" w:hAnsi="Georgia"/>
      <w:i/>
      <w:color w:val="666666"/>
      <w:sz w:val="48"/>
      <w:szCs w:val="48"/>
    </w:rPr>
  </w:style>
  <w:style w:type="table" w:styleId="Table1">
    <w:name w:val="Table1"/>
    <w:basedOn w:val="TableNormal"/>
    <w:uiPriority w:val="99"/>
    <w:tblPr>
      <w:tblStyleRowBandSize w:val="1"/>
      <w:tblStyleColBandSize w:val="1"/>
      <w:tblCellMar>
        <w:top w:w="100" w:type="dxa"/>
        <w:left w:w="100" w:type="dxa"/>
        <w:bottom w:w="100" w:type="dxa"/>
        <w:right w:w="100" w:type="dxa"/>
      </w:tblCellMar>
    </w:tblPr>
  </w:style>
  <w:style w:type="table" w:styleId="Table2">
    <w:name w:val="Table2"/>
    <w:basedOn w:val="TableNormal"/>
    <w:uiPriority w:val="99"/>
    <w:tblPr>
      <w:tblStyleRowBandSize w:val="1"/>
      <w:tblStyleColBandSize w:val="1"/>
      <w:tblCellMar>
        <w:top w:w="100" w:type="dxa"/>
        <w:left w:w="100" w:type="dxa"/>
        <w:bottom w:w="100" w:type="dxa"/>
        <w:right w:w="100" w:type="dxa"/>
      </w:tblCellMar>
    </w:tblPr>
  </w:style>
  <w:style w:type="table" w:styleId="Table3">
    <w:name w:val="Table3"/>
    <w:basedOn w:val="TableNormal"/>
    <w:uiPriority w:val="99"/>
    <w:tblPr>
      <w:tblStyleRowBandSize w:val="1"/>
      <w:tblStyleColBandSize w:val="1"/>
      <w:tblCellMar>
        <w:top w:w="100" w:type="dxa"/>
        <w:left w:w="100" w:type="dxa"/>
        <w:bottom w:w="100" w:type="dxa"/>
        <w:right w:w="100" w:type="dxa"/>
      </w:tblCellMar>
    </w:tblPr>
  </w:style>
  <w:style w:type="table" w:styleId="Table4">
    <w:name w:val="Table4"/>
    <w:basedOn w:val="TableNormal"/>
    <w:uiPriority w:val="99"/>
    <w:tblPr>
      <w:tblStyleRowBandSize w:val="1"/>
      <w:tblStyleColBandSize w:val="1"/>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8" Type="http://schemas.openxmlformats.org/officeDocument/2006/relationships/header" Target="header1.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footnotes.xml.rels><?xml version="1.0" encoding="UTF-8" standalone="yes"?>
<Relationships xmlns="http://schemas.openxmlformats.org/package/2006/relationships"><Relationship Id="rId1" Type="http://schemas.openxmlformats.org/officeDocument/2006/relationships/hyperlink" Target="mailto:pedropvz2silva@gmail.com" TargetMode="External"/><Relationship Id="rId2" Type="http://schemas.openxmlformats.org/officeDocument/2006/relationships/hyperlink" Target="mailto:Anderson.euclides@ufpe.br" TargetMode="External"/><Relationship Id="rId3" Type="http://schemas.openxmlformats.org/officeDocument/2006/relationships/hyperlink" Target="mailto:mariabianca.bezerra@ufpe.br" TargetMode="External"/><Relationship Id="rId4" Type="http://schemas.openxmlformats.org/officeDocument/2006/relationships/hyperlink" Target="mailto:willia.rodrigues@ufpe.br" TargetMode="External"/><Relationship Id="rId5" Type="http://schemas.openxmlformats.org/officeDocument/2006/relationships/hyperlink" Target="mailto:coautor2@email.com" TargetMode="External"/></Relationships>
</file>

<file path=word/_rels/header1.xml.rels><?xml version="1.0" encoding="UTF-8" standalone="yes"?>
<Relationships xmlns="http://schemas.openxmlformats.org/package/2006/relationships"><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mbria"/>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2025-01-10T00:00:00Z</vt:lpwstr>
  </property>
  <property fmtid="{D5CDD505-2E9C-101B-9397-08002B2CF9AE}" pid="3" name="LastSaved">
    <vt:lpwstr>2025-01-10T00:00:00Z</vt:lpwstr>
  </property>
  <property fmtid="{D5CDD505-2E9C-101B-9397-08002B2CF9AE}" pid="4" name="Producer">
    <vt:lpwstr>iLovePDF</vt:lpwstr>
  </property>
</Properties>
</file>