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B130" w14:textId="77777777" w:rsidR="00B27525" w:rsidRPr="006444D9" w:rsidRDefault="00AB0E2A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360" w:lineRule="auto"/>
        <w:ind w:left="5" w:hanging="7"/>
        <w:jc w:val="left"/>
        <w:rPr>
          <w:color w:val="000000"/>
          <w:sz w:val="40"/>
          <w:szCs w:val="40"/>
          <w:lang w:val="pt-BR"/>
        </w:rPr>
      </w:pPr>
      <w:bookmarkStart w:id="0" w:name="_heading=h.gjdgxs" w:colFirst="0" w:colLast="0"/>
      <w:bookmarkEnd w:id="0"/>
      <w:r w:rsidRPr="006444D9">
        <w:rPr>
          <w:color w:val="C0C0C0"/>
          <w:sz w:val="72"/>
          <w:szCs w:val="72"/>
          <w:lang w:val="pt-BR"/>
        </w:rPr>
        <w:t>Resultado de Pesquisa</w:t>
      </w:r>
      <w:r w:rsidRPr="006444D9">
        <w:rPr>
          <w:color w:val="000000"/>
          <w:sz w:val="40"/>
          <w:szCs w:val="40"/>
          <w:lang w:val="pt-BR"/>
        </w:rPr>
        <w:tab/>
      </w:r>
    </w:p>
    <w:p w14:paraId="507963E4" w14:textId="76722171" w:rsidR="00B27525" w:rsidRPr="006444D9" w:rsidRDefault="006444D9">
      <w:pPr>
        <w:spacing w:line="360" w:lineRule="auto"/>
        <w:ind w:left="2" w:hanging="4"/>
        <w:jc w:val="left"/>
        <w:rPr>
          <w:sz w:val="48"/>
          <w:szCs w:val="48"/>
          <w:lang w:val="pt-BR"/>
        </w:rPr>
      </w:pPr>
      <w:r w:rsidRPr="006444D9">
        <w:rPr>
          <w:sz w:val="44"/>
          <w:szCs w:val="44"/>
          <w:lang w:val="pt-BR"/>
        </w:rPr>
        <w:tab/>
        <w:t>BIOMONITORAMENTO DO RIO LONTRA</w:t>
      </w:r>
      <w:r>
        <w:rPr>
          <w:sz w:val="44"/>
          <w:szCs w:val="44"/>
          <w:lang w:val="pt-BR"/>
        </w:rPr>
        <w:t xml:space="preserve"> </w:t>
      </w:r>
      <w:r w:rsidRPr="006444D9">
        <w:rPr>
          <w:sz w:val="44"/>
          <w:szCs w:val="44"/>
          <w:lang w:val="pt-BR"/>
        </w:rPr>
        <w:t>EM ARAGUAÍNA - TO POR MEIO DE EPHEMEROPTERA, PLECOPTERA, TRICHOPTERA E DIPTERA (EPTD) COMO BIOINDICADORES</w:t>
      </w:r>
    </w:p>
    <w:p w14:paraId="4B3CFC6A" w14:textId="77777777" w:rsidR="00B27525" w:rsidRPr="006444D9" w:rsidRDefault="00B27525" w:rsidP="00904EE0">
      <w:pPr>
        <w:spacing w:line="360" w:lineRule="auto"/>
        <w:ind w:leftChars="0" w:left="0" w:firstLineChars="0" w:firstLine="0"/>
        <w:rPr>
          <w:sz w:val="28"/>
          <w:szCs w:val="28"/>
          <w:lang w:val="pt-BR"/>
        </w:rPr>
        <w:sectPr w:rsidR="00B27525" w:rsidRPr="006444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</w:p>
    <w:p w14:paraId="7DAC57DB" w14:textId="77777777" w:rsidR="00B27525" w:rsidRDefault="00B27525" w:rsidP="00904EE0">
      <w:pPr>
        <w:spacing w:line="360" w:lineRule="auto"/>
        <w:ind w:leftChars="0" w:left="0" w:firstLineChars="0" w:firstLine="0"/>
        <w:rPr>
          <w:sz w:val="28"/>
          <w:szCs w:val="28"/>
          <w:lang w:val="pt-BR"/>
        </w:rPr>
      </w:pPr>
    </w:p>
    <w:p w14:paraId="7DD7F1CD" w14:textId="77777777" w:rsidR="005845D0" w:rsidRPr="006444D9" w:rsidRDefault="005845D0" w:rsidP="00904EE0">
      <w:pPr>
        <w:spacing w:line="360" w:lineRule="auto"/>
        <w:ind w:leftChars="0" w:left="0" w:firstLineChars="0" w:firstLine="0"/>
        <w:rPr>
          <w:sz w:val="28"/>
          <w:szCs w:val="28"/>
          <w:lang w:val="pt-BR"/>
        </w:rPr>
      </w:pPr>
    </w:p>
    <w:p w14:paraId="071B735E" w14:textId="1C77CF94" w:rsidR="00F3017A" w:rsidRPr="005845D0" w:rsidRDefault="00904EE0" w:rsidP="005845D0">
      <w:pPr>
        <w:spacing w:line="360" w:lineRule="auto"/>
        <w:ind w:left="1" w:hanging="3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Antonio Henrique Lima Freitas</w:t>
      </w:r>
      <w:r w:rsidR="00F3017A">
        <w:rPr>
          <w:b/>
          <w:sz w:val="28"/>
          <w:szCs w:val="28"/>
          <w:lang w:val="pt-BR"/>
        </w:rPr>
        <w:t>,</w:t>
      </w:r>
      <w:r w:rsidR="00F3017A" w:rsidRPr="00F3017A">
        <w:rPr>
          <w:lang w:val="pt-BR"/>
        </w:rPr>
        <w:t xml:space="preserve"> </w:t>
      </w:r>
      <w:r w:rsidR="00F3017A" w:rsidRPr="00F3017A">
        <w:rPr>
          <w:b/>
          <w:sz w:val="28"/>
          <w:szCs w:val="28"/>
          <w:lang w:val="pt-BR"/>
        </w:rPr>
        <w:t>Universidade Federal do Norte do Tocantins</w:t>
      </w:r>
      <w:r w:rsidR="00F3017A">
        <w:rPr>
          <w:b/>
          <w:sz w:val="28"/>
          <w:szCs w:val="28"/>
          <w:lang w:val="pt-BR"/>
        </w:rPr>
        <w:t>,</w:t>
      </w:r>
      <w:r w:rsidR="00F3017A" w:rsidRPr="00F3017A">
        <w:rPr>
          <w:lang w:val="pt-BR"/>
        </w:rPr>
        <w:t xml:space="preserve"> </w:t>
      </w:r>
      <w:hyperlink r:id="rId14" w:history="1">
        <w:r w:rsidR="00F3017A" w:rsidRPr="005A56F9">
          <w:rPr>
            <w:rStyle w:val="Hyperlink"/>
            <w:b/>
            <w:sz w:val="28"/>
            <w:szCs w:val="28"/>
            <w:lang w:val="pt-BR"/>
          </w:rPr>
          <w:t>antonio.henrique@mail.uft.edu.br</w:t>
        </w:r>
      </w:hyperlink>
    </w:p>
    <w:p w14:paraId="37EA9651" w14:textId="61A5D062" w:rsidR="005845D0" w:rsidRDefault="00904EE0" w:rsidP="005845D0">
      <w:pPr>
        <w:spacing w:line="276" w:lineRule="auto"/>
        <w:ind w:left="1" w:hanging="3"/>
        <w:jc w:val="right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Silvia Leitão Dutra</w:t>
      </w:r>
      <w:r w:rsidR="005845D0">
        <w:rPr>
          <w:b/>
          <w:sz w:val="28"/>
          <w:szCs w:val="28"/>
          <w:lang w:val="pt-BR"/>
        </w:rPr>
        <w:t>,</w:t>
      </w:r>
      <w:r w:rsidR="00F3017A" w:rsidRPr="00F3017A">
        <w:rPr>
          <w:lang w:val="pt-BR"/>
        </w:rPr>
        <w:t xml:space="preserve"> </w:t>
      </w:r>
      <w:r w:rsidR="00F3017A" w:rsidRPr="00F3017A">
        <w:rPr>
          <w:b/>
          <w:sz w:val="28"/>
          <w:szCs w:val="28"/>
          <w:lang w:val="pt-BR"/>
        </w:rPr>
        <w:t xml:space="preserve">Universidade Federal do Norte do Tocantins, </w:t>
      </w:r>
      <w:hyperlink r:id="rId15" w:history="1">
        <w:r w:rsidR="005845D0" w:rsidRPr="005A56F9">
          <w:rPr>
            <w:rStyle w:val="Hyperlink"/>
            <w:b/>
            <w:sz w:val="28"/>
            <w:szCs w:val="28"/>
            <w:lang w:val="pt-BR"/>
          </w:rPr>
          <w:t>silviald@uft.edu.br</w:t>
        </w:r>
      </w:hyperlink>
    </w:p>
    <w:p w14:paraId="650BBDA1" w14:textId="77777777" w:rsidR="00B27525" w:rsidRPr="006444D9" w:rsidRDefault="00B27525" w:rsidP="00904EE0">
      <w:pPr>
        <w:spacing w:after="0" w:line="360" w:lineRule="auto"/>
        <w:ind w:leftChars="0" w:left="0" w:firstLineChars="0" w:firstLine="0"/>
        <w:rPr>
          <w:sz w:val="24"/>
          <w:szCs w:val="24"/>
          <w:lang w:val="pt-BR"/>
        </w:rPr>
      </w:pPr>
    </w:p>
    <w:p w14:paraId="315E902E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6130FE7D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28005A7E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7BEF5429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749B13F6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19589810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67C02B22" w14:textId="77777777" w:rsidR="00F324F5" w:rsidRDefault="00F324F5">
      <w:pPr>
        <w:spacing w:before="0" w:after="0" w:line="360" w:lineRule="auto"/>
        <w:ind w:left="0" w:hanging="2"/>
        <w:rPr>
          <w:lang w:val="pt-BR"/>
        </w:rPr>
      </w:pPr>
    </w:p>
    <w:p w14:paraId="0E76B53D" w14:textId="72597FF1" w:rsidR="00B27525" w:rsidRPr="006444D9" w:rsidRDefault="00B27525">
      <w:pPr>
        <w:spacing w:before="0" w:after="0" w:line="360" w:lineRule="auto"/>
        <w:ind w:left="0" w:hanging="2"/>
        <w:rPr>
          <w:lang w:val="pt-BR"/>
        </w:rPr>
        <w:sectPr w:rsidR="00B27525" w:rsidRPr="006444D9">
          <w:headerReference w:type="default" r:id="rId16"/>
          <w:type w:val="continuous"/>
          <w:pgSz w:w="11907" w:h="16840"/>
          <w:pgMar w:top="1440" w:right="1800" w:bottom="1440" w:left="1800" w:header="720" w:footer="720" w:gutter="0"/>
          <w:cols w:space="720"/>
        </w:sectPr>
      </w:pPr>
    </w:p>
    <w:p w14:paraId="3F54AE6E" w14:textId="057C6F8A" w:rsidR="00B27525" w:rsidRPr="00AE217C" w:rsidRDefault="00530E91" w:rsidP="00AE2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lastRenderedPageBreak/>
        <w:t>Apresentação</w:t>
      </w:r>
      <w:proofErr w:type="spellEnd"/>
      <w:r>
        <w:rPr>
          <w:color w:val="000000"/>
          <w:sz w:val="44"/>
          <w:szCs w:val="44"/>
        </w:rPr>
        <w:t xml:space="preserve"> e </w:t>
      </w:r>
      <w:proofErr w:type="spellStart"/>
      <w:r>
        <w:rPr>
          <w:color w:val="000000"/>
          <w:sz w:val="44"/>
          <w:szCs w:val="44"/>
        </w:rPr>
        <w:t>Justificativa</w:t>
      </w:r>
      <w:bookmarkStart w:id="1" w:name="bookmark=id.1fob9te" w:colFirst="0" w:colLast="0"/>
      <w:bookmarkEnd w:id="1"/>
      <w:proofErr w:type="spellEnd"/>
    </w:p>
    <w:p w14:paraId="39F5915A" w14:textId="47408106" w:rsidR="00A74849" w:rsidRPr="006444D9" w:rsidRDefault="00A74849" w:rsidP="00B32BC6">
      <w:pPr>
        <w:spacing w:line="360" w:lineRule="auto"/>
        <w:ind w:leftChars="0" w:left="0" w:firstLineChars="0" w:firstLine="720"/>
        <w:rPr>
          <w:lang w:val="pt-BR"/>
        </w:rPr>
      </w:pPr>
      <w:r w:rsidRPr="00A74849">
        <w:rPr>
          <w:lang w:val="pt-BR"/>
        </w:rPr>
        <w:t>Por ser escassa, frágil e indispensável para a manutenção da vida e do meio ambiente, a água é considerada um recurso natural e um patrimônio econômico. Devido a uma série de impactos ambientais antrópicos, os ecossistemas aquáticos do planeta vêm sendo alterados significativamente</w:t>
      </w:r>
      <w:r>
        <w:rPr>
          <w:lang w:val="pt-BR"/>
        </w:rPr>
        <w:t xml:space="preserve"> </w:t>
      </w:r>
      <w:r w:rsidRPr="00A74849">
        <w:rPr>
          <w:lang w:val="pt-BR"/>
        </w:rPr>
        <w:t>(Goulart &amp; Callisto, 2003)</w:t>
      </w:r>
      <w:r>
        <w:rPr>
          <w:lang w:val="pt-BR"/>
        </w:rPr>
        <w:t xml:space="preserve">. </w:t>
      </w:r>
      <w:r w:rsidRPr="00A74849">
        <w:rPr>
          <w:lang w:val="pt-BR"/>
        </w:rPr>
        <w:t>Há um desarranjo do ambiente físico-químico e alterações na dinâmica e estrutura das comunidades biológicas aquáticas como repercussão das transformações antrópicas, o que representa uma redução intensa da biodiversidade aquática (Callisto et al., 2001).</w:t>
      </w:r>
    </w:p>
    <w:p w14:paraId="2EB479D2" w14:textId="4A5CC95B" w:rsidR="00B27525" w:rsidRDefault="00A74849" w:rsidP="00B32BC6">
      <w:pPr>
        <w:spacing w:line="360" w:lineRule="auto"/>
        <w:ind w:leftChars="0" w:left="0" w:firstLineChars="0" w:firstLine="720"/>
        <w:rPr>
          <w:lang w:val="pt-BR"/>
        </w:rPr>
      </w:pPr>
      <w:r w:rsidRPr="00A74849">
        <w:rPr>
          <w:lang w:val="pt-BR"/>
        </w:rPr>
        <w:t xml:space="preserve">O </w:t>
      </w:r>
      <w:proofErr w:type="spellStart"/>
      <w:r w:rsidRPr="00A74849">
        <w:rPr>
          <w:lang w:val="pt-BR"/>
        </w:rPr>
        <w:t>biomonitoramento</w:t>
      </w:r>
      <w:proofErr w:type="spellEnd"/>
      <w:r w:rsidRPr="00A74849">
        <w:rPr>
          <w:lang w:val="pt-BR"/>
        </w:rPr>
        <w:t xml:space="preserve"> é uma ferramenta científica na qual se utilizam organismos vivos, espécies ou uma comunidade completa para avaliar as transformações ocorridas em um ambiente no decorrer do tempo</w:t>
      </w:r>
      <w:r>
        <w:rPr>
          <w:lang w:val="pt-BR"/>
        </w:rPr>
        <w:t xml:space="preserve"> </w:t>
      </w:r>
      <w:r w:rsidRPr="00A74849">
        <w:rPr>
          <w:lang w:val="pt-BR"/>
        </w:rPr>
        <w:t xml:space="preserve">(Buss, Baptista &amp; </w:t>
      </w:r>
      <w:proofErr w:type="spellStart"/>
      <w:r w:rsidRPr="00A74849">
        <w:rPr>
          <w:lang w:val="pt-BR"/>
        </w:rPr>
        <w:t>Nessimian</w:t>
      </w:r>
      <w:proofErr w:type="spellEnd"/>
      <w:r w:rsidRPr="00A74849">
        <w:rPr>
          <w:lang w:val="pt-BR"/>
        </w:rPr>
        <w:t>, 2003).</w:t>
      </w:r>
      <w:r>
        <w:rPr>
          <w:lang w:val="pt-BR"/>
        </w:rPr>
        <w:t xml:space="preserve"> </w:t>
      </w:r>
      <w:r w:rsidRPr="00A74849">
        <w:rPr>
          <w:lang w:val="pt-BR"/>
        </w:rPr>
        <w:t>Os bioindicadores de qualidade da água são organismos que apontam a significância das perturbações ambientais sucedidas em corpos hídricos e suas respectivas bacias hidrográficas de acordo com parâmetros ecológicos, como ocorrência, distribuição e abundância (Callisto &amp; Gonçalves, 2002; Callisto; Gonçalves &amp; Moreno, 2005).</w:t>
      </w:r>
    </w:p>
    <w:p w14:paraId="3B6132A4" w14:textId="57263B70" w:rsidR="00A74849" w:rsidRDefault="00A74849" w:rsidP="00B32BC6">
      <w:pPr>
        <w:spacing w:line="360" w:lineRule="auto"/>
        <w:ind w:leftChars="0" w:left="0" w:firstLineChars="0" w:firstLine="720"/>
        <w:rPr>
          <w:lang w:val="pt-BR"/>
        </w:rPr>
      </w:pPr>
      <w:r w:rsidRPr="00A74849">
        <w:rPr>
          <w:lang w:val="pt-BR"/>
        </w:rPr>
        <w:t xml:space="preserve">Os </w:t>
      </w:r>
      <w:proofErr w:type="spellStart"/>
      <w:r w:rsidRPr="00A74849">
        <w:rPr>
          <w:lang w:val="pt-BR"/>
        </w:rPr>
        <w:t>macroinvertebrados</w:t>
      </w:r>
      <w:proofErr w:type="spellEnd"/>
      <w:r w:rsidRPr="00A74849">
        <w:rPr>
          <w:lang w:val="pt-BR"/>
        </w:rPr>
        <w:t xml:space="preserve"> do substrato de ambientes aquáticos (bentos) consistem em organismos extremamente convenientes para a </w:t>
      </w:r>
      <w:proofErr w:type="spellStart"/>
      <w:r w:rsidRPr="00A74849">
        <w:rPr>
          <w:lang w:val="pt-BR"/>
        </w:rPr>
        <w:t>bioindicação</w:t>
      </w:r>
      <w:proofErr w:type="spellEnd"/>
      <w:r w:rsidRPr="00A74849">
        <w:rPr>
          <w:lang w:val="pt-BR"/>
        </w:rPr>
        <w:t>, visto que eles possuem tamanho que favorece a sua amostragem, são geralmente abundantes, possuem ampla diversidade taxonômica, toleram distintas condições de poluição, estão expostos às mudanças ambientais e possuem ciclos de vida satisfatoriamente extensos, permitindo a averiguação de alterações no decurso do tempo, desse modo, os distinguindo como “organismos-sentinela”</w:t>
      </w:r>
      <w:r w:rsidRPr="00A74849">
        <w:rPr>
          <w:lang w:val="pt-BR"/>
        </w:rPr>
        <w:t xml:space="preserve"> </w:t>
      </w:r>
      <w:r w:rsidRPr="00A74849">
        <w:rPr>
          <w:lang w:val="pt-BR"/>
        </w:rPr>
        <w:t>(Callisto et al., 2001).</w:t>
      </w:r>
    </w:p>
    <w:p w14:paraId="36E4AD2C" w14:textId="11CFAB3F" w:rsidR="00A74849" w:rsidRDefault="00A74849" w:rsidP="00B32BC6">
      <w:pPr>
        <w:spacing w:line="360" w:lineRule="auto"/>
        <w:ind w:leftChars="0" w:left="0" w:firstLineChars="0" w:firstLine="720"/>
        <w:rPr>
          <w:lang w:val="pt-BR"/>
        </w:rPr>
      </w:pPr>
      <w:r w:rsidRPr="00A74849">
        <w:rPr>
          <w:lang w:val="pt-BR"/>
        </w:rPr>
        <w:t xml:space="preserve">Quanto à sensibilidade a mudanças ambientais, as ninfas e as larvas dos artrópodes das ordens </w:t>
      </w:r>
      <w:proofErr w:type="spellStart"/>
      <w:r w:rsidRPr="00A74849">
        <w:rPr>
          <w:lang w:val="pt-BR"/>
        </w:rPr>
        <w:t>Ephemeroptera</w:t>
      </w:r>
      <w:proofErr w:type="spellEnd"/>
      <w:r w:rsidRPr="00A74849">
        <w:rPr>
          <w:lang w:val="pt-BR"/>
        </w:rPr>
        <w:t xml:space="preserve"> (efemérides), </w:t>
      </w:r>
      <w:proofErr w:type="spellStart"/>
      <w:r w:rsidRPr="00A74849">
        <w:rPr>
          <w:lang w:val="pt-BR"/>
        </w:rPr>
        <w:t>Plecoptera</w:t>
      </w:r>
      <w:proofErr w:type="spellEnd"/>
      <w:r w:rsidRPr="00A74849">
        <w:rPr>
          <w:lang w:val="pt-BR"/>
        </w:rPr>
        <w:t xml:space="preserve"> (moscas-da-pedra) e </w:t>
      </w:r>
      <w:proofErr w:type="spellStart"/>
      <w:r w:rsidRPr="00A74849">
        <w:rPr>
          <w:lang w:val="pt-BR"/>
        </w:rPr>
        <w:t>Trichoptera</w:t>
      </w:r>
      <w:proofErr w:type="spellEnd"/>
      <w:r w:rsidRPr="00A74849">
        <w:rPr>
          <w:lang w:val="pt-BR"/>
        </w:rPr>
        <w:t xml:space="preserve"> (</w:t>
      </w:r>
      <w:proofErr w:type="spellStart"/>
      <w:r w:rsidRPr="00A74849">
        <w:rPr>
          <w:lang w:val="pt-BR"/>
        </w:rPr>
        <w:t>moscas-d’água</w:t>
      </w:r>
      <w:proofErr w:type="spellEnd"/>
      <w:r w:rsidRPr="00A74849">
        <w:rPr>
          <w:lang w:val="pt-BR"/>
        </w:rPr>
        <w:t>) são geralmente, em sua maioria, consideradas sensíveis às mínimas alterações do ecossistema</w:t>
      </w:r>
      <w:r>
        <w:rPr>
          <w:lang w:val="pt-BR"/>
        </w:rPr>
        <w:t>.</w:t>
      </w:r>
      <w:r w:rsidRPr="00A74849">
        <w:rPr>
          <w:lang w:val="pt-BR"/>
        </w:rPr>
        <w:t xml:space="preserve"> </w:t>
      </w:r>
      <w:r w:rsidRPr="00A74849">
        <w:rPr>
          <w:lang w:val="pt-BR"/>
        </w:rPr>
        <w:t xml:space="preserve">Em contrapartida, a ordem </w:t>
      </w:r>
      <w:proofErr w:type="spellStart"/>
      <w:r w:rsidRPr="00A74849">
        <w:rPr>
          <w:lang w:val="pt-BR"/>
        </w:rPr>
        <w:t>Diptera</w:t>
      </w:r>
      <w:proofErr w:type="spellEnd"/>
      <w:r w:rsidRPr="00A74849">
        <w:rPr>
          <w:lang w:val="pt-BR"/>
        </w:rPr>
        <w:t xml:space="preserve"> (moscas e mosquitos), da qual pertence a família </w:t>
      </w:r>
      <w:proofErr w:type="spellStart"/>
      <w:r w:rsidRPr="00A74849">
        <w:rPr>
          <w:lang w:val="pt-BR"/>
        </w:rPr>
        <w:t>Chironomidae</w:t>
      </w:r>
      <w:proofErr w:type="spellEnd"/>
      <w:r w:rsidRPr="00A74849">
        <w:rPr>
          <w:lang w:val="pt-BR"/>
        </w:rPr>
        <w:t xml:space="preserve"> (mosquitos que não picam), é composta por organismos de modo geral resistentes a poluição (</w:t>
      </w:r>
      <w:proofErr w:type="spellStart"/>
      <w:r w:rsidRPr="00A74849">
        <w:rPr>
          <w:lang w:val="pt-BR"/>
        </w:rPr>
        <w:t>Lenat</w:t>
      </w:r>
      <w:proofErr w:type="spellEnd"/>
      <w:r w:rsidRPr="00A74849">
        <w:rPr>
          <w:lang w:val="pt-BR"/>
        </w:rPr>
        <w:t xml:space="preserve"> &amp; Barbour, 1994; Alba-</w:t>
      </w:r>
      <w:proofErr w:type="spellStart"/>
      <w:r w:rsidRPr="00A74849">
        <w:rPr>
          <w:lang w:val="pt-BR"/>
        </w:rPr>
        <w:t>Tercedor</w:t>
      </w:r>
      <w:proofErr w:type="spellEnd"/>
      <w:r w:rsidRPr="00A74849">
        <w:rPr>
          <w:lang w:val="pt-BR"/>
        </w:rPr>
        <w:t xml:space="preserve">, 1996; Callisto et al., 2001; Moser, </w:t>
      </w:r>
      <w:proofErr w:type="spellStart"/>
      <w:r w:rsidRPr="00A74849">
        <w:rPr>
          <w:lang w:val="pt-BR"/>
        </w:rPr>
        <w:t>Kataoka</w:t>
      </w:r>
      <w:proofErr w:type="spellEnd"/>
      <w:r w:rsidRPr="00A74849">
        <w:rPr>
          <w:lang w:val="pt-BR"/>
        </w:rPr>
        <w:t xml:space="preserve">, </w:t>
      </w:r>
      <w:proofErr w:type="spellStart"/>
      <w:r w:rsidRPr="00A74849">
        <w:rPr>
          <w:lang w:val="pt-BR"/>
        </w:rPr>
        <w:t>Suriani</w:t>
      </w:r>
      <w:proofErr w:type="spellEnd"/>
      <w:r w:rsidRPr="00A74849">
        <w:rPr>
          <w:lang w:val="pt-BR"/>
        </w:rPr>
        <w:t>-Affonso, 2018).</w:t>
      </w:r>
    </w:p>
    <w:p w14:paraId="08392610" w14:textId="5A2383C5" w:rsidR="00A74849" w:rsidRDefault="00A74849" w:rsidP="00B32BC6">
      <w:pPr>
        <w:spacing w:line="360" w:lineRule="auto"/>
        <w:ind w:leftChars="0" w:left="0" w:firstLineChars="0" w:firstLine="720"/>
        <w:rPr>
          <w:lang w:val="pt-BR"/>
        </w:rPr>
      </w:pPr>
      <w:r w:rsidRPr="00A74849">
        <w:rPr>
          <w:lang w:val="pt-BR"/>
        </w:rPr>
        <w:t>As formas de utilização do espaço geográfico que circunda o Rio Lontra na cidade Araguaína impactam diretamente a qualidade ambiental do rio, que por outro lado aflige diretamente a comunidade humana ao seu redor.</w:t>
      </w:r>
      <w:r>
        <w:rPr>
          <w:lang w:val="pt-BR"/>
        </w:rPr>
        <w:t xml:space="preserve"> </w:t>
      </w:r>
      <w:r w:rsidRPr="00A74849">
        <w:rPr>
          <w:lang w:val="pt-BR"/>
        </w:rPr>
        <w:t>Considerando a necessidade contemporânea de preservação das condições do meio ambiente e o crescente desenvolvimento de empreendimentos residenciais, comerciais e industriais próximos a corpos d’água</w:t>
      </w:r>
      <w:r w:rsidR="00B32BC6">
        <w:rPr>
          <w:lang w:val="pt-BR"/>
        </w:rPr>
        <w:t xml:space="preserve">, </w:t>
      </w:r>
      <w:r w:rsidR="00B32BC6" w:rsidRPr="00B32BC6">
        <w:rPr>
          <w:lang w:val="pt-BR"/>
        </w:rPr>
        <w:t xml:space="preserve">faz-se necessário o estudo de tais impactos por meio do </w:t>
      </w:r>
      <w:proofErr w:type="spellStart"/>
      <w:r w:rsidR="00B32BC6" w:rsidRPr="00B32BC6">
        <w:rPr>
          <w:lang w:val="pt-BR"/>
        </w:rPr>
        <w:t>biomonitoramento</w:t>
      </w:r>
      <w:proofErr w:type="spellEnd"/>
      <w:r w:rsidR="00B32BC6" w:rsidRPr="00B32BC6">
        <w:rPr>
          <w:lang w:val="pt-BR"/>
        </w:rPr>
        <w:t xml:space="preserve"> para investigar e atenuar os efeitos da degradação dos recursos hídricos, especialmente no município de Araguaína, onde o Rio Lontra possui valor sociocultural, econômico e histórico.</w:t>
      </w:r>
    </w:p>
    <w:p w14:paraId="4DDD9249" w14:textId="77777777" w:rsidR="00FF7D17" w:rsidRPr="006444D9" w:rsidRDefault="00FF7D17" w:rsidP="00B32BC6">
      <w:pPr>
        <w:spacing w:line="360" w:lineRule="auto"/>
        <w:ind w:leftChars="0" w:left="0" w:firstLineChars="0" w:firstLine="720"/>
        <w:rPr>
          <w:lang w:val="pt-BR"/>
        </w:rPr>
      </w:pPr>
    </w:p>
    <w:p w14:paraId="5CB2282E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lastRenderedPageBreak/>
        <w:t>Objetivos</w:t>
      </w:r>
      <w:proofErr w:type="spellEnd"/>
    </w:p>
    <w:p w14:paraId="38419603" w14:textId="2C02BEA4" w:rsidR="006444D9" w:rsidRPr="007A00AF" w:rsidRDefault="006444D9" w:rsidP="006444D9">
      <w:pPr>
        <w:spacing w:line="360" w:lineRule="auto"/>
        <w:ind w:left="0" w:hanging="2"/>
        <w:rPr>
          <w:b/>
          <w:bCs/>
          <w:lang w:val="pt-BR"/>
        </w:rPr>
      </w:pPr>
      <w:r w:rsidRPr="007A00AF">
        <w:rPr>
          <w:b/>
          <w:bCs/>
          <w:lang w:val="pt-BR"/>
        </w:rPr>
        <w:t>Objetivo geral</w:t>
      </w:r>
      <w:r w:rsidRPr="007A00AF">
        <w:rPr>
          <w:b/>
          <w:bCs/>
          <w:lang w:val="pt-BR"/>
        </w:rPr>
        <w:t>:</w:t>
      </w:r>
    </w:p>
    <w:p w14:paraId="4724D08C" w14:textId="77777777" w:rsidR="006444D9" w:rsidRPr="006444D9" w:rsidRDefault="006444D9" w:rsidP="006444D9">
      <w:pPr>
        <w:spacing w:line="360" w:lineRule="auto"/>
        <w:ind w:left="0" w:hanging="2"/>
        <w:rPr>
          <w:lang w:val="pt-BR"/>
        </w:rPr>
      </w:pPr>
      <w:r w:rsidRPr="006444D9">
        <w:rPr>
          <w:lang w:val="pt-BR"/>
        </w:rPr>
        <w:t xml:space="preserve">Realizar o </w:t>
      </w:r>
      <w:proofErr w:type="spellStart"/>
      <w:r w:rsidRPr="006444D9">
        <w:rPr>
          <w:lang w:val="pt-BR"/>
        </w:rPr>
        <w:t>biomonitoramento</w:t>
      </w:r>
      <w:proofErr w:type="spellEnd"/>
      <w:r w:rsidRPr="006444D9">
        <w:rPr>
          <w:lang w:val="pt-BR"/>
        </w:rPr>
        <w:t xml:space="preserve"> da qualidade ambiental das águas do Rio Lontra em Araguaína, TO.</w:t>
      </w:r>
    </w:p>
    <w:p w14:paraId="6A61746E" w14:textId="77777777" w:rsidR="006444D9" w:rsidRPr="007A00AF" w:rsidRDefault="006444D9" w:rsidP="006444D9">
      <w:pPr>
        <w:spacing w:line="360" w:lineRule="auto"/>
        <w:ind w:left="0" w:hanging="2"/>
        <w:rPr>
          <w:b/>
          <w:bCs/>
          <w:lang w:val="pt-BR"/>
        </w:rPr>
      </w:pPr>
      <w:r w:rsidRPr="007A00AF">
        <w:rPr>
          <w:b/>
          <w:bCs/>
          <w:lang w:val="pt-BR"/>
        </w:rPr>
        <w:t xml:space="preserve">Objetivos específicos: </w:t>
      </w:r>
    </w:p>
    <w:p w14:paraId="37BC9D8B" w14:textId="77777777" w:rsidR="006444D9" w:rsidRPr="006444D9" w:rsidRDefault="006444D9" w:rsidP="006444D9">
      <w:pPr>
        <w:spacing w:line="360" w:lineRule="auto"/>
        <w:ind w:left="0" w:hanging="2"/>
        <w:rPr>
          <w:lang w:val="pt-BR"/>
        </w:rPr>
      </w:pPr>
      <w:r w:rsidRPr="006444D9">
        <w:rPr>
          <w:lang w:val="pt-BR"/>
        </w:rPr>
        <w:t xml:space="preserve">1) Inventariar a comunidade de insetos bentônicos </w:t>
      </w:r>
      <w:proofErr w:type="spellStart"/>
      <w:r w:rsidRPr="006444D9">
        <w:rPr>
          <w:lang w:val="pt-BR"/>
        </w:rPr>
        <w:t>Ephemeroptera</w:t>
      </w:r>
      <w:proofErr w:type="spellEnd"/>
      <w:r w:rsidRPr="006444D9">
        <w:rPr>
          <w:lang w:val="pt-BR"/>
        </w:rPr>
        <w:t xml:space="preserve">, </w:t>
      </w:r>
      <w:proofErr w:type="spellStart"/>
      <w:r w:rsidRPr="006444D9">
        <w:rPr>
          <w:lang w:val="pt-BR"/>
        </w:rPr>
        <w:t>Plecoptera</w:t>
      </w:r>
      <w:proofErr w:type="spellEnd"/>
      <w:r w:rsidRPr="006444D9">
        <w:rPr>
          <w:lang w:val="pt-BR"/>
        </w:rPr>
        <w:t xml:space="preserve">, </w:t>
      </w:r>
      <w:proofErr w:type="spellStart"/>
      <w:r w:rsidRPr="006444D9">
        <w:rPr>
          <w:lang w:val="pt-BR"/>
        </w:rPr>
        <w:t>Trichoptera</w:t>
      </w:r>
      <w:proofErr w:type="spellEnd"/>
      <w:r w:rsidRPr="006444D9">
        <w:rPr>
          <w:lang w:val="pt-BR"/>
        </w:rPr>
        <w:t xml:space="preserve"> e </w:t>
      </w:r>
      <w:proofErr w:type="spellStart"/>
      <w:r w:rsidRPr="006444D9">
        <w:rPr>
          <w:lang w:val="pt-BR"/>
        </w:rPr>
        <w:t>Diptera</w:t>
      </w:r>
      <w:proofErr w:type="spellEnd"/>
      <w:r w:rsidRPr="006444D9">
        <w:rPr>
          <w:lang w:val="pt-BR"/>
        </w:rPr>
        <w:t xml:space="preserve"> (EPTD) encontrada no Rio Lontra;</w:t>
      </w:r>
    </w:p>
    <w:p w14:paraId="59F4A174" w14:textId="77777777" w:rsidR="006444D9" w:rsidRPr="006444D9" w:rsidRDefault="006444D9" w:rsidP="006444D9">
      <w:pPr>
        <w:spacing w:line="360" w:lineRule="auto"/>
        <w:ind w:left="0" w:hanging="2"/>
        <w:rPr>
          <w:lang w:val="pt-BR"/>
        </w:rPr>
      </w:pPr>
      <w:r w:rsidRPr="006444D9">
        <w:rPr>
          <w:lang w:val="pt-BR"/>
        </w:rPr>
        <w:t xml:space="preserve">2) Utilizar a comunidade bentônica EPTD como ferramenta de </w:t>
      </w:r>
      <w:proofErr w:type="spellStart"/>
      <w:r w:rsidRPr="006444D9">
        <w:rPr>
          <w:lang w:val="pt-BR"/>
        </w:rPr>
        <w:t>bioindicação</w:t>
      </w:r>
      <w:proofErr w:type="spellEnd"/>
      <w:r w:rsidRPr="006444D9">
        <w:rPr>
          <w:lang w:val="pt-BR"/>
        </w:rPr>
        <w:t xml:space="preserve"> da saúde ambiental e o nível de impacto que a cidade de Araguaína causa ao Rio Lontra;</w:t>
      </w:r>
    </w:p>
    <w:p w14:paraId="18E2D5AE" w14:textId="77777777" w:rsidR="006444D9" w:rsidRPr="006444D9" w:rsidRDefault="006444D9" w:rsidP="006444D9">
      <w:pPr>
        <w:spacing w:line="360" w:lineRule="auto"/>
        <w:ind w:left="0" w:hanging="2"/>
        <w:rPr>
          <w:lang w:val="pt-BR"/>
        </w:rPr>
      </w:pPr>
      <w:r w:rsidRPr="006444D9">
        <w:rPr>
          <w:lang w:val="pt-BR"/>
        </w:rPr>
        <w:t>3) Determinar relações de pluviometria e temperatura com a distribuição da comunidade bentônica EPTD pelo Rio Lontra;</w:t>
      </w:r>
    </w:p>
    <w:p w14:paraId="63A3343E" w14:textId="66E94682" w:rsidR="00B27525" w:rsidRDefault="006444D9" w:rsidP="00AE217C">
      <w:pPr>
        <w:spacing w:line="360" w:lineRule="auto"/>
        <w:ind w:left="0" w:hanging="2"/>
        <w:rPr>
          <w:lang w:val="pt-BR"/>
        </w:rPr>
      </w:pPr>
      <w:r w:rsidRPr="006444D9">
        <w:rPr>
          <w:lang w:val="pt-BR"/>
        </w:rPr>
        <w:t xml:space="preserve">4) Categorizar áreas do rio de acordo com o nível de impacto </w:t>
      </w:r>
      <w:r>
        <w:rPr>
          <w:lang w:val="pt-BR"/>
        </w:rPr>
        <w:t>ambiental</w:t>
      </w:r>
      <w:r w:rsidRPr="006444D9">
        <w:rPr>
          <w:lang w:val="pt-BR"/>
        </w:rPr>
        <w:t>.</w:t>
      </w:r>
      <w:bookmarkStart w:id="2" w:name="_heading=h.3dy6vkm" w:colFirst="0" w:colLast="0"/>
      <w:bookmarkEnd w:id="2"/>
    </w:p>
    <w:p w14:paraId="225B72DC" w14:textId="77777777" w:rsidR="00FF7D17" w:rsidRPr="006444D9" w:rsidRDefault="00FF7D17" w:rsidP="00AE217C">
      <w:pPr>
        <w:spacing w:line="360" w:lineRule="auto"/>
        <w:ind w:left="0" w:hanging="2"/>
        <w:rPr>
          <w:lang w:val="pt-BR"/>
        </w:rPr>
      </w:pPr>
    </w:p>
    <w:p w14:paraId="07181A33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t>Metodologia</w:t>
      </w:r>
      <w:proofErr w:type="spellEnd"/>
    </w:p>
    <w:p w14:paraId="77EE9595" w14:textId="77777777" w:rsidR="007A00AF" w:rsidRPr="007A00AF" w:rsidRDefault="007A00AF" w:rsidP="007A00AF">
      <w:pPr>
        <w:spacing w:line="360" w:lineRule="auto"/>
        <w:ind w:left="0" w:hanging="2"/>
        <w:rPr>
          <w:b/>
          <w:bCs/>
          <w:lang w:val="pt-BR"/>
        </w:rPr>
      </w:pPr>
      <w:r w:rsidRPr="007A00AF">
        <w:rPr>
          <w:b/>
          <w:bCs/>
          <w:lang w:val="pt-BR"/>
        </w:rPr>
        <w:t>a) Descrição da área de estudo</w:t>
      </w:r>
    </w:p>
    <w:p w14:paraId="39B938DF" w14:textId="02BA3157" w:rsidR="00B27525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>O presente estudo está sendo realizado no Rio Lontra, localizado no município de Araguaína, Tocantins. O Rio Lontra está inserido na área de drenagem do Rio Araguaia e na maior parte da zona urbana do município de Araguaína é represado pela Pequena Central Hidrelétrica do Corujão, dando origem ao lago Azul.</w:t>
      </w:r>
      <w:bookmarkStart w:id="3" w:name="_heading=h.1t3h5sf" w:colFirst="0" w:colLast="0"/>
      <w:bookmarkEnd w:id="3"/>
      <w:r w:rsidR="00B32BC6">
        <w:rPr>
          <w:lang w:val="pt-BR"/>
        </w:rPr>
        <w:t xml:space="preserve"> </w:t>
      </w:r>
      <w:r w:rsidR="00174646">
        <w:rPr>
          <w:lang w:val="pt-BR"/>
        </w:rPr>
        <w:t>Os</w:t>
      </w:r>
      <w:r w:rsidRPr="007A00AF">
        <w:rPr>
          <w:lang w:val="pt-BR"/>
        </w:rPr>
        <w:t xml:space="preserve"> pontos de amostragem deste trabalho com suas respectivas coordenadas geográficas </w:t>
      </w:r>
      <w:r w:rsidR="00174646">
        <w:rPr>
          <w:lang w:val="pt-BR"/>
        </w:rPr>
        <w:t xml:space="preserve">são: </w:t>
      </w:r>
      <w:r w:rsidR="00174646" w:rsidRPr="00174646">
        <w:rPr>
          <w:lang w:val="pt-BR"/>
        </w:rPr>
        <w:t>P1: Bairro Céu Azul</w:t>
      </w:r>
      <w:r w:rsidR="00174646">
        <w:rPr>
          <w:lang w:val="pt-BR"/>
        </w:rPr>
        <w:t xml:space="preserve"> (</w:t>
      </w:r>
      <w:r w:rsidR="00904EE0" w:rsidRPr="00904EE0">
        <w:rPr>
          <w:rFonts w:eastAsia="Calibri"/>
          <w:kern w:val="2"/>
          <w:lang w:val="pt-BR" w:eastAsia="en-US"/>
        </w:rPr>
        <w:t>7°13’33’’S; 48°11’12’’O</w:t>
      </w:r>
      <w:r w:rsidR="00174646">
        <w:rPr>
          <w:lang w:val="pt-BR"/>
        </w:rPr>
        <w:t xml:space="preserve">); </w:t>
      </w:r>
      <w:r w:rsidR="00174646" w:rsidRPr="00174646">
        <w:rPr>
          <w:lang w:val="pt-BR"/>
        </w:rPr>
        <w:t xml:space="preserve">P2: Clube Náutico (montante do Córrego </w:t>
      </w:r>
      <w:proofErr w:type="spellStart"/>
      <w:r w:rsidR="00174646" w:rsidRPr="00174646">
        <w:rPr>
          <w:lang w:val="pt-BR"/>
        </w:rPr>
        <w:t>Tiúba</w:t>
      </w:r>
      <w:proofErr w:type="spellEnd"/>
      <w:r w:rsidR="00174646" w:rsidRPr="00174646">
        <w:rPr>
          <w:lang w:val="pt-BR"/>
        </w:rPr>
        <w:t>)</w:t>
      </w:r>
      <w:r w:rsidR="00174646">
        <w:rPr>
          <w:lang w:val="pt-BR"/>
        </w:rPr>
        <w:t>(</w:t>
      </w:r>
      <w:r w:rsidR="00904EE0" w:rsidRPr="00904EE0">
        <w:rPr>
          <w:rFonts w:eastAsia="Calibri"/>
          <w:kern w:val="2"/>
          <w:lang w:val="pt-BR" w:eastAsia="en-US"/>
        </w:rPr>
        <w:t xml:space="preserve"> </w:t>
      </w:r>
      <w:r w:rsidR="00904EE0" w:rsidRPr="00904EE0">
        <w:rPr>
          <w:rFonts w:eastAsia="Calibri"/>
          <w:kern w:val="2"/>
          <w:lang w:val="pt-BR" w:eastAsia="en-US"/>
        </w:rPr>
        <w:t>7°13’17’’S; 48°11’57’’O</w:t>
      </w:r>
      <w:r w:rsidR="00174646">
        <w:rPr>
          <w:lang w:val="pt-BR"/>
        </w:rPr>
        <w:t xml:space="preserve">); </w:t>
      </w:r>
      <w:r w:rsidR="00174646" w:rsidRPr="007A00AF">
        <w:rPr>
          <w:rFonts w:eastAsia="Calibri"/>
          <w:kern w:val="2"/>
          <w:lang w:val="pt-BR" w:eastAsia="en-US"/>
        </w:rPr>
        <w:t xml:space="preserve">P3: Av. do Comércio (jusante do Córrego </w:t>
      </w:r>
      <w:proofErr w:type="spellStart"/>
      <w:r w:rsidR="00174646" w:rsidRPr="007A00AF">
        <w:rPr>
          <w:rFonts w:eastAsia="Calibri"/>
          <w:kern w:val="2"/>
          <w:lang w:val="pt-BR" w:eastAsia="en-US"/>
        </w:rPr>
        <w:t>Tiúba</w:t>
      </w:r>
      <w:proofErr w:type="spellEnd"/>
      <w:r w:rsidR="00174646" w:rsidRPr="007A00AF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 xml:space="preserve"> </w:t>
      </w:r>
      <w:r w:rsidR="00904EE0" w:rsidRPr="00904EE0">
        <w:rPr>
          <w:rFonts w:eastAsia="Calibri"/>
          <w:kern w:val="2"/>
          <w:lang w:val="pt-BR" w:eastAsia="en-US"/>
        </w:rPr>
        <w:t>7°13’09’’S; 48°12’13’’O</w:t>
      </w:r>
      <w:r w:rsidR="00174646">
        <w:rPr>
          <w:rFonts w:eastAsia="Calibri"/>
          <w:kern w:val="2"/>
          <w:lang w:val="pt-BR" w:eastAsia="en-US"/>
        </w:rPr>
        <w:t xml:space="preserve">); </w:t>
      </w:r>
      <w:r w:rsidR="00174646" w:rsidRPr="00174646">
        <w:rPr>
          <w:rFonts w:eastAsia="Calibri"/>
          <w:kern w:val="2"/>
          <w:lang w:val="pt-BR" w:eastAsia="en-US"/>
        </w:rPr>
        <w:t>P4: Praia do Lago Azul</w:t>
      </w:r>
      <w:r w:rsidR="00174646">
        <w:rPr>
          <w:rFonts w:eastAsia="Calibri"/>
          <w:kern w:val="2"/>
          <w:lang w:val="pt-BR" w:eastAsia="en-US"/>
        </w:rPr>
        <w:t xml:space="preserve"> </w:t>
      </w:r>
      <w:r w:rsidR="00174646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7°12’47’’S; 48°13’10’’O</w:t>
      </w:r>
      <w:r w:rsidR="00174646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 xml:space="preserve">; </w:t>
      </w:r>
      <w:r w:rsidR="00174646" w:rsidRPr="00174646">
        <w:rPr>
          <w:rFonts w:eastAsia="Calibri"/>
          <w:kern w:val="2"/>
          <w:lang w:val="pt-BR" w:eastAsia="en-US"/>
        </w:rPr>
        <w:t>P5: Orla da Via Lago (Pedalinhos)</w:t>
      </w:r>
      <w:r w:rsidR="00174646">
        <w:rPr>
          <w:rFonts w:eastAsia="Calibri"/>
          <w:kern w:val="2"/>
          <w:lang w:val="pt-BR" w:eastAsia="en-US"/>
        </w:rPr>
        <w:t xml:space="preserve"> </w:t>
      </w:r>
      <w:r w:rsidR="00174646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7°12’33’’S; 48°13’06’’O</w:t>
      </w:r>
      <w:r w:rsidR="00174646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 xml:space="preserve">; </w:t>
      </w:r>
      <w:r w:rsidR="00174646" w:rsidRPr="00174646">
        <w:rPr>
          <w:rFonts w:eastAsia="Calibri"/>
          <w:kern w:val="2"/>
          <w:lang w:val="pt-BR" w:eastAsia="en-US"/>
        </w:rPr>
        <w:t>P6: Jusante do Córrego Neblina</w:t>
      </w:r>
      <w:r w:rsidR="00904EE0">
        <w:rPr>
          <w:rFonts w:eastAsia="Calibri"/>
          <w:kern w:val="2"/>
          <w:lang w:val="pt-BR" w:eastAsia="en-US"/>
        </w:rPr>
        <w:t xml:space="preserve"> </w:t>
      </w:r>
      <w:r w:rsidR="00904EE0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7°12’32’’S; 48°13’36’’O</w:t>
      </w:r>
      <w:r w:rsidR="00904EE0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 xml:space="preserve">; </w:t>
      </w:r>
      <w:r w:rsidR="00174646" w:rsidRPr="00174646">
        <w:rPr>
          <w:rFonts w:eastAsia="Calibri"/>
          <w:kern w:val="2"/>
          <w:lang w:val="pt-BR" w:eastAsia="en-US"/>
        </w:rPr>
        <w:t>P7: Montante de efluente da empresa BRK Ambiental</w:t>
      </w:r>
      <w:r w:rsidR="00904EE0">
        <w:rPr>
          <w:rFonts w:eastAsia="Calibri"/>
          <w:kern w:val="2"/>
          <w:lang w:val="pt-BR" w:eastAsia="en-US"/>
        </w:rPr>
        <w:t xml:space="preserve"> </w:t>
      </w:r>
      <w:r w:rsidR="00904EE0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7°12’46’’S; 48°14’13’’O</w:t>
      </w:r>
      <w:r w:rsidR="00904EE0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 xml:space="preserve">; </w:t>
      </w:r>
      <w:r w:rsidR="00174646" w:rsidRPr="00174646">
        <w:rPr>
          <w:rFonts w:eastAsia="Calibri"/>
          <w:kern w:val="2"/>
          <w:lang w:val="pt-BR" w:eastAsia="en-US"/>
        </w:rPr>
        <w:t>P8: Bairro Juscelino Kubitschek</w:t>
      </w:r>
      <w:r w:rsidR="00904EE0">
        <w:rPr>
          <w:rFonts w:eastAsia="Calibri"/>
          <w:kern w:val="2"/>
          <w:lang w:val="pt-BR" w:eastAsia="en-US"/>
        </w:rPr>
        <w:t xml:space="preserve"> </w:t>
      </w:r>
      <w:r w:rsidR="00904EE0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7°12’28’’S; 48°14’40’’O</w:t>
      </w:r>
      <w:r w:rsidR="00904EE0">
        <w:rPr>
          <w:rFonts w:eastAsia="Calibri"/>
          <w:kern w:val="2"/>
          <w:lang w:val="pt-BR" w:eastAsia="en-US"/>
        </w:rPr>
        <w:t>)</w:t>
      </w:r>
      <w:r w:rsidR="00174646">
        <w:rPr>
          <w:rFonts w:eastAsia="Calibri"/>
          <w:kern w:val="2"/>
          <w:lang w:val="pt-BR" w:eastAsia="en-US"/>
        </w:rPr>
        <w:t xml:space="preserve">; </w:t>
      </w:r>
      <w:r w:rsidR="00174646" w:rsidRPr="00174646">
        <w:rPr>
          <w:rFonts w:eastAsia="Calibri"/>
          <w:kern w:val="2"/>
          <w:lang w:val="pt-BR" w:eastAsia="en-US"/>
        </w:rPr>
        <w:t>P9: Bairro Barra da Grota</w:t>
      </w:r>
      <w:r w:rsidR="00904EE0">
        <w:rPr>
          <w:rFonts w:eastAsia="Calibri"/>
          <w:kern w:val="2"/>
          <w:lang w:val="pt-BR" w:eastAsia="en-US"/>
        </w:rPr>
        <w:t xml:space="preserve"> </w:t>
      </w:r>
      <w:r w:rsidR="00904EE0">
        <w:rPr>
          <w:rFonts w:eastAsia="Calibri"/>
          <w:kern w:val="2"/>
          <w:lang w:val="pt-BR" w:eastAsia="en-US"/>
        </w:rPr>
        <w:t>(</w:t>
      </w:r>
      <w:r w:rsidR="00904EE0" w:rsidRPr="00904EE0">
        <w:rPr>
          <w:rFonts w:eastAsia="Calibri"/>
          <w:kern w:val="2"/>
          <w:lang w:val="pt-BR" w:eastAsia="en-US"/>
        </w:rPr>
        <w:t>7°12’26’’S; 48°17’46’’O</w:t>
      </w:r>
      <w:r w:rsidR="00904EE0">
        <w:rPr>
          <w:rFonts w:eastAsia="Calibri"/>
          <w:kern w:val="2"/>
          <w:lang w:val="pt-BR" w:eastAsia="en-US"/>
        </w:rPr>
        <w:t>)</w:t>
      </w:r>
      <w:r w:rsidR="00904EE0">
        <w:rPr>
          <w:rFonts w:eastAsia="Calibri"/>
          <w:kern w:val="2"/>
          <w:lang w:val="pt-BR" w:eastAsia="en-US"/>
        </w:rPr>
        <w:t>.</w:t>
      </w:r>
    </w:p>
    <w:p w14:paraId="62B52F2C" w14:textId="01076E91" w:rsidR="007A00AF" w:rsidRPr="007A00AF" w:rsidRDefault="007A00AF" w:rsidP="007A00AF">
      <w:pPr>
        <w:spacing w:line="360" w:lineRule="auto"/>
        <w:ind w:leftChars="0" w:left="0" w:firstLineChars="0" w:firstLine="0"/>
        <w:rPr>
          <w:b/>
          <w:bCs/>
          <w:lang w:val="pt-BR"/>
        </w:rPr>
      </w:pPr>
      <w:r w:rsidRPr="007A00AF">
        <w:rPr>
          <w:b/>
          <w:bCs/>
          <w:lang w:val="pt-BR"/>
        </w:rPr>
        <w:t>b) Coleta de dados</w:t>
      </w:r>
    </w:p>
    <w:p w14:paraId="320895CC" w14:textId="77777777" w:rsidR="007A00AF" w:rsidRPr="007A00AF" w:rsidRDefault="007A00AF" w:rsidP="00B32BC6">
      <w:pPr>
        <w:spacing w:line="360" w:lineRule="auto"/>
        <w:ind w:leftChars="0" w:firstLineChars="0" w:firstLine="721"/>
        <w:rPr>
          <w:lang w:val="pt-BR"/>
        </w:rPr>
      </w:pPr>
      <w:r w:rsidRPr="007A00AF">
        <w:rPr>
          <w:lang w:val="pt-BR"/>
        </w:rPr>
        <w:t xml:space="preserve">As coletas de </w:t>
      </w:r>
      <w:proofErr w:type="spellStart"/>
      <w:r w:rsidRPr="007A00AF">
        <w:rPr>
          <w:lang w:val="pt-BR"/>
        </w:rPr>
        <w:t>macroinvertebrados</w:t>
      </w:r>
      <w:proofErr w:type="spellEnd"/>
      <w:r w:rsidRPr="007A00AF">
        <w:rPr>
          <w:lang w:val="pt-BR"/>
        </w:rPr>
        <w:t xml:space="preserve"> bentônicos foram realizadas bimestralmente em 9 pontos da região urbana de Araguaína, com auxílio de redes manuais com abertura de malha de 1 mm, conhecida como rede tipo D, com arrasto de 1 metro no substrato do rio para cada subamostra. As coletas foram realizadas entre os meses de abril de 2022 e agosto de 2023. Ao todo foram realizadas 7 coletas. </w:t>
      </w:r>
    </w:p>
    <w:p w14:paraId="0E677C65" w14:textId="77777777" w:rsidR="007A00AF" w:rsidRPr="007A00AF" w:rsidRDefault="007A00AF" w:rsidP="00B32BC6">
      <w:pPr>
        <w:spacing w:line="360" w:lineRule="auto"/>
        <w:ind w:leftChars="0" w:firstLineChars="0" w:firstLine="721"/>
        <w:rPr>
          <w:lang w:val="pt-BR"/>
        </w:rPr>
      </w:pPr>
      <w:r w:rsidRPr="007A00AF">
        <w:rPr>
          <w:lang w:val="pt-BR"/>
        </w:rPr>
        <w:t xml:space="preserve">As variáveis ambientais consideradas neste estudo foram a temperatura da água e a pluviometria. Os dados de temperatura da água foram registrados no momento da coleta, </w:t>
      </w:r>
      <w:r w:rsidRPr="007A00AF">
        <w:rPr>
          <w:lang w:val="pt-BR"/>
        </w:rPr>
        <w:lastRenderedPageBreak/>
        <w:t>enquanto os dados de pluviometria foram obtidos a partir de registros climáticos de estações meteorológicas locais, utilizando dados do Instituto Nacional de Meteorologia (INMET).</w:t>
      </w:r>
    </w:p>
    <w:p w14:paraId="6744E657" w14:textId="331BD488" w:rsid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>Os organismos encontrados foram capturados com pinça entomológica, fixados imediatamente em solução de álcool 90%, desprezando posteriormente o substrato após a identificação. As coletas foram padronizadas quanto ao tempo, utilizando um tempo fixo de 15 minutos para cada subamostra, coletando, assim, 3 subamostras em cada ponto estudado, recolhendo amostras de todos os tipos de substratos presentes.</w:t>
      </w:r>
    </w:p>
    <w:p w14:paraId="3BB89789" w14:textId="72C8985A" w:rsidR="007A00AF" w:rsidRDefault="007A00AF" w:rsidP="007A00AF">
      <w:pPr>
        <w:spacing w:line="360" w:lineRule="auto"/>
        <w:ind w:leftChars="0" w:left="0" w:firstLineChars="0" w:firstLine="0"/>
        <w:rPr>
          <w:b/>
          <w:bCs/>
          <w:lang w:val="pt-BR"/>
        </w:rPr>
      </w:pPr>
      <w:r w:rsidRPr="007A00AF">
        <w:rPr>
          <w:b/>
          <w:bCs/>
          <w:lang w:val="pt-BR"/>
        </w:rPr>
        <w:t>c) Análise de dados</w:t>
      </w:r>
    </w:p>
    <w:p w14:paraId="47DC8834" w14:textId="727E18C0" w:rsidR="007A00AF" w:rsidRPr="007A00AF" w:rsidRDefault="007A00AF" w:rsidP="00B32BC6">
      <w:pPr>
        <w:spacing w:line="360" w:lineRule="auto"/>
        <w:ind w:leftChars="0" w:firstLineChars="0" w:firstLine="721"/>
        <w:rPr>
          <w:lang w:val="pt-BR"/>
        </w:rPr>
      </w:pPr>
      <w:r w:rsidRPr="007A00AF">
        <w:rPr>
          <w:lang w:val="pt-BR"/>
        </w:rPr>
        <w:t xml:space="preserve">A identificação foi feita no Laboratório de Coleções Biológicas e Paleontológicas da Universidade Federal do Norte do Tocantins (UFNT), campus de Araguaína, com o auxílio </w:t>
      </w:r>
      <w:proofErr w:type="spellStart"/>
      <w:r w:rsidRPr="007A00AF">
        <w:rPr>
          <w:lang w:val="pt-BR"/>
        </w:rPr>
        <w:t>estereomicroscópio</w:t>
      </w:r>
      <w:proofErr w:type="spellEnd"/>
      <w:r w:rsidRPr="007A00AF">
        <w:rPr>
          <w:lang w:val="pt-BR"/>
        </w:rPr>
        <w:t xml:space="preserve"> de aumento de 40 vezes e com o uso d</w:t>
      </w:r>
      <w:r w:rsidR="002117C7">
        <w:rPr>
          <w:lang w:val="pt-BR"/>
        </w:rPr>
        <w:t>e</w:t>
      </w:r>
      <w:r w:rsidRPr="007A00AF">
        <w:rPr>
          <w:lang w:val="pt-BR"/>
        </w:rPr>
        <w:t xml:space="preserve"> chave taxonômica</w:t>
      </w:r>
      <w:r w:rsidR="00B32BC6">
        <w:rPr>
          <w:lang w:val="pt-BR"/>
        </w:rPr>
        <w:t>, como</w:t>
      </w:r>
      <w:r w:rsidRPr="007A00AF">
        <w:rPr>
          <w:lang w:val="pt-BR"/>
        </w:rPr>
        <w:t xml:space="preserve"> </w:t>
      </w:r>
      <w:proofErr w:type="spellStart"/>
      <w:r w:rsidRPr="007A00AF">
        <w:rPr>
          <w:lang w:val="pt-BR"/>
        </w:rPr>
        <w:t>Hamada</w:t>
      </w:r>
      <w:proofErr w:type="spellEnd"/>
      <w:r w:rsidRPr="007A00AF">
        <w:rPr>
          <w:lang w:val="pt-BR"/>
        </w:rPr>
        <w:t xml:space="preserve"> et al. (2019).</w:t>
      </w:r>
    </w:p>
    <w:p w14:paraId="01EACD83" w14:textId="72621412" w:rsid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>A integridade ambiental foi determinada através dos valores do Índice de Integridade Física do ambiente (IIF) (</w:t>
      </w:r>
      <w:proofErr w:type="spellStart"/>
      <w:r w:rsidRPr="007A00AF">
        <w:rPr>
          <w:lang w:val="pt-BR"/>
        </w:rPr>
        <w:t>Nessimian</w:t>
      </w:r>
      <w:proofErr w:type="spellEnd"/>
      <w:r w:rsidRPr="007A00AF">
        <w:rPr>
          <w:lang w:val="pt-BR"/>
        </w:rPr>
        <w:t xml:space="preserve"> et al., 2008). O IIF é um protocolo constituído por itens que descrevem as condições ambientais de rios e córregos, avaliando características como: o padrão de uso da terra; largura e estado de preservação da mata ripária; tipo de sedimento e dispositivos de retenção no canal; estrutura do leito do rio com a presença de corredeiras, meandros ou barrancos e presença de vegetação aquática.</w:t>
      </w:r>
    </w:p>
    <w:p w14:paraId="69229C5A" w14:textId="3828D45F" w:rsid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 xml:space="preserve">Os dados de riqueza e abundância de EPT e </w:t>
      </w:r>
      <w:proofErr w:type="spellStart"/>
      <w:r w:rsidRPr="007A00AF">
        <w:rPr>
          <w:lang w:val="pt-BR"/>
        </w:rPr>
        <w:t>Diptera</w:t>
      </w:r>
      <w:proofErr w:type="spellEnd"/>
      <w:r w:rsidRPr="007A00AF">
        <w:rPr>
          <w:lang w:val="pt-BR"/>
        </w:rPr>
        <w:t xml:space="preserve"> foram analisados utilizando modelos de regressão linear generalizada (GLM). Foram avaliadas as relações entre as variáveis ambientais (temperatura da água e pluviometria) e as respostas dos bioindicadores (riqueza e abundância).</w:t>
      </w:r>
    </w:p>
    <w:p w14:paraId="36614E68" w14:textId="77777777" w:rsidR="007A00AF" w:rsidRPr="007A00AF" w:rsidRDefault="007A00AF" w:rsidP="00B32BC6">
      <w:pPr>
        <w:spacing w:line="360" w:lineRule="auto"/>
        <w:ind w:leftChars="0" w:firstLineChars="0" w:firstLine="721"/>
        <w:rPr>
          <w:lang w:val="pt-BR"/>
        </w:rPr>
      </w:pPr>
      <w:r w:rsidRPr="007A00AF">
        <w:rPr>
          <w:lang w:val="pt-BR"/>
        </w:rPr>
        <w:t xml:space="preserve">Estimativas diretas de diversidade geralmente subestimam a riqueza real de uma comunidade. Contudo, o método </w:t>
      </w:r>
      <w:proofErr w:type="spellStart"/>
      <w:r w:rsidRPr="007A00AF">
        <w:rPr>
          <w:lang w:val="pt-BR"/>
        </w:rPr>
        <w:t>Jackknife</w:t>
      </w:r>
      <w:proofErr w:type="spellEnd"/>
      <w:r w:rsidRPr="007A00AF">
        <w:rPr>
          <w:lang w:val="pt-BR"/>
        </w:rPr>
        <w:t xml:space="preserve"> gera uma estimativa não viciada da riqueza em espécies e sua variância, possibilitando uma análise estatística apropriada para testar hipóteses relacionadas à riqueza (</w:t>
      </w:r>
      <w:proofErr w:type="spellStart"/>
      <w:r w:rsidRPr="007A00AF">
        <w:rPr>
          <w:lang w:val="pt-BR"/>
        </w:rPr>
        <w:t>Colwell</w:t>
      </w:r>
      <w:proofErr w:type="spellEnd"/>
      <w:r w:rsidRPr="007A00AF">
        <w:rPr>
          <w:lang w:val="pt-BR"/>
        </w:rPr>
        <w:t xml:space="preserve"> &amp; </w:t>
      </w:r>
      <w:proofErr w:type="spellStart"/>
      <w:r w:rsidRPr="007A00AF">
        <w:rPr>
          <w:lang w:val="pt-BR"/>
        </w:rPr>
        <w:t>Coddington</w:t>
      </w:r>
      <w:proofErr w:type="spellEnd"/>
      <w:r w:rsidRPr="007A00AF">
        <w:rPr>
          <w:lang w:val="pt-BR"/>
        </w:rPr>
        <w:t xml:space="preserve">, 1994). </w:t>
      </w:r>
    </w:p>
    <w:p w14:paraId="4E09BB6E" w14:textId="1C01395B" w:rsidR="007A00AF" w:rsidRPr="007A00AF" w:rsidRDefault="007A00AF" w:rsidP="00B32BC6">
      <w:pPr>
        <w:spacing w:line="360" w:lineRule="auto"/>
        <w:ind w:leftChars="0" w:firstLineChars="0" w:firstLine="721"/>
        <w:rPr>
          <w:lang w:val="pt-BR"/>
        </w:rPr>
      </w:pPr>
      <w:r w:rsidRPr="007A00AF">
        <w:rPr>
          <w:lang w:val="pt-BR"/>
        </w:rPr>
        <w:t xml:space="preserve">Portanto, foi feita uma estimativa de </w:t>
      </w:r>
      <w:proofErr w:type="spellStart"/>
      <w:r w:rsidRPr="007A00AF">
        <w:rPr>
          <w:lang w:val="pt-BR"/>
        </w:rPr>
        <w:t>Jackknife</w:t>
      </w:r>
      <w:proofErr w:type="spellEnd"/>
      <w:r w:rsidRPr="007A00AF">
        <w:rPr>
          <w:lang w:val="pt-BR"/>
        </w:rPr>
        <w:t xml:space="preserve"> de 1ª ordem para cada ponto utilizando como pseudorréplicas as 3 subamostras para os </w:t>
      </w:r>
      <w:proofErr w:type="spellStart"/>
      <w:r w:rsidRPr="007A00AF">
        <w:rPr>
          <w:lang w:val="pt-BR"/>
        </w:rPr>
        <w:t>macroinvertebrados</w:t>
      </w:r>
      <w:proofErr w:type="spellEnd"/>
      <w:r w:rsidRPr="007A00AF">
        <w:rPr>
          <w:lang w:val="pt-BR"/>
        </w:rPr>
        <w:t xml:space="preserve"> bentônicos. Posteriormente, foram ajustadas regressões múltiplas avaliando se as métricas taxonômicas abundância e riqueza estimadas são explicadas pelas variáveis preditoras temperatura da água, precipitação média e Índice de Integridade Física (IIF). Todo o processo de manipulação dos dados e teste estatístico foi realizado no software livre “R” (R Core Team, 2022), através dos seguintes pacotes “</w:t>
      </w:r>
      <w:proofErr w:type="spellStart"/>
      <w:r w:rsidRPr="007A00AF">
        <w:rPr>
          <w:lang w:val="pt-BR"/>
        </w:rPr>
        <w:t>Vegan</w:t>
      </w:r>
      <w:proofErr w:type="spellEnd"/>
      <w:r w:rsidRPr="007A00AF">
        <w:rPr>
          <w:lang w:val="pt-BR"/>
        </w:rPr>
        <w:t>” (</w:t>
      </w:r>
      <w:proofErr w:type="spellStart"/>
      <w:r w:rsidRPr="007A00AF">
        <w:rPr>
          <w:lang w:val="pt-BR"/>
        </w:rPr>
        <w:t>Oksanen</w:t>
      </w:r>
      <w:proofErr w:type="spellEnd"/>
      <w:r w:rsidRPr="007A00AF">
        <w:rPr>
          <w:lang w:val="pt-BR"/>
        </w:rPr>
        <w:t xml:space="preserve"> et al. 2018) e “Ggplot2” (Wickham, 2016).</w:t>
      </w:r>
    </w:p>
    <w:p w14:paraId="1444B422" w14:textId="1E42D307" w:rsidR="007A00AF" w:rsidRDefault="007A00AF" w:rsidP="00AE217C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 xml:space="preserve">No intuito de averiguar se as amostragens temporais realizadas até o momento foram capazes de amostrar a real diversidade local de cada um dos pontos, ajustamos uma curva do coletor a partir da riqueza </w:t>
      </w:r>
      <w:proofErr w:type="spellStart"/>
      <w:r w:rsidRPr="007A00AF">
        <w:rPr>
          <w:lang w:val="pt-BR"/>
        </w:rPr>
        <w:t>Jackknife</w:t>
      </w:r>
      <w:proofErr w:type="spellEnd"/>
      <w:r w:rsidRPr="007A00AF">
        <w:rPr>
          <w:lang w:val="pt-BR"/>
        </w:rPr>
        <w:t xml:space="preserve"> acumulada, utilizando um intervalo de confiança de 95% em torno da estimativa (Legendre &amp; Legendre, 2012). </w:t>
      </w:r>
    </w:p>
    <w:p w14:paraId="38EE14F1" w14:textId="77777777" w:rsidR="00FF7D17" w:rsidRPr="007A00AF" w:rsidRDefault="00FF7D17" w:rsidP="00AE217C">
      <w:pPr>
        <w:spacing w:line="360" w:lineRule="auto"/>
        <w:ind w:leftChars="0" w:left="0" w:firstLineChars="0" w:firstLine="720"/>
        <w:rPr>
          <w:lang w:val="pt-BR"/>
        </w:rPr>
      </w:pPr>
    </w:p>
    <w:p w14:paraId="11C79DAE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lastRenderedPageBreak/>
        <w:t>Resultados</w:t>
      </w:r>
      <w:proofErr w:type="spellEnd"/>
    </w:p>
    <w:p w14:paraId="40294D28" w14:textId="5AC2D654" w:rsidR="007A00AF" w:rsidRP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 xml:space="preserve">Os organismos coletados durante esta pesquisa foram identificados, catalogados e adicionados à coleção de invertebrados do Laboratório de Coleções Biológicas e Paleontológicas, no campus de Araguaína da Universidade Federal do Norte do Tocantins (UFNT). </w:t>
      </w:r>
      <w:r w:rsidR="00B32BC6">
        <w:rPr>
          <w:lang w:val="pt-BR"/>
        </w:rPr>
        <w:t>A</w:t>
      </w:r>
      <w:r w:rsidRPr="007A00AF">
        <w:rPr>
          <w:lang w:val="pt-BR"/>
        </w:rPr>
        <w:t xml:space="preserve"> coleta resultou em um total de 11.881 espécimes. A maioria desses espécimes pertence à classe Insecta e está distribuída em 12 ordens.</w:t>
      </w:r>
    </w:p>
    <w:p w14:paraId="044721EF" w14:textId="5CEEA0C5" w:rsid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 xml:space="preserve">Dentre os espécimes coletados, 3.505 foram classificados na ordem </w:t>
      </w:r>
      <w:proofErr w:type="spellStart"/>
      <w:r w:rsidRPr="007A00AF">
        <w:rPr>
          <w:lang w:val="pt-BR"/>
        </w:rPr>
        <w:t>Diptera</w:t>
      </w:r>
      <w:proofErr w:type="spellEnd"/>
      <w:r w:rsidRPr="007A00AF">
        <w:rPr>
          <w:lang w:val="pt-BR"/>
        </w:rPr>
        <w:t xml:space="preserve">, com uma predominância notável de representantes da família </w:t>
      </w:r>
      <w:proofErr w:type="spellStart"/>
      <w:r w:rsidRPr="007A00AF">
        <w:rPr>
          <w:lang w:val="pt-BR"/>
        </w:rPr>
        <w:t>Chironomidae</w:t>
      </w:r>
      <w:proofErr w:type="spellEnd"/>
      <w:r w:rsidRPr="007A00AF">
        <w:rPr>
          <w:lang w:val="pt-BR"/>
        </w:rPr>
        <w:t xml:space="preserve">, além de espécimes das famílias </w:t>
      </w:r>
      <w:proofErr w:type="spellStart"/>
      <w:r w:rsidRPr="007A00AF">
        <w:rPr>
          <w:lang w:val="pt-BR"/>
        </w:rPr>
        <w:t>Ceratopogonidae</w:t>
      </w:r>
      <w:proofErr w:type="spellEnd"/>
      <w:r w:rsidRPr="007A00AF">
        <w:rPr>
          <w:lang w:val="pt-BR"/>
        </w:rPr>
        <w:t xml:space="preserve">, </w:t>
      </w:r>
      <w:proofErr w:type="spellStart"/>
      <w:r w:rsidRPr="007A00AF">
        <w:rPr>
          <w:lang w:val="pt-BR"/>
        </w:rPr>
        <w:t>Culicidae</w:t>
      </w:r>
      <w:proofErr w:type="spellEnd"/>
      <w:r w:rsidRPr="007A00AF">
        <w:rPr>
          <w:lang w:val="pt-BR"/>
        </w:rPr>
        <w:t xml:space="preserve">, </w:t>
      </w:r>
      <w:proofErr w:type="spellStart"/>
      <w:r w:rsidRPr="007A00AF">
        <w:rPr>
          <w:lang w:val="pt-BR"/>
        </w:rPr>
        <w:t>Dolichopodidae</w:t>
      </w:r>
      <w:proofErr w:type="spellEnd"/>
      <w:r w:rsidRPr="007A00AF">
        <w:rPr>
          <w:lang w:val="pt-BR"/>
        </w:rPr>
        <w:t xml:space="preserve"> e </w:t>
      </w:r>
      <w:proofErr w:type="spellStart"/>
      <w:r w:rsidRPr="007A00AF">
        <w:rPr>
          <w:lang w:val="pt-BR"/>
        </w:rPr>
        <w:t>Psychodidae</w:t>
      </w:r>
      <w:proofErr w:type="spellEnd"/>
      <w:r w:rsidRPr="007A00AF">
        <w:rPr>
          <w:lang w:val="pt-BR"/>
        </w:rPr>
        <w:t xml:space="preserve">. Da ordem </w:t>
      </w:r>
      <w:proofErr w:type="spellStart"/>
      <w:r w:rsidRPr="007A00AF">
        <w:rPr>
          <w:lang w:val="pt-BR"/>
        </w:rPr>
        <w:t>Ephemeroptera</w:t>
      </w:r>
      <w:proofErr w:type="spellEnd"/>
      <w:r w:rsidRPr="007A00AF">
        <w:rPr>
          <w:lang w:val="pt-BR"/>
        </w:rPr>
        <w:t xml:space="preserve">, foram coletados 567 espécimes, abrangendo as famílias </w:t>
      </w:r>
      <w:proofErr w:type="spellStart"/>
      <w:r w:rsidRPr="007A00AF">
        <w:rPr>
          <w:lang w:val="pt-BR"/>
        </w:rPr>
        <w:t>Baetidae</w:t>
      </w:r>
      <w:proofErr w:type="spellEnd"/>
      <w:r w:rsidRPr="007A00AF">
        <w:rPr>
          <w:lang w:val="pt-BR"/>
        </w:rPr>
        <w:t xml:space="preserve">, </w:t>
      </w:r>
      <w:proofErr w:type="spellStart"/>
      <w:r w:rsidRPr="007A00AF">
        <w:rPr>
          <w:lang w:val="pt-BR"/>
        </w:rPr>
        <w:t>Caenidae</w:t>
      </w:r>
      <w:proofErr w:type="spellEnd"/>
      <w:r w:rsidRPr="007A00AF">
        <w:rPr>
          <w:lang w:val="pt-BR"/>
        </w:rPr>
        <w:t xml:space="preserve">, </w:t>
      </w:r>
      <w:proofErr w:type="spellStart"/>
      <w:r w:rsidRPr="007A00AF">
        <w:rPr>
          <w:lang w:val="pt-BR"/>
        </w:rPr>
        <w:t>Leptohyphidae</w:t>
      </w:r>
      <w:proofErr w:type="spellEnd"/>
      <w:r w:rsidRPr="007A00AF">
        <w:rPr>
          <w:lang w:val="pt-BR"/>
        </w:rPr>
        <w:t xml:space="preserve"> e </w:t>
      </w:r>
      <w:proofErr w:type="spellStart"/>
      <w:r w:rsidRPr="007A00AF">
        <w:rPr>
          <w:lang w:val="pt-BR"/>
        </w:rPr>
        <w:t>Leptophlebiidae</w:t>
      </w:r>
      <w:proofErr w:type="spellEnd"/>
      <w:r w:rsidRPr="007A00AF">
        <w:rPr>
          <w:lang w:val="pt-BR"/>
        </w:rPr>
        <w:t xml:space="preserve">. Quanto à ordem </w:t>
      </w:r>
      <w:proofErr w:type="spellStart"/>
      <w:r w:rsidRPr="007A00AF">
        <w:rPr>
          <w:lang w:val="pt-BR"/>
        </w:rPr>
        <w:t>Trichoptera</w:t>
      </w:r>
      <w:proofErr w:type="spellEnd"/>
      <w:r w:rsidRPr="007A00AF">
        <w:rPr>
          <w:lang w:val="pt-BR"/>
        </w:rPr>
        <w:t xml:space="preserve">, identificaram-se 149 espécimes, distribuídos nas famílias </w:t>
      </w:r>
      <w:proofErr w:type="spellStart"/>
      <w:r w:rsidRPr="007A00AF">
        <w:rPr>
          <w:lang w:val="pt-BR"/>
        </w:rPr>
        <w:t>Hydropsychidae</w:t>
      </w:r>
      <w:proofErr w:type="spellEnd"/>
      <w:r w:rsidRPr="007A00AF">
        <w:rPr>
          <w:lang w:val="pt-BR"/>
        </w:rPr>
        <w:t xml:space="preserve">, </w:t>
      </w:r>
      <w:proofErr w:type="spellStart"/>
      <w:r w:rsidRPr="007A00AF">
        <w:rPr>
          <w:lang w:val="pt-BR"/>
        </w:rPr>
        <w:t>Hydroptilidae</w:t>
      </w:r>
      <w:proofErr w:type="spellEnd"/>
      <w:r w:rsidRPr="007A00AF">
        <w:rPr>
          <w:lang w:val="pt-BR"/>
        </w:rPr>
        <w:t xml:space="preserve"> e </w:t>
      </w:r>
      <w:proofErr w:type="spellStart"/>
      <w:r w:rsidRPr="007A00AF">
        <w:rPr>
          <w:lang w:val="pt-BR"/>
        </w:rPr>
        <w:t>Polycentropodidae</w:t>
      </w:r>
      <w:proofErr w:type="spellEnd"/>
      <w:r w:rsidRPr="007A00AF">
        <w:rPr>
          <w:lang w:val="pt-BR"/>
        </w:rPr>
        <w:t xml:space="preserve">. </w:t>
      </w:r>
      <w:r w:rsidR="00B32BC6">
        <w:rPr>
          <w:lang w:val="pt-BR"/>
        </w:rPr>
        <w:t>A</w:t>
      </w:r>
      <w:r w:rsidRPr="007A00AF">
        <w:rPr>
          <w:lang w:val="pt-BR"/>
        </w:rPr>
        <w:t xml:space="preserve">penas um espécime da ordem </w:t>
      </w:r>
      <w:proofErr w:type="spellStart"/>
      <w:r w:rsidRPr="007A00AF">
        <w:rPr>
          <w:lang w:val="pt-BR"/>
        </w:rPr>
        <w:t>Plecoptera</w:t>
      </w:r>
      <w:proofErr w:type="spellEnd"/>
      <w:r w:rsidRPr="007A00AF">
        <w:rPr>
          <w:lang w:val="pt-BR"/>
        </w:rPr>
        <w:t xml:space="preserve"> foi coletado, </w:t>
      </w:r>
      <w:r w:rsidR="00B32BC6">
        <w:rPr>
          <w:lang w:val="pt-BR"/>
        </w:rPr>
        <w:t>o que</w:t>
      </w:r>
      <w:r w:rsidRPr="007A00AF">
        <w:rPr>
          <w:lang w:val="pt-BR"/>
        </w:rPr>
        <w:t xml:space="preserve"> se deve às características do rio, que não possui substrato pedregoso na área de estudo.</w:t>
      </w:r>
    </w:p>
    <w:p w14:paraId="3B120C71" w14:textId="52AF4C76" w:rsidR="007A00AF" w:rsidRDefault="007A00AF" w:rsidP="00B32BC6">
      <w:pPr>
        <w:spacing w:line="360" w:lineRule="auto"/>
        <w:ind w:leftChars="0" w:left="0" w:firstLineChars="0" w:firstLine="720"/>
        <w:rPr>
          <w:lang w:val="pt-BR"/>
        </w:rPr>
      </w:pPr>
      <w:r w:rsidRPr="007A00AF">
        <w:rPr>
          <w:lang w:val="pt-BR"/>
        </w:rPr>
        <w:t xml:space="preserve">Neste estudo, foram realizadas análises de regressão linear generalizada para avaliar a relação entre as variáveis ambientais (temperatura da água e pluviometria) e as respostas da comunidade bentônica total, dos EPT e dos </w:t>
      </w:r>
      <w:proofErr w:type="spellStart"/>
      <w:r w:rsidRPr="007A00AF">
        <w:rPr>
          <w:lang w:val="pt-BR"/>
        </w:rPr>
        <w:t>Diptera</w:t>
      </w:r>
      <w:proofErr w:type="spellEnd"/>
      <w:r w:rsidRPr="007A00AF">
        <w:rPr>
          <w:lang w:val="pt-BR"/>
        </w:rPr>
        <w:t xml:space="preserve"> </w:t>
      </w:r>
      <w:r w:rsidR="00B32BC6">
        <w:rPr>
          <w:lang w:val="pt-BR"/>
        </w:rPr>
        <w:t>d</w:t>
      </w:r>
      <w:r w:rsidRPr="007A00AF">
        <w:rPr>
          <w:lang w:val="pt-BR"/>
        </w:rPr>
        <w:t>o Rio Lontra na porção urbana de Araguaína, Tocantins. Abaixo, são apresentados os resultados obtidos em cada modelo de regressão:</w:t>
      </w:r>
    </w:p>
    <w:p w14:paraId="1923F112" w14:textId="43F0D15F" w:rsidR="0028137E" w:rsidRPr="00FF7D17" w:rsidRDefault="0028137E" w:rsidP="00FF7D17">
      <w:pPr>
        <w:spacing w:after="160" w:line="256" w:lineRule="auto"/>
        <w:ind w:left="0" w:hanging="2"/>
        <w:jc w:val="center"/>
        <w:rPr>
          <w:rFonts w:eastAsia="Calibri"/>
          <w:b/>
          <w:bCs/>
          <w:kern w:val="2"/>
          <w:lang w:val="pt-BR" w:eastAsia="en-US"/>
        </w:rPr>
      </w:pPr>
      <w:r w:rsidRPr="0028137E">
        <w:rPr>
          <w:rFonts w:eastAsia="Calibri"/>
          <w:b/>
          <w:bCs/>
          <w:kern w:val="2"/>
          <w:lang w:val="pt-BR" w:eastAsia="en-US"/>
        </w:rPr>
        <w:t xml:space="preserve">Tabela </w:t>
      </w:r>
      <w:r w:rsidR="00F324F5">
        <w:rPr>
          <w:rFonts w:eastAsia="Calibri"/>
          <w:b/>
          <w:bCs/>
          <w:kern w:val="2"/>
          <w:lang w:val="pt-BR" w:eastAsia="en-US"/>
        </w:rPr>
        <w:t>1</w:t>
      </w:r>
      <w:r w:rsidRPr="0028137E">
        <w:rPr>
          <w:rFonts w:eastAsia="Calibri"/>
          <w:b/>
          <w:bCs/>
          <w:kern w:val="2"/>
          <w:lang w:val="pt-BR" w:eastAsia="en-US"/>
        </w:rPr>
        <w:t xml:space="preserve"> – Dados de regressão linear generalizada de variáveis ambientais da comunidade bentônica, EPT e </w:t>
      </w:r>
      <w:proofErr w:type="spellStart"/>
      <w:r w:rsidRPr="0028137E">
        <w:rPr>
          <w:rFonts w:eastAsia="Calibri"/>
          <w:b/>
          <w:bCs/>
          <w:kern w:val="2"/>
          <w:lang w:val="pt-BR" w:eastAsia="en-US"/>
        </w:rPr>
        <w:t>Diptera</w:t>
      </w:r>
      <w:proofErr w:type="spellEnd"/>
      <w:r w:rsidRPr="0028137E">
        <w:rPr>
          <w:rFonts w:eastAsia="Calibri"/>
          <w:b/>
          <w:bCs/>
          <w:kern w:val="2"/>
          <w:lang w:val="pt-BR" w:eastAsia="en-US"/>
        </w:rPr>
        <w:t xml:space="preserve"> do Rio Lontra na porção urbana de Araguaína – TO</w:t>
      </w:r>
      <w:r>
        <w:rPr>
          <w:rFonts w:eastAsia="Calibri"/>
          <w:b/>
          <w:bCs/>
          <w:kern w:val="2"/>
          <w:lang w:eastAsia="en-US"/>
        </w:rPr>
        <w:fldChar w:fldCharType="begin"/>
      </w:r>
      <w:r w:rsidRPr="0028137E">
        <w:rPr>
          <w:rFonts w:eastAsia="Calibri"/>
          <w:b/>
          <w:bCs/>
          <w:kern w:val="2"/>
          <w:lang w:val="pt-BR" w:eastAsia="en-US"/>
        </w:rPr>
        <w:instrText xml:space="preserve"> LINK Excel.Sheet.12 "C:\\Users\\USER\\Downloads\\modelo tabela regressão.xlsx" "Plan1!L1C1:L25C6" \a \f 5 \h  \* MERGEFORMAT </w:instrText>
      </w:r>
      <w:r>
        <w:rPr>
          <w:rFonts w:eastAsia="Calibri"/>
          <w:b/>
          <w:bCs/>
          <w:kern w:val="2"/>
          <w:lang w:eastAsia="en-US"/>
        </w:rPr>
        <w:fldChar w:fldCharType="separate"/>
      </w:r>
    </w:p>
    <w:tbl>
      <w:tblPr>
        <w:tblW w:w="9964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744"/>
      </w:tblGrid>
      <w:tr w:rsidR="0028137E" w14:paraId="25BA348B" w14:textId="77777777" w:rsidTr="00FF7D17">
        <w:trPr>
          <w:trHeight w:val="315"/>
        </w:trPr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0E7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bookmarkStart w:id="4" w:name="_Hlk145543702"/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Variáveis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respostas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0AC2C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Variáveis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preditoras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FB30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Estimativa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(β)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E2C4E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Erro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padrão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83A0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Valor-z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C69E7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Valor-p</w:t>
            </w:r>
          </w:p>
        </w:tc>
      </w:tr>
      <w:tr w:rsidR="0028137E" w14:paraId="797BD4A0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6EF7" w14:textId="77777777" w:rsidR="0028137E" w:rsidRP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val="pt-BR" w:eastAsia="en-US"/>
              </w:rPr>
            </w:pPr>
            <w:r w:rsidRPr="0028137E">
              <w:rPr>
                <w:rFonts w:eastAsia="Calibri"/>
                <w:b/>
                <w:bCs/>
                <w:kern w:val="2"/>
                <w:lang w:val="pt-BR" w:eastAsia="en-US"/>
              </w:rPr>
              <w:t>Abundância da comunidade bentônica (R²=0,002)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73FBF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Intercepto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95B42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230,529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2D275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34,998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4A1E88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6,587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81E6B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0,0000000346***</w:t>
            </w:r>
          </w:p>
        </w:tc>
      </w:tr>
      <w:tr w:rsidR="0028137E" w14:paraId="52DC368C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F44A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E07F9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BB358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8,714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C41F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37,155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B521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0,235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9CA8C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0,816</w:t>
            </w:r>
          </w:p>
        </w:tc>
      </w:tr>
      <w:tr w:rsidR="0028137E" w14:paraId="7E219789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82F5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B1DD2A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684B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-4,433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D4D3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35,397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4946B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-0,125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B031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0,901</w:t>
            </w:r>
          </w:p>
        </w:tc>
      </w:tr>
      <w:tr w:rsidR="0028137E" w14:paraId="008969EC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657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C6164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52B47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-1,539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E1CBB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37,117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51E65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-0,041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FE0818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0,967</w:t>
            </w:r>
          </w:p>
        </w:tc>
      </w:tr>
      <w:tr w:rsidR="0028137E" w14:paraId="4D4B809D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371C" w14:textId="77777777" w:rsidR="0028137E" w:rsidRP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val="pt-BR" w:eastAsia="en-US"/>
              </w:rPr>
            </w:pPr>
            <w:r w:rsidRPr="0028137E">
              <w:rPr>
                <w:rFonts w:eastAsia="Calibri"/>
                <w:b/>
                <w:bCs/>
                <w:kern w:val="2"/>
                <w:lang w:val="pt-BR" w:eastAsia="en-US"/>
              </w:rPr>
              <w:t>Riqueza da comunidade bentônica (R²=0,209)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9C05B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Intercepto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94FD7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18,425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CC794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0,843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55515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21,87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41F3BF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&lt;2e-16***</w:t>
            </w:r>
          </w:p>
        </w:tc>
      </w:tr>
      <w:tr w:rsidR="0028137E" w14:paraId="4B26DAB2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EEBC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808B1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6028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3,036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B957C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2A8D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3,394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3FE1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0,00141**</w:t>
            </w:r>
          </w:p>
        </w:tc>
      </w:tr>
      <w:tr w:rsidR="0028137E" w14:paraId="47C9D133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B68E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C8841E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4E60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0,318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878D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0,852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0F76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0,373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0CBD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0,711</w:t>
            </w:r>
          </w:p>
        </w:tc>
      </w:tr>
      <w:tr w:rsidR="0028137E" w14:paraId="364E2459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6B4B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FFE6F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4BD5C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55743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0,894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58F11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25202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0,768</w:t>
            </w:r>
          </w:p>
        </w:tc>
      </w:tr>
      <w:tr w:rsidR="0028137E" w14:paraId="2DDBE087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311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Abundância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de EPT (R²=0,234)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C81EA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Intercepto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4C156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13,980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DCECA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2,610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A6E8D6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5,356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340CCC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2,5e-06***</w:t>
            </w:r>
          </w:p>
        </w:tc>
      </w:tr>
      <w:tr w:rsidR="0028137E" w14:paraId="7B55E045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5C9A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8A7DA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427BE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7,395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5925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2,771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B15A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2,668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A748C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0,01043*</w:t>
            </w:r>
          </w:p>
        </w:tc>
      </w:tr>
      <w:tr w:rsidR="0028137E" w14:paraId="6E469C3B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6DC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D3201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1CCF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-4,251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21B8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2,640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7733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-1,61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C0F6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0,114</w:t>
            </w:r>
          </w:p>
        </w:tc>
      </w:tr>
      <w:tr w:rsidR="0028137E" w14:paraId="3556F639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2C7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14132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2EED3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8,066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4E7BF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2,768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F5B22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2,914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C067B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0,00545**</w:t>
            </w:r>
          </w:p>
        </w:tc>
      </w:tr>
      <w:tr w:rsidR="0028137E" w14:paraId="70F45A24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B6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Riqueza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de EPT (R²=0,136)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F7774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Intercepto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A777E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-3,837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AF604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2,455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0CBC8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-1,563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A9B79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0,125</w:t>
            </w:r>
          </w:p>
        </w:tc>
      </w:tr>
      <w:tr w:rsidR="0028137E" w14:paraId="6E887C88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0BD0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6592AC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A72E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5D4C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0,065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0316D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514B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0,00962**</w:t>
            </w:r>
          </w:p>
        </w:tc>
      </w:tr>
      <w:tr w:rsidR="0028137E" w14:paraId="7CF3B07F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543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B9958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A19A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-0,009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641A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28448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-0,203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9905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0,840</w:t>
            </w:r>
          </w:p>
        </w:tc>
      </w:tr>
      <w:tr w:rsidR="0028137E" w14:paraId="475C3753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F63E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E176F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9E0F1E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3,159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B6B18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2,864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C4D09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1,103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83478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0,276</w:t>
            </w:r>
          </w:p>
        </w:tc>
      </w:tr>
      <w:tr w:rsidR="0028137E" w14:paraId="23238EF8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3BD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lastRenderedPageBreak/>
              <w:t>Abundância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de Diptera (R²=0,165)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DBF13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Intercepto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BC093D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68,240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F5151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15,010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37201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4,545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D6310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3,84e-05***</w:t>
            </w:r>
          </w:p>
        </w:tc>
      </w:tr>
      <w:tr w:rsidR="0028137E" w14:paraId="2376D9E5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8721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BCB7F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A09F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20,020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D525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15,940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DFA3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1,256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461C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0,215</w:t>
            </w:r>
          </w:p>
        </w:tc>
      </w:tr>
      <w:tr w:rsidR="0028137E" w14:paraId="5D144D4D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2F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C5565E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F3B4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-11,120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0DDB0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15,180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5A82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-0,733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13D9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0,467</w:t>
            </w:r>
          </w:p>
        </w:tc>
      </w:tr>
      <w:tr w:rsidR="0028137E" w14:paraId="248BB4AC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6A72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8E91B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78444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46,590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E0909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15,920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16E1AC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2,926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DC328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0,00527**</w:t>
            </w:r>
          </w:p>
        </w:tc>
      </w:tr>
      <w:tr w:rsidR="0028137E" w14:paraId="6478675C" w14:textId="77777777" w:rsidTr="00FF7D17">
        <w:trPr>
          <w:trHeight w:val="315"/>
        </w:trPr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EA7A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Riqueza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de Diptera (R²=0,211)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96027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(Intercept)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2E884C4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1,778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3A1345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0,164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01FD2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10,812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F59D61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2,43e-14***</w:t>
            </w:r>
          </w:p>
        </w:tc>
      </w:tr>
      <w:tr w:rsidR="0028137E" w14:paraId="53FA165C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1740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8E2E27F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Temperatura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da </w:t>
            </w: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água</w:t>
            </w:r>
            <w:proofErr w:type="spellEnd"/>
            <w:r>
              <w:rPr>
                <w:rFonts w:eastAsia="Calibri"/>
                <w:b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7D983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0,411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032F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0B07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2,355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E7137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0,0227*</w:t>
            </w:r>
          </w:p>
        </w:tc>
      </w:tr>
      <w:tr w:rsidR="0028137E" w14:paraId="6300A279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96EC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202AAD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kern w:val="2"/>
                <w:lang w:eastAsia="en-US"/>
              </w:rPr>
              <w:t>Pluviometria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18C92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0,294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A7DEE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DD27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1,765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062F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0,084</w:t>
            </w:r>
          </w:p>
        </w:tc>
      </w:tr>
      <w:tr w:rsidR="0028137E" w14:paraId="35CFF914" w14:textId="77777777" w:rsidTr="00FF7D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DD84" w14:textId="77777777" w:rsidR="0028137E" w:rsidRDefault="0028137E" w:rsidP="0028137E">
            <w:pPr>
              <w:spacing w:before="0" w:after="0" w:line="240" w:lineRule="auto"/>
              <w:ind w:left="0" w:hanging="2"/>
              <w:rPr>
                <w:rFonts w:eastAsia="Calibri"/>
                <w:b/>
                <w:bCs/>
                <w:kern w:val="2"/>
                <w:lang w:val="pt-BR"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EFD776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b/>
                <w:bCs/>
                <w:kern w:val="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lang w:eastAsia="en-US"/>
              </w:rPr>
              <w:t>IIF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29A0C9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0,444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0A0D78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0,174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B39541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2,545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719E3B" w14:textId="77777777" w:rsidR="0028137E" w:rsidRDefault="0028137E" w:rsidP="0028137E">
            <w:pPr>
              <w:spacing w:before="0" w:after="0" w:line="240" w:lineRule="auto"/>
              <w:ind w:left="0" w:hanging="2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0,0143*</w:t>
            </w:r>
          </w:p>
        </w:tc>
      </w:tr>
      <w:bookmarkEnd w:id="4"/>
    </w:tbl>
    <w:p w14:paraId="46C5299C" w14:textId="06933E39" w:rsidR="007A00AF" w:rsidRDefault="0028137E" w:rsidP="007A00AF">
      <w:pPr>
        <w:spacing w:line="360" w:lineRule="auto"/>
        <w:ind w:left="0" w:hanging="2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fldChar w:fldCharType="end"/>
      </w:r>
    </w:p>
    <w:p w14:paraId="60233C76" w14:textId="77777777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>Na riqueza estimada da comunidade bentônica total, a temperatura da água foi a única variável significativa (p &lt; 0,05)</w:t>
      </w:r>
      <w:r>
        <w:rPr>
          <w:lang w:val="pt-BR"/>
        </w:rPr>
        <w:t>.</w:t>
      </w:r>
      <w:r w:rsidRPr="00F27066">
        <w:rPr>
          <w:lang w:val="pt-BR"/>
        </w:rPr>
        <w:t xml:space="preserve"> </w:t>
      </w:r>
      <w:r>
        <w:rPr>
          <w:lang w:val="pt-BR"/>
        </w:rPr>
        <w:t>A</w:t>
      </w:r>
      <w:r w:rsidRPr="00F27066">
        <w:rPr>
          <w:lang w:val="pt-BR"/>
        </w:rPr>
        <w:t xml:space="preserve"> abundância não foi significativa</w:t>
      </w:r>
      <w:r>
        <w:rPr>
          <w:lang w:val="pt-BR"/>
        </w:rPr>
        <w:t xml:space="preserve">. </w:t>
      </w:r>
    </w:p>
    <w:p w14:paraId="344BF83C" w14:textId="2512DFDF" w:rsidR="0028137E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>Na riqueza de EPT, o modelo geral não apresentou valor de p significativo (p &gt; 0,05)</w:t>
      </w:r>
      <w:r>
        <w:rPr>
          <w:lang w:val="pt-BR"/>
        </w:rPr>
        <w:t xml:space="preserve">, logo </w:t>
      </w:r>
      <w:r w:rsidRPr="00F27066">
        <w:rPr>
          <w:lang w:val="pt-BR"/>
        </w:rPr>
        <w:t>não foi encontrada uma relação significativa</w:t>
      </w:r>
      <w:r>
        <w:rPr>
          <w:lang w:val="pt-BR"/>
        </w:rPr>
        <w:t xml:space="preserve"> entre essas variáveis.</w:t>
      </w:r>
      <w:r w:rsidRPr="00F27066">
        <w:rPr>
          <w:lang w:val="pt-BR"/>
        </w:rPr>
        <w:t xml:space="preserve"> </w:t>
      </w:r>
      <w:r w:rsidRPr="00F27066">
        <w:rPr>
          <w:lang w:val="pt-BR"/>
        </w:rPr>
        <w:t>Por outro lado, na abundância de EPT, o p do modelo foi significativo (p &lt; 0,05). A temperatura da água e o Índice de Integridade Física (IIF) também tiveram coeficientes significativos, indicando que a abundância de EPT é influenciada por essas variáveis. No entanto, a pluviometria não apresentou relação significativa.</w:t>
      </w:r>
    </w:p>
    <w:p w14:paraId="37CACD96" w14:textId="0545A65E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 xml:space="preserve">A temperatura da água e o IIF apresentaram relação significativa com a riqueza de </w:t>
      </w:r>
      <w:proofErr w:type="spellStart"/>
      <w:r w:rsidRPr="00F27066">
        <w:rPr>
          <w:lang w:val="pt-BR"/>
        </w:rPr>
        <w:t>Diptera</w:t>
      </w:r>
      <w:proofErr w:type="spellEnd"/>
      <w:r>
        <w:rPr>
          <w:lang w:val="pt-BR"/>
        </w:rPr>
        <w:t xml:space="preserve">, </w:t>
      </w:r>
      <w:r w:rsidRPr="00F27066">
        <w:rPr>
          <w:lang w:val="pt-BR"/>
        </w:rPr>
        <w:t>onde temperatura teve um efeito positivo</w:t>
      </w:r>
      <w:r>
        <w:rPr>
          <w:lang w:val="pt-BR"/>
        </w:rPr>
        <w:t xml:space="preserve">, </w:t>
      </w:r>
      <w:r w:rsidRPr="00F27066">
        <w:rPr>
          <w:lang w:val="pt-BR"/>
        </w:rPr>
        <w:t>juntamente com o IIF</w:t>
      </w:r>
      <w:r>
        <w:rPr>
          <w:lang w:val="pt-BR"/>
        </w:rPr>
        <w:t xml:space="preserve">. </w:t>
      </w:r>
      <w:r w:rsidRPr="00F27066">
        <w:rPr>
          <w:lang w:val="pt-BR"/>
        </w:rPr>
        <w:t xml:space="preserve">A abundância de </w:t>
      </w:r>
      <w:proofErr w:type="spellStart"/>
      <w:r w:rsidRPr="00F27066">
        <w:rPr>
          <w:lang w:val="pt-BR"/>
        </w:rPr>
        <w:t>Diptera</w:t>
      </w:r>
      <w:proofErr w:type="spellEnd"/>
      <w:r w:rsidRPr="00F27066">
        <w:rPr>
          <w:lang w:val="pt-BR"/>
        </w:rPr>
        <w:t xml:space="preserve"> apresentou relação com as variáveis ambientais</w:t>
      </w:r>
      <w:r>
        <w:rPr>
          <w:lang w:val="pt-BR"/>
        </w:rPr>
        <w:t xml:space="preserve">, </w:t>
      </w:r>
      <w:r w:rsidRPr="00F27066">
        <w:rPr>
          <w:lang w:val="pt-BR"/>
        </w:rPr>
        <w:t>apenas o IIF teve influência positiva</w:t>
      </w:r>
      <w:r>
        <w:rPr>
          <w:lang w:val="pt-BR"/>
        </w:rPr>
        <w:t>.</w:t>
      </w:r>
    </w:p>
    <w:p w14:paraId="3FFBE273" w14:textId="77777777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 xml:space="preserve">Os resultados deste estudo indicam que a temperatura da água e o IIF são variáveis ambientais que influenciam a abundância e riqueza de EPT e </w:t>
      </w:r>
      <w:proofErr w:type="spellStart"/>
      <w:r w:rsidRPr="00F27066">
        <w:rPr>
          <w:lang w:val="pt-BR"/>
        </w:rPr>
        <w:t>Diptera</w:t>
      </w:r>
      <w:proofErr w:type="spellEnd"/>
      <w:r w:rsidRPr="00F27066">
        <w:rPr>
          <w:lang w:val="pt-BR"/>
        </w:rPr>
        <w:t xml:space="preserve"> no Rio Lontra. Esses resultados podem estar relacionados à sensibilidade desses grupos às mudanças nas condições ambientais, comprovando seu potencial como bioindicadores de qualidade de água. A falta de relação significativa entre a pluviometria e os bioindicadores pode ser devido a outros fatores que influenciam a disponibilidade de alimentos e habitat para esses organismos, que não foram considerados neste estudo.</w:t>
      </w:r>
      <w:r>
        <w:rPr>
          <w:lang w:val="pt-BR"/>
        </w:rPr>
        <w:t xml:space="preserve"> </w:t>
      </w:r>
    </w:p>
    <w:p w14:paraId="7D3F7D08" w14:textId="71A7FC8C" w:rsidR="00F27066" w:rsidRDefault="002F5847" w:rsidP="00F27066">
      <w:pPr>
        <w:spacing w:line="360" w:lineRule="auto"/>
        <w:ind w:leftChars="0" w:left="0" w:firstLineChars="0" w:firstLine="720"/>
        <w:rPr>
          <w:lang w:val="pt-BR"/>
        </w:rPr>
      </w:pPr>
      <w:r w:rsidRPr="002F5847">
        <w:rPr>
          <w:lang w:val="pt-BR"/>
        </w:rPr>
        <w:t xml:space="preserve">A temperatura da água se mostrou uma variável relevante para a riqueza e abundância de EPT e </w:t>
      </w:r>
      <w:proofErr w:type="spellStart"/>
      <w:r w:rsidRPr="002F5847">
        <w:rPr>
          <w:lang w:val="pt-BR"/>
        </w:rPr>
        <w:t>Dipter</w:t>
      </w:r>
      <w:r>
        <w:rPr>
          <w:lang w:val="pt-BR"/>
        </w:rPr>
        <w:t>a</w:t>
      </w:r>
      <w:proofErr w:type="spellEnd"/>
      <w:r>
        <w:rPr>
          <w:lang w:val="pt-BR"/>
        </w:rPr>
        <w:t xml:space="preserve">. </w:t>
      </w:r>
      <w:r w:rsidR="00F27066" w:rsidRPr="00F27066">
        <w:rPr>
          <w:lang w:val="pt-BR"/>
        </w:rPr>
        <w:t xml:space="preserve">Isso pode estar relacionado à maior atividade metabólica, sexual e de </w:t>
      </w:r>
      <w:proofErr w:type="spellStart"/>
      <w:r w:rsidR="00F27066" w:rsidRPr="00F27066">
        <w:rPr>
          <w:lang w:val="pt-BR"/>
        </w:rPr>
        <w:t>forrageamento</w:t>
      </w:r>
      <w:proofErr w:type="spellEnd"/>
      <w:r w:rsidR="00F27066" w:rsidRPr="00F27066">
        <w:rPr>
          <w:lang w:val="pt-BR"/>
        </w:rPr>
        <w:t xml:space="preserve"> dos organismos aquáticos em temperaturas mais elevadas (Rodrigues, 2004). A riqueza de EPT não mostrou relação direta com o IIF, possivelmente devido às condições alteradas do ambiente urbano em que se conduziu o estudo, uma vez que todos os pontos analisados possuem qualidade impactada pelas atividades antrópicas.</w:t>
      </w:r>
    </w:p>
    <w:p w14:paraId="5F4158E0" w14:textId="5F977ACD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 xml:space="preserve">O IIF também teve influência significativa na abundância de EPT e </w:t>
      </w:r>
      <w:proofErr w:type="spellStart"/>
      <w:r w:rsidRPr="00F27066">
        <w:rPr>
          <w:lang w:val="pt-BR"/>
        </w:rPr>
        <w:t>Diptera</w:t>
      </w:r>
      <w:proofErr w:type="spellEnd"/>
      <w:r w:rsidRPr="00F27066">
        <w:rPr>
          <w:lang w:val="pt-BR"/>
        </w:rPr>
        <w:t>, indicando que a qualidade ambiental, conforme representada por esse índice, afeta a abundância desses grupos. No entanto, contrariando o que prega a literatura, a pluviometria não mostrou efeito significativo nas análises,</w:t>
      </w:r>
      <w:r>
        <w:rPr>
          <w:lang w:val="pt-BR"/>
        </w:rPr>
        <w:t xml:space="preserve"> </w:t>
      </w:r>
      <w:r w:rsidRPr="00F27066">
        <w:rPr>
          <w:lang w:val="pt-BR"/>
        </w:rPr>
        <w:t>pelo menos nas condições particulares do local de estudo</w:t>
      </w:r>
      <w:r>
        <w:rPr>
          <w:lang w:val="pt-BR"/>
        </w:rPr>
        <w:t xml:space="preserve">. </w:t>
      </w:r>
      <w:r w:rsidRPr="00F27066">
        <w:rPr>
          <w:lang w:val="pt-BR"/>
        </w:rPr>
        <w:t>Isso pode se dever em parte ao fato de que o estado represado do Rio Lontra na zona urbana de Araguaína confere a esse rio certa estabilidade na velocidade do fluxo d’água durante as chuvas</w:t>
      </w:r>
      <w:r w:rsidR="002F5847">
        <w:rPr>
          <w:lang w:val="pt-BR"/>
        </w:rPr>
        <w:t>.</w:t>
      </w:r>
    </w:p>
    <w:p w14:paraId="4935BA3C" w14:textId="558F9F3C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lastRenderedPageBreak/>
        <w:t xml:space="preserve">Na figura a seguir, as curvas do coletor de EPT e </w:t>
      </w:r>
      <w:proofErr w:type="spellStart"/>
      <w:r w:rsidRPr="00F27066">
        <w:rPr>
          <w:lang w:val="pt-BR"/>
        </w:rPr>
        <w:t>Diptera</w:t>
      </w:r>
      <w:proofErr w:type="spellEnd"/>
      <w:r w:rsidRPr="00F27066">
        <w:rPr>
          <w:lang w:val="pt-BR"/>
        </w:rPr>
        <w:t xml:space="preserve"> estão representadas para os pontos de amostragem da pesquisa.</w:t>
      </w:r>
    </w:p>
    <w:p w14:paraId="6BEB73AB" w14:textId="298D586A" w:rsidR="00F27066" w:rsidRPr="00F27066" w:rsidRDefault="00F324F5" w:rsidP="00F27066">
      <w:pPr>
        <w:ind w:left="0" w:hanging="2"/>
        <w:jc w:val="center"/>
        <w:rPr>
          <w:b/>
          <w:bCs/>
          <w:lang w:val="pt-BR"/>
        </w:rPr>
      </w:pPr>
      <w:r w:rsidRPr="00F324F5">
        <w:rPr>
          <w:b/>
          <w:bCs/>
          <w:lang w:val="pt-BR"/>
        </w:rPr>
        <w:t xml:space="preserve">Figura </w:t>
      </w:r>
      <w:r>
        <w:rPr>
          <w:b/>
          <w:bCs/>
          <w:lang w:val="pt-BR"/>
        </w:rPr>
        <w:t>1</w:t>
      </w:r>
      <w:r w:rsidRPr="00F324F5">
        <w:rPr>
          <w:b/>
          <w:bCs/>
          <w:lang w:val="pt-BR"/>
        </w:rPr>
        <w:t xml:space="preserve"> – Curvas do coletor de EPT e </w:t>
      </w:r>
      <w:proofErr w:type="spellStart"/>
      <w:r w:rsidRPr="00F324F5">
        <w:rPr>
          <w:b/>
          <w:bCs/>
          <w:lang w:val="pt-BR"/>
        </w:rPr>
        <w:t>Diptera</w:t>
      </w:r>
      <w:proofErr w:type="spellEnd"/>
      <w:r w:rsidRPr="00F324F5">
        <w:rPr>
          <w:b/>
          <w:bCs/>
          <w:lang w:val="pt-BR"/>
        </w:rPr>
        <w:t xml:space="preserve"> na porção urbana do Rio Lontra em</w:t>
      </w:r>
      <w:r w:rsidRPr="00F324F5">
        <w:rPr>
          <w:b/>
          <w:bCs/>
          <w:lang w:val="pt-BR"/>
        </w:rPr>
        <w:t xml:space="preserve"> </w:t>
      </w:r>
      <w:r w:rsidR="00F27066" w:rsidRPr="00F27066">
        <w:rPr>
          <w:b/>
          <w:bCs/>
          <w:lang w:val="pt-BR"/>
        </w:rPr>
        <w:t>Araguaína, Tocantins por ponto de amostragem.</w:t>
      </w:r>
    </w:p>
    <w:p w14:paraId="42C153EB" w14:textId="45AF8316" w:rsidR="00F27066" w:rsidRPr="00ED43F3" w:rsidRDefault="00F27066" w:rsidP="00F27066">
      <w:pPr>
        <w:ind w:left="0" w:hanging="2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56661EC" wp14:editId="6B374BCE">
            <wp:extent cx="1486800" cy="1440000"/>
            <wp:effectExtent l="0" t="0" r="0" b="8255"/>
            <wp:docPr id="42249424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3C78F9F" wp14:editId="1467BFD7">
            <wp:extent cx="1274400" cy="1440000"/>
            <wp:effectExtent l="0" t="0" r="2540" b="8255"/>
            <wp:docPr id="17770843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D2E53" w14:textId="77777777" w:rsidR="00F27066" w:rsidRPr="00F324F5" w:rsidRDefault="00F27066" w:rsidP="00F27066">
      <w:pPr>
        <w:spacing w:after="120"/>
        <w:ind w:left="0" w:hanging="2"/>
        <w:rPr>
          <w:sz w:val="16"/>
          <w:szCs w:val="16"/>
          <w:lang w:val="pt-BR"/>
        </w:rPr>
      </w:pPr>
      <w:r w:rsidRPr="00F324F5">
        <w:rPr>
          <w:sz w:val="16"/>
          <w:szCs w:val="16"/>
          <w:lang w:val="pt-BR"/>
        </w:rPr>
        <w:t xml:space="preserve">Legenda: CAR: Bairro Céu Azul; TIU: Clube Náutico (montante do Córrego </w:t>
      </w:r>
      <w:proofErr w:type="spellStart"/>
      <w:r w:rsidRPr="00F324F5">
        <w:rPr>
          <w:sz w:val="16"/>
          <w:szCs w:val="16"/>
          <w:lang w:val="pt-BR"/>
        </w:rPr>
        <w:t>Tiúba</w:t>
      </w:r>
      <w:proofErr w:type="spellEnd"/>
      <w:r w:rsidRPr="00F324F5">
        <w:rPr>
          <w:sz w:val="16"/>
          <w:szCs w:val="16"/>
          <w:lang w:val="pt-BR"/>
        </w:rPr>
        <w:t xml:space="preserve">) e Av. do Comércio (jusante do Córrego </w:t>
      </w:r>
      <w:proofErr w:type="spellStart"/>
      <w:r w:rsidRPr="00F324F5">
        <w:rPr>
          <w:sz w:val="16"/>
          <w:szCs w:val="16"/>
          <w:lang w:val="pt-BR"/>
        </w:rPr>
        <w:t>Tiúba</w:t>
      </w:r>
      <w:proofErr w:type="spellEnd"/>
      <w:r w:rsidRPr="00F324F5">
        <w:rPr>
          <w:sz w:val="16"/>
          <w:szCs w:val="16"/>
          <w:lang w:val="pt-BR"/>
        </w:rPr>
        <w:t>); PRA: Praia do Lago Azul; PED: Orla da Via Lago (Pedalinhos); DND: Jusante do Córrego Neblina; BRK: Montante de efluente da empresa BRK Ambiental; DNI: Bairro Juscelino Kubitschek; BGR: Bairro Barra da Grota</w:t>
      </w:r>
    </w:p>
    <w:p w14:paraId="7375C551" w14:textId="77777777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</w:p>
    <w:p w14:paraId="369A8A83" w14:textId="77777777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>Como pode se observar, em todos os pontos as curvas do coletor possuem orientação ascendente, o que significa que à medida que mais esforço de coleta é realizado ao longo do tempo, mais táxons são coletados</w:t>
      </w:r>
      <w:r>
        <w:rPr>
          <w:lang w:val="pt-BR"/>
        </w:rPr>
        <w:t xml:space="preserve">. </w:t>
      </w:r>
      <w:r w:rsidRPr="00F27066">
        <w:rPr>
          <w:lang w:val="pt-BR"/>
        </w:rPr>
        <w:t>Isso indica uma alta diversidade na área e é um sinal de que as amostragens ainda não atingiram um ponto de saturação</w:t>
      </w:r>
      <w:r>
        <w:rPr>
          <w:lang w:val="pt-BR"/>
        </w:rPr>
        <w:t xml:space="preserve">. </w:t>
      </w:r>
      <w:r w:rsidRPr="00F27066">
        <w:rPr>
          <w:lang w:val="pt-BR"/>
        </w:rPr>
        <w:t>Nesse caso, é necessário continuar com as coletas para obter uma imagem mais completa da biodiversidade na área</w:t>
      </w:r>
      <w:r>
        <w:rPr>
          <w:lang w:val="pt-BR"/>
        </w:rPr>
        <w:t xml:space="preserve">. </w:t>
      </w:r>
    </w:p>
    <w:p w14:paraId="228DFDEB" w14:textId="33E04818" w:rsidR="00F27066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>
        <w:rPr>
          <w:lang w:val="pt-BR"/>
        </w:rPr>
        <w:t xml:space="preserve">O </w:t>
      </w:r>
      <w:r w:rsidRPr="00F27066">
        <w:rPr>
          <w:lang w:val="pt-BR"/>
        </w:rPr>
        <w:t>Índice de Integridade Física (IIF) considerando os critérios estabelecidos fornece informações sobre a condição ambiental de cada local. No gráfico a seguir está a análise com base no IIF para cada ponto</w:t>
      </w:r>
    </w:p>
    <w:p w14:paraId="6B5F0EDE" w14:textId="55CA0107" w:rsidR="00F27066" w:rsidRPr="00F27066" w:rsidRDefault="00F27066" w:rsidP="00F27066">
      <w:pPr>
        <w:spacing w:line="360" w:lineRule="auto"/>
        <w:ind w:left="0" w:hanging="2"/>
        <w:jc w:val="center"/>
        <w:rPr>
          <w:b/>
          <w:bCs/>
          <w:lang w:val="pt-BR"/>
        </w:rPr>
      </w:pPr>
      <w:r w:rsidRPr="00F27066">
        <w:rPr>
          <w:b/>
          <w:bCs/>
          <w:lang w:val="pt-BR"/>
        </w:rPr>
        <w:t xml:space="preserve">Figura </w:t>
      </w:r>
      <w:r w:rsidR="00F324F5">
        <w:rPr>
          <w:b/>
          <w:bCs/>
          <w:lang w:val="pt-BR"/>
        </w:rPr>
        <w:t>2</w:t>
      </w:r>
      <w:r w:rsidRPr="00F27066">
        <w:rPr>
          <w:b/>
          <w:bCs/>
          <w:lang w:val="pt-BR"/>
        </w:rPr>
        <w:t xml:space="preserve"> - Índice de Integridade Física (IIF) para cada ponto de amostragem</w:t>
      </w:r>
    </w:p>
    <w:p w14:paraId="38CA4532" w14:textId="7003E3A1" w:rsidR="00F27066" w:rsidRDefault="00F27066" w:rsidP="00F27066">
      <w:pPr>
        <w:spacing w:after="120" w:line="360" w:lineRule="auto"/>
        <w:ind w:left="0" w:hanging="2"/>
        <w:jc w:val="center"/>
      </w:pPr>
      <w:r w:rsidRPr="00F27066">
        <w:rPr>
          <w:noProof/>
        </w:rPr>
        <w:drawing>
          <wp:inline distT="0" distB="0" distL="0" distR="0" wp14:anchorId="3F6A4828" wp14:editId="1562C15C">
            <wp:extent cx="2170800" cy="1440000"/>
            <wp:effectExtent l="0" t="0" r="1270" b="8255"/>
            <wp:docPr id="27650563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7B7B" w14:textId="0B0C0490" w:rsidR="00F27066" w:rsidRPr="006444D9" w:rsidRDefault="00F27066" w:rsidP="00F27066">
      <w:pPr>
        <w:spacing w:line="360" w:lineRule="auto"/>
        <w:ind w:leftChars="0" w:left="0" w:firstLineChars="0" w:firstLine="720"/>
        <w:rPr>
          <w:lang w:val="pt-BR"/>
        </w:rPr>
      </w:pPr>
      <w:r w:rsidRPr="00F27066">
        <w:rPr>
          <w:lang w:val="pt-BR"/>
        </w:rPr>
        <w:t>Os pontos de coleta com as maiores pontuações, indicando uma melhor qualidade ambiental, são Bairro Céu Azul e Bairro Juscelino Kubitschek. Os pontos Bairro Barra da Grota, Clube Náutico (</w:t>
      </w:r>
      <w:proofErr w:type="spellStart"/>
      <w:r w:rsidRPr="00F27066">
        <w:rPr>
          <w:lang w:val="pt-BR"/>
        </w:rPr>
        <w:t>Tiúba</w:t>
      </w:r>
      <w:proofErr w:type="spellEnd"/>
      <w:r w:rsidRPr="00F27066">
        <w:rPr>
          <w:lang w:val="pt-BR"/>
        </w:rPr>
        <w:t xml:space="preserve"> montante) e Montante de efluente BRK também apresentam uma qualidade ambiental relativamente boa</w:t>
      </w:r>
      <w:r>
        <w:rPr>
          <w:lang w:val="pt-BR"/>
        </w:rPr>
        <w:t xml:space="preserve">. </w:t>
      </w:r>
      <w:r w:rsidRPr="00F27066">
        <w:rPr>
          <w:lang w:val="pt-BR"/>
        </w:rPr>
        <w:t>Os pontos Jusante do Córrego Neblina, Orla da Via Lago (Pedalinhos), Praia do Lago Azul e Av. do Comércio (</w:t>
      </w:r>
      <w:proofErr w:type="spellStart"/>
      <w:r w:rsidRPr="00F27066">
        <w:rPr>
          <w:lang w:val="pt-BR"/>
        </w:rPr>
        <w:t>Tiúba</w:t>
      </w:r>
      <w:proofErr w:type="spellEnd"/>
      <w:r w:rsidRPr="00F27066">
        <w:rPr>
          <w:lang w:val="pt-BR"/>
        </w:rPr>
        <w:t xml:space="preserve"> jusante) apresentam as pontuações mais baixas</w:t>
      </w:r>
      <w:r w:rsidR="00F324F5">
        <w:rPr>
          <w:lang w:val="pt-BR"/>
        </w:rPr>
        <w:t xml:space="preserve">. </w:t>
      </w:r>
      <w:r w:rsidR="002F5847">
        <w:rPr>
          <w:lang w:val="pt-BR"/>
        </w:rPr>
        <w:t>O</w:t>
      </w:r>
      <w:r w:rsidR="00F324F5" w:rsidRPr="00F324F5">
        <w:rPr>
          <w:lang w:val="pt-BR"/>
        </w:rPr>
        <w:t>s pontos com as pontuações mais baixas podem necessitar de atenção em termos de conservação e qualidade ambiental. A largura da mata ciliar, o estado de preservação da mata ciliar e a presença de vegetação aquática são fatores importantes na avaliação da qualidade ambiental desses pontos de coleta (</w:t>
      </w:r>
      <w:proofErr w:type="spellStart"/>
      <w:r w:rsidR="00F324F5" w:rsidRPr="00F324F5">
        <w:rPr>
          <w:lang w:val="pt-BR"/>
        </w:rPr>
        <w:t>Sonoda</w:t>
      </w:r>
      <w:proofErr w:type="spellEnd"/>
      <w:r w:rsidR="00F324F5" w:rsidRPr="00F324F5">
        <w:rPr>
          <w:lang w:val="pt-BR"/>
        </w:rPr>
        <w:t>, 2010)</w:t>
      </w:r>
      <w:r w:rsidR="00F324F5">
        <w:rPr>
          <w:lang w:val="pt-BR"/>
        </w:rPr>
        <w:t>.</w:t>
      </w:r>
    </w:p>
    <w:p w14:paraId="300832D6" w14:textId="77777777" w:rsidR="00B27525" w:rsidRPr="006444D9" w:rsidRDefault="00B27525">
      <w:pPr>
        <w:spacing w:line="360" w:lineRule="auto"/>
        <w:ind w:left="0" w:hanging="2"/>
        <w:rPr>
          <w:lang w:val="pt-BR"/>
        </w:rPr>
      </w:pPr>
    </w:p>
    <w:p w14:paraId="45930E17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t>Considerações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Finais</w:t>
      </w:r>
      <w:proofErr w:type="spellEnd"/>
    </w:p>
    <w:p w14:paraId="57B92B87" w14:textId="2C5FDF49" w:rsidR="00F324F5" w:rsidRDefault="00F324F5" w:rsidP="00F324F5">
      <w:pPr>
        <w:spacing w:line="360" w:lineRule="auto"/>
        <w:ind w:leftChars="0" w:left="0" w:firstLineChars="0" w:firstLine="720"/>
        <w:rPr>
          <w:lang w:val="pt-BR"/>
        </w:rPr>
      </w:pPr>
      <w:r w:rsidRPr="00F324F5">
        <w:rPr>
          <w:lang w:val="pt-BR"/>
        </w:rPr>
        <w:t xml:space="preserve">Foi observado que a temperatura da água é uma variável ambiental significativa em várias análises. A temperatura da água teve um efeito positivo significativo sobre a abundância de EPT, bem como sobre a riqueza de </w:t>
      </w:r>
      <w:proofErr w:type="spellStart"/>
      <w:r w:rsidRPr="00F324F5">
        <w:rPr>
          <w:lang w:val="pt-BR"/>
        </w:rPr>
        <w:t>Diptera</w:t>
      </w:r>
      <w:proofErr w:type="spellEnd"/>
      <w:r w:rsidRPr="00F324F5">
        <w:rPr>
          <w:lang w:val="pt-BR"/>
        </w:rPr>
        <w:t>. Isso sugere que, à medida que a temperatura da água aumenta, há um aumento na diversidade de espécies e na abundância de organismos desses grupos. Esse resultado é consistente com a compreensão de que temperaturas mais elevadas podem aumentar a atividade metabólica dos organismos aquáticos e, assim, favorecer a presença de um maior número de espécies.</w:t>
      </w:r>
    </w:p>
    <w:p w14:paraId="59D73F8F" w14:textId="0B821AC4" w:rsidR="00F324F5" w:rsidRDefault="00F324F5" w:rsidP="00FF7D17">
      <w:pPr>
        <w:spacing w:line="360" w:lineRule="auto"/>
        <w:ind w:leftChars="0" w:left="0" w:firstLineChars="0" w:firstLine="720"/>
        <w:rPr>
          <w:lang w:val="pt-BR"/>
        </w:rPr>
      </w:pPr>
      <w:r>
        <w:rPr>
          <w:lang w:val="pt-BR"/>
        </w:rPr>
        <w:t>O</w:t>
      </w:r>
      <w:r w:rsidRPr="00F324F5">
        <w:rPr>
          <w:lang w:val="pt-BR"/>
        </w:rPr>
        <w:t xml:space="preserve"> Índice de Integridade Física (IIF) também desempenhou um papel significativo nas análises, mostrando uma relação positiva com a abundância de EPT e </w:t>
      </w:r>
      <w:proofErr w:type="spellStart"/>
      <w:r w:rsidRPr="00F324F5">
        <w:rPr>
          <w:lang w:val="pt-BR"/>
        </w:rPr>
        <w:t>Diptera</w:t>
      </w:r>
      <w:proofErr w:type="spellEnd"/>
      <w:r w:rsidRPr="00F324F5">
        <w:rPr>
          <w:lang w:val="pt-BR"/>
        </w:rPr>
        <w:t>. Isso sugere que a qualidade ambiental, conforme refletida pelo IIF, tem um impacto direto na abundância desses grupos.</w:t>
      </w:r>
      <w:r w:rsidR="00FF7D17">
        <w:rPr>
          <w:lang w:val="pt-BR"/>
        </w:rPr>
        <w:t xml:space="preserve"> </w:t>
      </w:r>
      <w:r>
        <w:rPr>
          <w:lang w:val="pt-BR"/>
        </w:rPr>
        <w:t>A</w:t>
      </w:r>
      <w:r w:rsidRPr="00F324F5">
        <w:rPr>
          <w:lang w:val="pt-BR"/>
        </w:rPr>
        <w:t xml:space="preserve"> pluviometria não mostrou uma relação significativa com as respostas da comunidade bentônica, EPT ou </w:t>
      </w:r>
      <w:proofErr w:type="spellStart"/>
      <w:r w:rsidRPr="00F324F5">
        <w:rPr>
          <w:lang w:val="pt-BR"/>
        </w:rPr>
        <w:t>Diptera</w:t>
      </w:r>
      <w:proofErr w:type="spellEnd"/>
      <w:r w:rsidRPr="00F324F5">
        <w:rPr>
          <w:lang w:val="pt-BR"/>
        </w:rPr>
        <w:t xml:space="preserve"> neste estudo, indicando que as variações nas precipitações não estão diretamente relacionadas à riqueza ou à abundância desses grupos no local estudado.</w:t>
      </w:r>
    </w:p>
    <w:p w14:paraId="3BB68C2A" w14:textId="582C9206" w:rsidR="00F324F5" w:rsidRDefault="00F324F5" w:rsidP="00F324F5">
      <w:pPr>
        <w:spacing w:line="360" w:lineRule="auto"/>
        <w:ind w:leftChars="0" w:left="0" w:firstLineChars="0" w:firstLine="720"/>
        <w:rPr>
          <w:lang w:val="pt-BR"/>
        </w:rPr>
      </w:pPr>
      <w:r w:rsidRPr="00F324F5">
        <w:rPr>
          <w:lang w:val="pt-BR"/>
        </w:rPr>
        <w:t xml:space="preserve">Este estudo fornece evidências da influência das variáveis ambientais, especialmente da temperatura da água e do Índice de Integridade Física (IIF), sobre a comunidade bentônica, os EPT e os </w:t>
      </w:r>
      <w:proofErr w:type="spellStart"/>
      <w:r w:rsidRPr="00F324F5">
        <w:rPr>
          <w:lang w:val="pt-BR"/>
        </w:rPr>
        <w:t>Diptera</w:t>
      </w:r>
      <w:proofErr w:type="spellEnd"/>
      <w:r w:rsidRPr="00F324F5">
        <w:rPr>
          <w:lang w:val="pt-BR"/>
        </w:rPr>
        <w:t xml:space="preserve"> no Rio Lontra. Esses resultados destacam a importância de considerar esses fatores ao avaliar e monitorar a qualidade da água e os ecossistemas aquáticos na região. Além disso, ressaltam a relevância de ações de conservação e gestão que visem à manutenção de condições ambientais adequadas para esses organismos e, por consequência, para a saúde dos ecossistemas aquáticos.</w:t>
      </w:r>
    </w:p>
    <w:p w14:paraId="7CE922CB" w14:textId="77777777" w:rsidR="00B27525" w:rsidRPr="006444D9" w:rsidRDefault="00B27525" w:rsidP="00F324F5">
      <w:pPr>
        <w:spacing w:line="360" w:lineRule="auto"/>
        <w:ind w:leftChars="0" w:left="0" w:firstLineChars="0" w:firstLine="0"/>
        <w:rPr>
          <w:lang w:val="pt-BR"/>
        </w:rPr>
      </w:pPr>
    </w:p>
    <w:p w14:paraId="16E8BB3D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t>Referências</w:t>
      </w:r>
      <w:proofErr w:type="spellEnd"/>
      <w:r>
        <w:rPr>
          <w:color w:val="000000"/>
          <w:sz w:val="44"/>
          <w:szCs w:val="44"/>
        </w:rPr>
        <w:t xml:space="preserve"> </w:t>
      </w:r>
      <w:proofErr w:type="spellStart"/>
      <w:r>
        <w:rPr>
          <w:color w:val="000000"/>
          <w:sz w:val="44"/>
          <w:szCs w:val="44"/>
        </w:rPr>
        <w:t>Bibliográficas</w:t>
      </w:r>
      <w:proofErr w:type="spellEnd"/>
    </w:p>
    <w:p w14:paraId="394802C2" w14:textId="77777777" w:rsidR="00FF7D17" w:rsidRDefault="00FF7D17" w:rsidP="00FF7D17">
      <w:pPr>
        <w:spacing w:line="360" w:lineRule="auto"/>
        <w:ind w:left="0" w:hanging="2"/>
        <w:rPr>
          <w:lang w:val="pt-BR"/>
        </w:rPr>
      </w:pPr>
      <w:r w:rsidRPr="002F5847">
        <w:rPr>
          <w:lang w:val="pt-BR"/>
        </w:rPr>
        <w:t xml:space="preserve">ALBA-TERCEDOR, Javier. </w:t>
      </w:r>
      <w:proofErr w:type="spellStart"/>
      <w:r w:rsidRPr="002F5847">
        <w:rPr>
          <w:lang w:val="pt-BR"/>
        </w:rPr>
        <w:t>Macroinvertebrados</w:t>
      </w:r>
      <w:proofErr w:type="spellEnd"/>
      <w:r w:rsidRPr="002F5847">
        <w:rPr>
          <w:lang w:val="pt-BR"/>
        </w:rPr>
        <w:t xml:space="preserve"> </w:t>
      </w:r>
      <w:proofErr w:type="spellStart"/>
      <w:r w:rsidRPr="002F5847">
        <w:rPr>
          <w:lang w:val="pt-BR"/>
        </w:rPr>
        <w:t>acuáticos</w:t>
      </w:r>
      <w:proofErr w:type="spellEnd"/>
      <w:r w:rsidRPr="002F5847">
        <w:rPr>
          <w:lang w:val="pt-BR"/>
        </w:rPr>
        <w:t xml:space="preserve"> y </w:t>
      </w:r>
      <w:proofErr w:type="spellStart"/>
      <w:r w:rsidRPr="002F5847">
        <w:rPr>
          <w:lang w:val="pt-BR"/>
        </w:rPr>
        <w:t>calidad</w:t>
      </w:r>
      <w:proofErr w:type="spellEnd"/>
      <w:r w:rsidRPr="002F5847">
        <w:rPr>
          <w:lang w:val="pt-BR"/>
        </w:rPr>
        <w:t xml:space="preserve"> de </w:t>
      </w:r>
      <w:proofErr w:type="spellStart"/>
      <w:r w:rsidRPr="002F5847">
        <w:rPr>
          <w:lang w:val="pt-BR"/>
        </w:rPr>
        <w:t>las</w:t>
      </w:r>
      <w:proofErr w:type="spellEnd"/>
      <w:r w:rsidRPr="002F5847">
        <w:rPr>
          <w:lang w:val="pt-BR"/>
        </w:rPr>
        <w:t xml:space="preserve"> </w:t>
      </w:r>
      <w:proofErr w:type="gramStart"/>
      <w:r w:rsidRPr="002F5847">
        <w:rPr>
          <w:lang w:val="pt-BR"/>
        </w:rPr>
        <w:t>aguas</w:t>
      </w:r>
      <w:proofErr w:type="gramEnd"/>
      <w:r w:rsidRPr="002F5847">
        <w:rPr>
          <w:lang w:val="pt-BR"/>
        </w:rPr>
        <w:t xml:space="preserve"> de </w:t>
      </w:r>
      <w:proofErr w:type="spellStart"/>
      <w:r w:rsidRPr="002F5847">
        <w:rPr>
          <w:lang w:val="pt-BR"/>
        </w:rPr>
        <w:t>los</w:t>
      </w:r>
      <w:proofErr w:type="spellEnd"/>
      <w:r w:rsidRPr="002F5847">
        <w:rPr>
          <w:lang w:val="pt-BR"/>
        </w:rPr>
        <w:t xml:space="preserve"> </w:t>
      </w:r>
      <w:proofErr w:type="spellStart"/>
      <w:r w:rsidRPr="002F5847">
        <w:rPr>
          <w:lang w:val="pt-BR"/>
        </w:rPr>
        <w:t>ríos</w:t>
      </w:r>
      <w:proofErr w:type="spellEnd"/>
      <w:r w:rsidRPr="002F5847">
        <w:rPr>
          <w:lang w:val="pt-BR"/>
        </w:rPr>
        <w:t xml:space="preserve">. In: IV </w:t>
      </w:r>
      <w:proofErr w:type="spellStart"/>
      <w:r w:rsidRPr="002F5847">
        <w:rPr>
          <w:lang w:val="pt-BR"/>
        </w:rPr>
        <w:t>Simposio</w:t>
      </w:r>
      <w:proofErr w:type="spellEnd"/>
      <w:r w:rsidRPr="002F5847">
        <w:rPr>
          <w:lang w:val="pt-BR"/>
        </w:rPr>
        <w:t xml:space="preserve"> </w:t>
      </w:r>
      <w:proofErr w:type="spellStart"/>
      <w:r w:rsidRPr="002F5847">
        <w:rPr>
          <w:lang w:val="pt-BR"/>
        </w:rPr>
        <w:t>del</w:t>
      </w:r>
      <w:proofErr w:type="spellEnd"/>
      <w:r w:rsidRPr="002F5847">
        <w:rPr>
          <w:lang w:val="pt-BR"/>
        </w:rPr>
        <w:t xml:space="preserve"> </w:t>
      </w:r>
      <w:proofErr w:type="gramStart"/>
      <w:r w:rsidRPr="002F5847">
        <w:rPr>
          <w:lang w:val="pt-BR"/>
        </w:rPr>
        <w:t>agua</w:t>
      </w:r>
      <w:proofErr w:type="gramEnd"/>
      <w:r w:rsidRPr="002F5847">
        <w:rPr>
          <w:lang w:val="pt-BR"/>
        </w:rPr>
        <w:t xml:space="preserve"> </w:t>
      </w:r>
      <w:proofErr w:type="spellStart"/>
      <w:r w:rsidRPr="002F5847">
        <w:rPr>
          <w:lang w:val="pt-BR"/>
        </w:rPr>
        <w:t>en</w:t>
      </w:r>
      <w:proofErr w:type="spellEnd"/>
      <w:r w:rsidRPr="002F5847">
        <w:rPr>
          <w:lang w:val="pt-BR"/>
        </w:rPr>
        <w:t xml:space="preserve"> </w:t>
      </w:r>
      <w:proofErr w:type="spellStart"/>
      <w:r w:rsidRPr="002F5847">
        <w:rPr>
          <w:lang w:val="pt-BR"/>
        </w:rPr>
        <w:t>Andalucía</w:t>
      </w:r>
      <w:proofErr w:type="spellEnd"/>
      <w:r w:rsidRPr="002F5847">
        <w:rPr>
          <w:lang w:val="pt-BR"/>
        </w:rPr>
        <w:t xml:space="preserve"> (SIAGA). Almería. 1996. p. 203-213.</w:t>
      </w:r>
    </w:p>
    <w:p w14:paraId="24F58FF9" w14:textId="77777777" w:rsidR="002F5847" w:rsidRPr="002F5847" w:rsidRDefault="002F5847" w:rsidP="002F5847">
      <w:pPr>
        <w:spacing w:line="360" w:lineRule="auto"/>
        <w:ind w:left="0" w:hanging="2"/>
        <w:rPr>
          <w:lang w:val="pt-BR"/>
        </w:rPr>
      </w:pPr>
      <w:r w:rsidRPr="002F5847">
        <w:rPr>
          <w:lang w:val="pt-BR"/>
        </w:rPr>
        <w:t xml:space="preserve">BUSS, Daniel </w:t>
      </w:r>
      <w:proofErr w:type="spellStart"/>
      <w:r w:rsidRPr="002F5847">
        <w:rPr>
          <w:lang w:val="pt-BR"/>
        </w:rPr>
        <w:t>Forsim</w:t>
      </w:r>
      <w:proofErr w:type="spellEnd"/>
      <w:r w:rsidRPr="002F5847">
        <w:rPr>
          <w:lang w:val="pt-BR"/>
        </w:rPr>
        <w:t xml:space="preserve">; BAPTISTA, </w:t>
      </w:r>
      <w:proofErr w:type="spellStart"/>
      <w:r w:rsidRPr="002F5847">
        <w:rPr>
          <w:lang w:val="pt-BR"/>
        </w:rPr>
        <w:t>Darcilio</w:t>
      </w:r>
      <w:proofErr w:type="spellEnd"/>
      <w:r w:rsidRPr="002F5847">
        <w:rPr>
          <w:lang w:val="pt-BR"/>
        </w:rPr>
        <w:t xml:space="preserve"> Fernandes; NESSIMIAN, Jorge Luiz. </w:t>
      </w:r>
      <w:r w:rsidRPr="002F5847">
        <w:rPr>
          <w:b/>
          <w:bCs/>
          <w:lang w:val="pt-BR"/>
        </w:rPr>
        <w:t xml:space="preserve">Bases Conceituais para a aplicação de </w:t>
      </w:r>
      <w:proofErr w:type="spellStart"/>
      <w:r w:rsidRPr="002F5847">
        <w:rPr>
          <w:b/>
          <w:bCs/>
          <w:lang w:val="pt-BR"/>
        </w:rPr>
        <w:t>biomonitoramento</w:t>
      </w:r>
      <w:proofErr w:type="spellEnd"/>
      <w:r w:rsidRPr="002F5847">
        <w:rPr>
          <w:b/>
          <w:bCs/>
          <w:lang w:val="pt-BR"/>
        </w:rPr>
        <w:t xml:space="preserve"> em programas de avaliação da qualidade da água de rios</w:t>
      </w:r>
      <w:r w:rsidRPr="002F5847">
        <w:rPr>
          <w:lang w:val="pt-BR"/>
        </w:rPr>
        <w:t>. Cad. Saúde pública, Rio de Janeiro, p.465-473,2003.</w:t>
      </w:r>
    </w:p>
    <w:p w14:paraId="11BDE067" w14:textId="77777777" w:rsidR="002F5847" w:rsidRPr="002F5847" w:rsidRDefault="002F5847" w:rsidP="002F5847">
      <w:pPr>
        <w:spacing w:line="360" w:lineRule="auto"/>
        <w:ind w:left="0" w:hanging="2"/>
        <w:rPr>
          <w:lang w:val="pt-BR"/>
        </w:rPr>
      </w:pPr>
      <w:r w:rsidRPr="002F5847">
        <w:rPr>
          <w:lang w:val="pt-BR"/>
        </w:rPr>
        <w:t xml:space="preserve">CALLISTO, M.; GONÇALVES, J. A vida nas águas das montanhas. </w:t>
      </w:r>
      <w:r w:rsidRPr="002F5847">
        <w:rPr>
          <w:b/>
          <w:bCs/>
          <w:lang w:val="pt-BR"/>
        </w:rPr>
        <w:t>Ciência Hoje</w:t>
      </w:r>
      <w:r w:rsidRPr="002F5847">
        <w:rPr>
          <w:lang w:val="pt-BR"/>
        </w:rPr>
        <w:t>, v. 31, n. 182, p. 68-71, 2002.</w:t>
      </w:r>
    </w:p>
    <w:p w14:paraId="5AC38064" w14:textId="77777777" w:rsidR="002F5847" w:rsidRPr="002F5847" w:rsidRDefault="002F5847" w:rsidP="002F5847">
      <w:pPr>
        <w:spacing w:line="360" w:lineRule="auto"/>
        <w:ind w:left="0" w:hanging="2"/>
        <w:rPr>
          <w:lang w:val="pt-BR"/>
        </w:rPr>
      </w:pPr>
      <w:r w:rsidRPr="002F5847">
        <w:rPr>
          <w:lang w:val="pt-BR"/>
        </w:rPr>
        <w:t xml:space="preserve">CALLISTO, Marcos; GONÇALVES JR., José Francisco; MORENO, Pablo. Invertebrados aquáticos como bioindicadores. </w:t>
      </w:r>
      <w:r w:rsidRPr="002F5847">
        <w:rPr>
          <w:b/>
          <w:bCs/>
          <w:lang w:val="pt-BR"/>
        </w:rPr>
        <w:t>Navegando o Rio das Velhas das Minas aos Gerais</w:t>
      </w:r>
      <w:r w:rsidRPr="002F5847">
        <w:rPr>
          <w:lang w:val="pt-BR"/>
        </w:rPr>
        <w:t>, v. 1, p. 1-12, 2005.</w:t>
      </w:r>
    </w:p>
    <w:p w14:paraId="24BC664D" w14:textId="77777777" w:rsidR="00FF7D17" w:rsidRPr="002F5847" w:rsidRDefault="00FF7D17" w:rsidP="00FF7D17">
      <w:pPr>
        <w:spacing w:line="360" w:lineRule="auto"/>
        <w:ind w:left="0" w:hanging="2"/>
        <w:rPr>
          <w:lang w:val="pt-BR"/>
        </w:rPr>
      </w:pPr>
      <w:bookmarkStart w:id="5" w:name="_Hlk149931889"/>
      <w:r w:rsidRPr="002F5847">
        <w:rPr>
          <w:lang w:val="pt-BR"/>
        </w:rPr>
        <w:t xml:space="preserve">CALLISTO, Marcos et al. </w:t>
      </w:r>
      <w:proofErr w:type="spellStart"/>
      <w:r w:rsidRPr="002F5847">
        <w:rPr>
          <w:lang w:val="pt-BR"/>
        </w:rPr>
        <w:t>Macroinvertebrados</w:t>
      </w:r>
      <w:proofErr w:type="spellEnd"/>
      <w:r w:rsidRPr="002F5847">
        <w:rPr>
          <w:lang w:val="pt-BR"/>
        </w:rPr>
        <w:t xml:space="preserve"> bentônicos como ferramenta para avaliar a saúde de riachos. </w:t>
      </w:r>
      <w:r w:rsidRPr="002F5847">
        <w:rPr>
          <w:b/>
          <w:bCs/>
          <w:lang w:val="pt-BR"/>
        </w:rPr>
        <w:t>Revista Brasileira de Recursos Hídricos</w:t>
      </w:r>
      <w:r w:rsidRPr="002F5847">
        <w:rPr>
          <w:lang w:val="pt-BR"/>
        </w:rPr>
        <w:t>, v. 6, n. 1, p. 71-82, 2001.</w:t>
      </w:r>
    </w:p>
    <w:bookmarkEnd w:id="5"/>
    <w:p w14:paraId="187292CA" w14:textId="77777777" w:rsidR="00FF7D17" w:rsidRPr="00936133" w:rsidRDefault="00FF7D17" w:rsidP="00FF7D17">
      <w:pPr>
        <w:spacing w:line="360" w:lineRule="auto"/>
        <w:ind w:left="0" w:hanging="2"/>
      </w:pPr>
      <w:r w:rsidRPr="00936133">
        <w:lastRenderedPageBreak/>
        <w:t xml:space="preserve">COLWELL, R. K., &amp; CODDINGTON, J. A. (1994). Estimating Terrestrial Biodiversity through Extrapolation. </w:t>
      </w:r>
      <w:r w:rsidRPr="00936133">
        <w:rPr>
          <w:b/>
          <w:bCs/>
        </w:rPr>
        <w:t>Philosophical Transactions: Biological Sciences</w:t>
      </w:r>
      <w:r w:rsidRPr="00936133">
        <w:t>, 345(1311), 19-22.</w:t>
      </w:r>
    </w:p>
    <w:p w14:paraId="4EF869EE" w14:textId="77777777" w:rsidR="00FF7D17" w:rsidRDefault="00FF7D17" w:rsidP="00FF7D17">
      <w:pPr>
        <w:spacing w:line="360" w:lineRule="auto"/>
        <w:ind w:left="0" w:hanging="2"/>
        <w:rPr>
          <w:lang w:val="pt-BR"/>
        </w:rPr>
      </w:pPr>
      <w:r w:rsidRPr="002F5847">
        <w:rPr>
          <w:lang w:val="pt-BR"/>
        </w:rPr>
        <w:t xml:space="preserve">GOULART, M.D. &amp; CALLISTO, M. Bioindicadores de qualidade de água como ferramenta em estudos de impacto ambiental. </w:t>
      </w:r>
      <w:r w:rsidRPr="002F5847">
        <w:rPr>
          <w:b/>
          <w:bCs/>
          <w:lang w:val="pt-BR"/>
        </w:rPr>
        <w:t>Revista FAPAM</w:t>
      </w:r>
      <w:r w:rsidRPr="002F5847">
        <w:rPr>
          <w:lang w:val="pt-BR"/>
        </w:rPr>
        <w:t>, p.1-9, 2003.</w:t>
      </w:r>
    </w:p>
    <w:p w14:paraId="3D74A1ED" w14:textId="77777777" w:rsidR="00FF7D17" w:rsidRPr="00936133" w:rsidRDefault="00FF7D17" w:rsidP="00FF7D17">
      <w:pPr>
        <w:spacing w:line="360" w:lineRule="auto"/>
        <w:ind w:left="0" w:hanging="2"/>
      </w:pPr>
      <w:r w:rsidRPr="00936133">
        <w:t xml:space="preserve">HAMADA, N.; THORP, J.H.; ROGERS, D.C. </w:t>
      </w:r>
      <w:r w:rsidRPr="00936133">
        <w:rPr>
          <w:b/>
        </w:rPr>
        <w:t xml:space="preserve">Thorp and Covich's Freshwater Invertebrates. Volume 3: Keys to Neotropical </w:t>
      </w:r>
      <w:proofErr w:type="spellStart"/>
      <w:r w:rsidRPr="00936133">
        <w:rPr>
          <w:b/>
        </w:rPr>
        <w:t>Hexapoda</w:t>
      </w:r>
      <w:proofErr w:type="spellEnd"/>
      <w:r w:rsidRPr="00936133">
        <w:t xml:space="preserve">. 4ª ed, 2019. </w:t>
      </w:r>
    </w:p>
    <w:p w14:paraId="709F4EA2" w14:textId="77777777" w:rsidR="00FF7D17" w:rsidRDefault="00FF7D17" w:rsidP="00FF7D17">
      <w:pPr>
        <w:spacing w:line="360" w:lineRule="auto"/>
        <w:ind w:left="0" w:hanging="2"/>
      </w:pPr>
      <w:r w:rsidRPr="00936133">
        <w:t xml:space="preserve">LEGENDRE, P. and LEGENDRE, L. 2012. </w:t>
      </w:r>
      <w:r w:rsidRPr="00936133">
        <w:rPr>
          <w:b/>
          <w:bCs/>
        </w:rPr>
        <w:t>Numerical ecology</w:t>
      </w:r>
      <w:r w:rsidRPr="00936133">
        <w:t>. - Elsevier.</w:t>
      </w:r>
    </w:p>
    <w:p w14:paraId="72AAFCAA" w14:textId="77777777" w:rsidR="002F5847" w:rsidRPr="002F5847" w:rsidRDefault="002F5847" w:rsidP="002F5847">
      <w:pPr>
        <w:spacing w:line="360" w:lineRule="auto"/>
        <w:ind w:left="0" w:hanging="2"/>
      </w:pPr>
      <w:r w:rsidRPr="002F5847">
        <w:t xml:space="preserve">LENAT, David R.; BARBOUR, Michael T. Using benthic macroinvertebrate community structure for rapid, cost-effective, water quality monitoring: rapid bioassessment. </w:t>
      </w:r>
      <w:r w:rsidRPr="002F5847">
        <w:rPr>
          <w:b/>
          <w:bCs/>
        </w:rPr>
        <w:t>Biological monitoring of aquatic systems</w:t>
      </w:r>
      <w:r w:rsidRPr="002F5847">
        <w:t>. Lewis Publishers, Boca Raton, Florida, p. 187-215, 1994.</w:t>
      </w:r>
    </w:p>
    <w:p w14:paraId="63530A43" w14:textId="77777777" w:rsidR="00936133" w:rsidRPr="00936133" w:rsidRDefault="00936133" w:rsidP="00936133">
      <w:pPr>
        <w:spacing w:line="360" w:lineRule="auto"/>
        <w:ind w:left="0" w:hanging="2"/>
      </w:pPr>
      <w:r w:rsidRPr="00936133">
        <w:rPr>
          <w:lang w:val="pt-BR"/>
        </w:rPr>
        <w:t xml:space="preserve">MOSER, A. S.; KATAOKA, A. M.; SURIANI-AFFONSO, A. L. </w:t>
      </w:r>
      <w:r w:rsidRPr="00936133">
        <w:rPr>
          <w:b/>
          <w:bCs/>
          <w:lang w:val="pt-BR"/>
        </w:rPr>
        <w:t xml:space="preserve">Guia prático para estudos dos </w:t>
      </w:r>
      <w:proofErr w:type="spellStart"/>
      <w:r w:rsidRPr="00936133">
        <w:rPr>
          <w:b/>
          <w:bCs/>
          <w:lang w:val="pt-BR"/>
        </w:rPr>
        <w:t>macroinvertebrados</w:t>
      </w:r>
      <w:proofErr w:type="spellEnd"/>
      <w:r w:rsidRPr="00936133">
        <w:rPr>
          <w:b/>
          <w:bCs/>
          <w:lang w:val="pt-BR"/>
        </w:rPr>
        <w:t xml:space="preserve"> aquáticos da região de Guarapuava-PR</w:t>
      </w:r>
      <w:r w:rsidRPr="00936133">
        <w:rPr>
          <w:lang w:val="pt-BR"/>
        </w:rPr>
        <w:t xml:space="preserve">. </w:t>
      </w:r>
      <w:r w:rsidRPr="00936133">
        <w:t xml:space="preserve">1. ed. </w:t>
      </w:r>
      <w:proofErr w:type="spellStart"/>
      <w:r w:rsidRPr="00936133">
        <w:t>Guarapuava</w:t>
      </w:r>
      <w:proofErr w:type="spellEnd"/>
      <w:r w:rsidRPr="00936133">
        <w:t xml:space="preserve">: </w:t>
      </w:r>
      <w:proofErr w:type="spellStart"/>
      <w:r w:rsidRPr="00936133">
        <w:t>Independente</w:t>
      </w:r>
      <w:proofErr w:type="spellEnd"/>
      <w:r w:rsidRPr="00936133">
        <w:t xml:space="preserve">, 2018. v. 1. 78p. </w:t>
      </w:r>
    </w:p>
    <w:p w14:paraId="77F140CB" w14:textId="77777777" w:rsidR="00936133" w:rsidRPr="00936133" w:rsidRDefault="00936133" w:rsidP="00936133">
      <w:pPr>
        <w:spacing w:line="360" w:lineRule="auto"/>
        <w:ind w:left="0" w:hanging="2"/>
      </w:pPr>
      <w:r w:rsidRPr="00936133">
        <w:rPr>
          <w:lang w:val="pt-BR"/>
        </w:rPr>
        <w:t xml:space="preserve">NESSIMIAN, J.L.; VENTICINQUE, E </w:t>
      </w:r>
      <w:proofErr w:type="spellStart"/>
      <w:r w:rsidRPr="00936133">
        <w:rPr>
          <w:lang w:val="pt-BR"/>
        </w:rPr>
        <w:t>Zuanon</w:t>
      </w:r>
      <w:proofErr w:type="spellEnd"/>
      <w:r w:rsidRPr="00936133">
        <w:rPr>
          <w:lang w:val="pt-BR"/>
        </w:rPr>
        <w:t xml:space="preserve"> J et al. </w:t>
      </w:r>
      <w:r w:rsidRPr="00936133">
        <w:t xml:space="preserve">Land use, habitat integrity, and aquatic insect assemblages in Central Amazonian streams. </w:t>
      </w:r>
      <w:proofErr w:type="spellStart"/>
      <w:r w:rsidRPr="00936133">
        <w:t>Hydrobiologia</w:t>
      </w:r>
      <w:proofErr w:type="spellEnd"/>
      <w:r w:rsidRPr="00936133">
        <w:t xml:space="preserve"> 614:117-131, 2008.</w:t>
      </w:r>
    </w:p>
    <w:p w14:paraId="0B422C0E" w14:textId="77777777" w:rsidR="00FF7D17" w:rsidRPr="00936133" w:rsidRDefault="00FF7D17" w:rsidP="00FF7D17">
      <w:pPr>
        <w:spacing w:line="360" w:lineRule="auto"/>
        <w:ind w:left="0" w:hanging="2"/>
      </w:pPr>
      <w:r w:rsidRPr="00936133">
        <w:t xml:space="preserve">OKSANEN, A. J., BLANCHET, F. G., FRIENDLY, M., KINDT, R., LEGENDRE, P., MCGLINN, D., … WAGNER, H. (2018). </w:t>
      </w:r>
      <w:r w:rsidRPr="00936133">
        <w:rPr>
          <w:b/>
          <w:bCs/>
        </w:rPr>
        <w:t xml:space="preserve">Package </w:t>
      </w:r>
      <w:proofErr w:type="spellStart"/>
      <w:r w:rsidRPr="00936133">
        <w:rPr>
          <w:b/>
          <w:bCs/>
        </w:rPr>
        <w:t>â€TM</w:t>
      </w:r>
      <w:proofErr w:type="spellEnd"/>
      <w:r w:rsidRPr="00936133">
        <w:rPr>
          <w:b/>
          <w:bCs/>
        </w:rPr>
        <w:t xml:space="preserve"> vegan</w:t>
      </w:r>
      <w:r w:rsidRPr="00936133">
        <w:t>’. https://doi.org/ISBN 0-387-95457-0</w:t>
      </w:r>
    </w:p>
    <w:p w14:paraId="06DD79B2" w14:textId="77777777" w:rsidR="00936133" w:rsidRPr="00936133" w:rsidRDefault="00936133" w:rsidP="00936133">
      <w:pPr>
        <w:spacing w:line="360" w:lineRule="auto"/>
        <w:ind w:left="0" w:hanging="2"/>
      </w:pPr>
      <w:r w:rsidRPr="00936133">
        <w:t xml:space="preserve">R CORE TEAM, (2022). R: </w:t>
      </w:r>
      <w:r w:rsidRPr="00936133">
        <w:rPr>
          <w:b/>
          <w:bCs/>
        </w:rPr>
        <w:t>A Language and Environment for Statistical Computing</w:t>
      </w:r>
      <w:r w:rsidRPr="00936133">
        <w:t>. Vienna, Austria. R Foundation for Statistical Computing. http://www.R-project.org</w:t>
      </w:r>
    </w:p>
    <w:p w14:paraId="2FCD37A2" w14:textId="77777777" w:rsidR="00936133" w:rsidRPr="00936133" w:rsidRDefault="00936133" w:rsidP="00936133">
      <w:pPr>
        <w:spacing w:line="360" w:lineRule="auto"/>
        <w:ind w:left="0" w:hanging="2"/>
        <w:rPr>
          <w:lang w:val="pt-BR"/>
        </w:rPr>
      </w:pPr>
      <w:r w:rsidRPr="00936133">
        <w:rPr>
          <w:lang w:val="pt-BR"/>
        </w:rPr>
        <w:t xml:space="preserve">RODRIGUES, William Costa. 2004. Fatores que Influenciam no Desenvolvimento dos Insetos. </w:t>
      </w:r>
      <w:r w:rsidRPr="00936133">
        <w:rPr>
          <w:b/>
          <w:bCs/>
          <w:lang w:val="pt-BR"/>
        </w:rPr>
        <w:t>Info Insetos</w:t>
      </w:r>
      <w:r w:rsidRPr="00936133">
        <w:rPr>
          <w:lang w:val="pt-BR"/>
        </w:rPr>
        <w:t>, v. 1, n. 4, p. 1-4.</w:t>
      </w:r>
    </w:p>
    <w:p w14:paraId="25BD014C" w14:textId="77777777" w:rsidR="00FF7D17" w:rsidRPr="00FF7D17" w:rsidRDefault="00FF7D17" w:rsidP="00FF7D17">
      <w:pPr>
        <w:spacing w:line="360" w:lineRule="auto"/>
        <w:ind w:left="0" w:hanging="2"/>
        <w:rPr>
          <w:lang w:val="pt-BR"/>
        </w:rPr>
      </w:pPr>
      <w:r w:rsidRPr="00FF7D17">
        <w:rPr>
          <w:lang w:val="pt-BR"/>
        </w:rPr>
        <w:t xml:space="preserve">SONODA, K. C. Comunidades de insetos aquáticos em dois trechos do Córrego Sarandi, Distrito Federal. </w:t>
      </w:r>
      <w:r w:rsidRPr="00FF7D17">
        <w:rPr>
          <w:b/>
          <w:bCs/>
          <w:lang w:val="pt-BR"/>
        </w:rPr>
        <w:t>Embrapa Cerrados</w:t>
      </w:r>
      <w:r w:rsidRPr="00FF7D17">
        <w:rPr>
          <w:lang w:val="pt-BR"/>
        </w:rPr>
        <w:t>. 2010.</w:t>
      </w:r>
    </w:p>
    <w:p w14:paraId="78C62E1D" w14:textId="0ABE4A17" w:rsidR="00FF7D17" w:rsidRDefault="00FF7D17" w:rsidP="00FF7D17">
      <w:pPr>
        <w:spacing w:line="360" w:lineRule="auto"/>
        <w:ind w:left="0" w:hanging="2"/>
        <w:rPr>
          <w:lang w:val="pt-BR"/>
        </w:rPr>
      </w:pPr>
      <w:r w:rsidRPr="00936133">
        <w:t xml:space="preserve">WICKHAM, H. (2016). Ggplot2: Elegant graphics for data analysis (2nd ed.) </w:t>
      </w:r>
      <w:r w:rsidRPr="00936133">
        <w:rPr>
          <w:lang w:val="pt-BR"/>
        </w:rPr>
        <w:t xml:space="preserve">[PDF]. </w:t>
      </w:r>
      <w:r w:rsidRPr="00936133">
        <w:rPr>
          <w:b/>
          <w:bCs/>
          <w:lang w:val="pt-BR"/>
        </w:rPr>
        <w:t xml:space="preserve">Springer </w:t>
      </w:r>
      <w:proofErr w:type="spellStart"/>
      <w:r w:rsidRPr="00936133">
        <w:rPr>
          <w:b/>
          <w:bCs/>
          <w:lang w:val="pt-BR"/>
        </w:rPr>
        <w:t>International</w:t>
      </w:r>
      <w:proofErr w:type="spellEnd"/>
      <w:r w:rsidRPr="00936133">
        <w:rPr>
          <w:b/>
          <w:bCs/>
          <w:lang w:val="pt-BR"/>
        </w:rPr>
        <w:t xml:space="preserve"> </w:t>
      </w:r>
      <w:proofErr w:type="spellStart"/>
      <w:r w:rsidRPr="00936133">
        <w:rPr>
          <w:b/>
          <w:bCs/>
          <w:lang w:val="pt-BR"/>
        </w:rPr>
        <w:t>Publishing</w:t>
      </w:r>
      <w:proofErr w:type="spellEnd"/>
      <w:r>
        <w:rPr>
          <w:b/>
          <w:bCs/>
          <w:lang w:val="pt-BR"/>
        </w:rPr>
        <w:t>.</w:t>
      </w:r>
    </w:p>
    <w:p w14:paraId="600E3B01" w14:textId="31FDF0C7" w:rsidR="00936133" w:rsidRPr="00936133" w:rsidRDefault="00936133" w:rsidP="00936133">
      <w:pPr>
        <w:spacing w:line="360" w:lineRule="auto"/>
        <w:ind w:left="0" w:hanging="2"/>
        <w:sectPr w:rsidR="00936133" w:rsidRPr="00936133" w:rsidSect="00234ED4">
          <w:footnotePr>
            <w:pos w:val="beneathText"/>
          </w:footnotePr>
          <w:pgSz w:w="11905" w:h="16837"/>
          <w:pgMar w:top="1134" w:right="1134" w:bottom="1134" w:left="1134" w:header="720" w:footer="287" w:gutter="0"/>
          <w:cols w:space="720"/>
          <w:docGrid w:linePitch="360"/>
        </w:sectPr>
      </w:pPr>
    </w:p>
    <w:p w14:paraId="02B4394E" w14:textId="77777777" w:rsidR="00B27525" w:rsidRPr="00936133" w:rsidRDefault="00B27525" w:rsidP="00FF7D17">
      <w:pPr>
        <w:spacing w:line="360" w:lineRule="auto"/>
        <w:ind w:leftChars="0" w:left="0" w:firstLineChars="0" w:firstLine="0"/>
      </w:pPr>
    </w:p>
    <w:p w14:paraId="57072480" w14:textId="77777777" w:rsidR="00B27525" w:rsidRDefault="00AB0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color w:val="000000"/>
          <w:sz w:val="44"/>
          <w:szCs w:val="44"/>
        </w:rPr>
      </w:pPr>
      <w:proofErr w:type="spellStart"/>
      <w:r>
        <w:rPr>
          <w:color w:val="000000"/>
          <w:sz w:val="44"/>
          <w:szCs w:val="44"/>
        </w:rPr>
        <w:t>Agradecimentos</w:t>
      </w:r>
      <w:proofErr w:type="spellEnd"/>
    </w:p>
    <w:p w14:paraId="2DD13622" w14:textId="0D775BD9" w:rsidR="00B27525" w:rsidRDefault="00AB0E2A">
      <w:pPr>
        <w:spacing w:after="0" w:line="360" w:lineRule="auto"/>
        <w:ind w:left="0" w:hanging="2"/>
        <w:rPr>
          <w:color w:val="222222"/>
          <w:lang w:val="pt-BR"/>
        </w:rPr>
      </w:pPr>
      <w:r w:rsidRPr="006444D9">
        <w:rPr>
          <w:color w:val="222222"/>
          <w:highlight w:val="white"/>
          <w:lang w:val="pt-BR"/>
        </w:rPr>
        <w:t>O presente trabalho foi realizado com o apoio do Conselho Nacional de Desenvolvimento Científico e Tecnológico – CNPq – Brasil</w:t>
      </w:r>
      <w:r w:rsidR="00B6271A">
        <w:rPr>
          <w:color w:val="222222"/>
          <w:lang w:val="pt-BR"/>
        </w:rPr>
        <w:t>.</w:t>
      </w:r>
    </w:p>
    <w:p w14:paraId="21543565" w14:textId="14E72A4C" w:rsidR="00FF7D17" w:rsidRPr="006444D9" w:rsidRDefault="00660499" w:rsidP="00660499">
      <w:pPr>
        <w:spacing w:after="0" w:line="360" w:lineRule="auto"/>
        <w:ind w:left="0" w:hanging="2"/>
        <w:rPr>
          <w:lang w:val="pt-BR"/>
        </w:rPr>
      </w:pPr>
      <w:r w:rsidRPr="00660499">
        <w:rPr>
          <w:lang w:val="pt-BR"/>
        </w:rPr>
        <w:t>À Universidade Federal do Norte Tocantins, pelo apoio e por disponibilizar suas dependências para a realização das atividades laboratoriais</w:t>
      </w:r>
      <w:r>
        <w:rPr>
          <w:lang w:val="pt-BR"/>
        </w:rPr>
        <w:t>;</w:t>
      </w:r>
    </w:p>
    <w:p w14:paraId="55136E8C" w14:textId="318F3024" w:rsidR="00660499" w:rsidRPr="00660499" w:rsidRDefault="00660499" w:rsidP="00660499">
      <w:pPr>
        <w:spacing w:after="0" w:line="360" w:lineRule="auto"/>
        <w:ind w:left="0" w:hanging="2"/>
        <w:rPr>
          <w:lang w:val="pt-BR"/>
        </w:rPr>
      </w:pPr>
      <w:r w:rsidRPr="00660499">
        <w:rPr>
          <w:lang w:val="pt-BR"/>
        </w:rPr>
        <w:t>À professora orientadora Dra. Silvia Leitão Dutra, pelo incentivo e por ter se dedicado a orientar este trabalho</w:t>
      </w:r>
      <w:r>
        <w:rPr>
          <w:lang w:val="pt-BR"/>
        </w:rPr>
        <w:t>.</w:t>
      </w:r>
    </w:p>
    <w:p w14:paraId="4E168F97" w14:textId="77777777" w:rsidR="00B27525" w:rsidRPr="006444D9" w:rsidRDefault="00B27525">
      <w:pPr>
        <w:ind w:left="0" w:hanging="2"/>
        <w:rPr>
          <w:lang w:val="pt-BR"/>
        </w:rPr>
      </w:pPr>
    </w:p>
    <w:p w14:paraId="528F7A82" w14:textId="77777777" w:rsidR="00B27525" w:rsidRPr="006444D9" w:rsidRDefault="00B27525">
      <w:pPr>
        <w:ind w:left="0" w:hanging="2"/>
        <w:rPr>
          <w:lang w:val="pt-BR"/>
        </w:rPr>
      </w:pPr>
    </w:p>
    <w:p w14:paraId="655BA138" w14:textId="77777777" w:rsidR="00B27525" w:rsidRPr="006444D9" w:rsidRDefault="00B27525">
      <w:pPr>
        <w:spacing w:line="360" w:lineRule="auto"/>
        <w:ind w:left="0" w:hanging="2"/>
        <w:rPr>
          <w:color w:val="FF0000"/>
          <w:lang w:val="pt-BR"/>
        </w:rPr>
      </w:pPr>
    </w:p>
    <w:p w14:paraId="0744D2F0" w14:textId="77777777" w:rsidR="00B27525" w:rsidRPr="006444D9" w:rsidRDefault="00B27525">
      <w:pPr>
        <w:spacing w:line="360" w:lineRule="auto"/>
        <w:ind w:left="0" w:hanging="2"/>
        <w:rPr>
          <w:lang w:val="pt-BR"/>
        </w:rPr>
      </w:pPr>
    </w:p>
    <w:p w14:paraId="765D02BF" w14:textId="77777777" w:rsidR="00B27525" w:rsidRPr="006444D9" w:rsidRDefault="00B27525">
      <w:pPr>
        <w:spacing w:after="0" w:line="360" w:lineRule="auto"/>
        <w:ind w:left="0" w:hanging="2"/>
        <w:rPr>
          <w:sz w:val="24"/>
          <w:szCs w:val="24"/>
          <w:lang w:val="pt-BR"/>
        </w:rPr>
      </w:pPr>
    </w:p>
    <w:sectPr w:rsidR="00B27525" w:rsidRPr="006444D9">
      <w:footerReference w:type="default" r:id="rId20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1ACC" w14:textId="77777777" w:rsidR="00BA0B57" w:rsidRDefault="00BA0B57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01B011D4" w14:textId="77777777" w:rsidR="00BA0B57" w:rsidRDefault="00BA0B57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2AB3" w14:textId="77777777" w:rsidR="00AE217C" w:rsidRDefault="00AE217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0B13" w14:textId="77777777" w:rsidR="00B27525" w:rsidRDefault="00B275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5CF0D4A9" w14:textId="77777777" w:rsidR="00B27525" w:rsidRDefault="00B275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25D" w14:textId="77777777" w:rsidR="00AE217C" w:rsidRDefault="00AE217C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1504" w14:textId="77777777" w:rsidR="00B27525" w:rsidRDefault="00AB0E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4E41A95" w14:textId="77777777" w:rsidR="00B27525" w:rsidRDefault="00B2752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ED18" w14:textId="77777777" w:rsidR="00BA0B57" w:rsidRDefault="00BA0B57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354F8BDF" w14:textId="77777777" w:rsidR="00BA0B57" w:rsidRDefault="00BA0B57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8D1F" w14:textId="77777777" w:rsidR="00AE217C" w:rsidRDefault="00AE217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3EFB" w14:textId="77777777" w:rsidR="00B27525" w:rsidRDefault="00AB0E2A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1110"/>
      </w:tabs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5D49EA" wp14:editId="12E96B94">
          <wp:simplePos x="0" y="0"/>
          <wp:positionH relativeFrom="column">
            <wp:posOffset>-209549</wp:posOffset>
          </wp:positionH>
          <wp:positionV relativeFrom="paragraph">
            <wp:posOffset>-247649</wp:posOffset>
          </wp:positionV>
          <wp:extent cx="5595692" cy="18716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5692" cy="1871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630B2F" w14:textId="77777777" w:rsidR="00B27525" w:rsidRDefault="00AB0E2A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1" w:hanging="3"/>
      <w:jc w:val="left"/>
      <w:rPr>
        <w:color w:val="000000"/>
        <w:sz w:val="36"/>
        <w:szCs w:val="36"/>
      </w:rPr>
    </w:pPr>
    <w:r>
      <w:rPr>
        <w:b/>
        <w:color w:val="000000"/>
        <w:sz w:val="28"/>
        <w:szCs w:val="28"/>
      </w:rPr>
      <w:tab/>
    </w:r>
  </w:p>
  <w:p w14:paraId="74B0E868" w14:textId="77777777" w:rsidR="00B27525" w:rsidRDefault="00B27525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spacing w:line="240" w:lineRule="auto"/>
      <w:ind w:left="0" w:hanging="2"/>
      <w:jc w:val="center"/>
      <w:rPr>
        <w:color w:val="000000"/>
      </w:rPr>
    </w:pPr>
  </w:p>
  <w:p w14:paraId="41D0D1EC" w14:textId="77777777" w:rsidR="00B27525" w:rsidRDefault="00AB0E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DF86" w14:textId="77777777" w:rsidR="00AE217C" w:rsidRDefault="00AE217C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9A67" w14:textId="77777777" w:rsidR="00B27525" w:rsidRDefault="00B27525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A57"/>
    <w:multiLevelType w:val="multilevel"/>
    <w:tmpl w:val="FFFFFFFF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4C9647F"/>
    <w:multiLevelType w:val="multilevel"/>
    <w:tmpl w:val="FFFFFFFF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2923587">
    <w:abstractNumId w:val="0"/>
  </w:num>
  <w:num w:numId="2" w16cid:durableId="518592330">
    <w:abstractNumId w:val="1"/>
  </w:num>
  <w:num w:numId="3" w16cid:durableId="78338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5"/>
    <w:rsid w:val="00174646"/>
    <w:rsid w:val="002117C7"/>
    <w:rsid w:val="0028137E"/>
    <w:rsid w:val="002F5847"/>
    <w:rsid w:val="0036607B"/>
    <w:rsid w:val="00530E91"/>
    <w:rsid w:val="005845D0"/>
    <w:rsid w:val="006444D9"/>
    <w:rsid w:val="00660499"/>
    <w:rsid w:val="00693939"/>
    <w:rsid w:val="007A00AF"/>
    <w:rsid w:val="00904EE0"/>
    <w:rsid w:val="00936133"/>
    <w:rsid w:val="00A74849"/>
    <w:rsid w:val="00AB0E2A"/>
    <w:rsid w:val="00AE217C"/>
    <w:rsid w:val="00B27525"/>
    <w:rsid w:val="00B32BC6"/>
    <w:rsid w:val="00B6271A"/>
    <w:rsid w:val="00BA0B57"/>
    <w:rsid w:val="00C837E8"/>
    <w:rsid w:val="00F27066"/>
    <w:rsid w:val="00F3017A"/>
    <w:rsid w:val="00F324F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F7D"/>
  <w15:docId w15:val="{0F345E1B-D6DD-C54F-8DE6-DF52A89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F3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ilviald@uft.edu.br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tonio.henrique@mail.uft.edu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rUoiiD0/0L1WSsMmGia53zAlg==">CgMxLjAyCGguZ2pkZ3hzMgloLjMwajB6bGwyCmlkLjFmb2I5dGUyCmlkLjN6bnlzaDcyCmlkLjJldDkycDAyCWlkLnR5amN3dDIJaC4zZHk2dmttMgloLjF0M2g1c2Y4AHIhMXRhdENPMlRCRnRjazZqYWthZlBETUZ1dVJ1UHlnbVU1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Antonio Henrique</cp:lastModifiedBy>
  <cp:revision>6</cp:revision>
  <dcterms:created xsi:type="dcterms:W3CDTF">2023-10-31T16:22:00Z</dcterms:created>
  <dcterms:modified xsi:type="dcterms:W3CDTF">2023-11-03T23:25:00Z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