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IMPACTOS DAS PRINCIPAIS PRAGAS DO COQUEIRO E ALTERNATIVAS DE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CONTROLE SUSTENTÁVEL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Pétala Souza Farias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Lívia Suenne Valente Bessa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Michelli Fernanda Aick de Matos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Graduanda em Engenharia Florestal. Universidade Federal Rural da Amazônia. 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petala.farias@discente.ufra.edu.br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Graduanda em Tecnologia em Saneamento Ambiental. Instituto Federal do Pará.</w:t>
      </w:r>
    </w:p>
    <w:p w:rsidR="00000000" w:rsidDel="00000000" w:rsidP="00000000" w:rsidRDefault="00000000" w:rsidRPr="00000000" w14:paraId="00000008">
      <w:pPr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Doutoranda em Engenharia Química. Universidade Federal de Santa Catarina.</w:t>
      </w:r>
    </w:p>
    <w:p w:rsidR="00000000" w:rsidDel="00000000" w:rsidP="00000000" w:rsidRDefault="00000000" w:rsidRPr="00000000" w14:paraId="00000009">
      <w:pPr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0"/>
        </w:tabs>
        <w:spacing w:after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coqueiro (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Cocos nucifera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L.) é uma das culturas tropicais mais importantes do Brasil, desempenhando papel econômico, social e ambiental, especialmente no Nordeste, onde sustenta a geração de renda de pequenos produtores e contribui para cadeias agroindustriais diversificadas. No entanto, a produção é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ameaçada por diversas pragas, </w:t>
      </w:r>
      <w:r w:rsidDel="00000000" w:rsidR="00000000" w:rsidRPr="00000000">
        <w:rPr>
          <w:sz w:val="24"/>
          <w:szCs w:val="24"/>
          <w:rtl w:val="0"/>
        </w:rPr>
        <w:t xml:space="preserve">como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ácaro-da-necrose (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Aceria guerreronis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a broca-do-olho-do-coqueiro (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Rhynchophorus palmarum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o raspador-da-folha (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Delocrania cossyphoides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o minador-do- folíolo (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Taphrocerus cocois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a broca-do-coleto (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Strategus aloeus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 e os cupins (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Heterotermes tenuis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Nasutitermes rippertii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entre outras espécies consideradas secundárias. Essas pragas afetam desde a fase de viveiro até plantas adultas, causando danos como necroses, perfurações em frutos, galerias no estipe, amarelecimento e secamento de folhas, queda precoce de frutos e até a morte da planta, resultando em sérias perdas econômicas. O </w:t>
      </w:r>
      <w:r w:rsidDel="00000000" w:rsidR="00000000" w:rsidRPr="00000000">
        <w:rPr>
          <w:sz w:val="24"/>
          <w:szCs w:val="24"/>
          <w:rtl w:val="0"/>
        </w:rPr>
        <w:t xml:space="preserve">trabalho objetivou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revisar os principais impactos dessas pragas e descrever estratégias de manejo integrado aplicáveis ao coqueiro, com base em levantamento bibliográfico sistemático, utilizando palavras-chaves como: “Coqueiro”, “Pragas” e “MIP”,  em trabalhos e pesquisas publicadas nos últimos quatro anos. Os resultados evidenciam que o controle químico, apesar de ainda ser empregado (com inseticidas como carbosulfano para pragas foliares e acaricidas como abamectina e fenpiroximato para o ácaro-da-necrose), apresenta limitações devido a riscos ambientais, ausência de registros oficiais para algumas espécies e baixa eficácia em casos de alta infestação. Nesse contexto, o manejo biológico se destaca como a alternativa mais promissora e sustentável, envolvendo o uso de agentes de biocontrole como ácaros predadores da família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Phytoseiidae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contra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. guerreronis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o fungo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Beauveria bassiana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no combate à broca-do-olho (R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. palmarum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além da integração de parasitoides e predadores naturais em programas de manejo. Esses bioinsumos têm mostrado eficiência na redução populacional das pragas, com menor impacto ambiental e maior compatibilidade com sistemas agroecológicos. Complementarmente, práticas culturais, como a remoção de restos vegetais, destruição de plantas atacadas e eliminação de cupinzeiros, contribuem para reduzir fontes de inóculo, enquanto estratégias comportamentais, como o uso de armadilhas com feromônio sintético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(rincoforol)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reforçam o monitoramento e a supressão populacional. </w:t>
      </w:r>
      <w:r w:rsidDel="00000000" w:rsidR="00000000" w:rsidRPr="00000000">
        <w:rPr>
          <w:sz w:val="24"/>
          <w:szCs w:val="24"/>
          <w:rtl w:val="0"/>
        </w:rPr>
        <w:t xml:space="preserve">Portanto,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sustentabilidade da cultura do coqueiro depende da adoção do Manejo Integrado de Pragas (MIP), que alia monitoramento sistemático, uso racional de inseticidas, biocontrole e práticas culturais preventivas, reduzindo prejuízos econômicos e impactos ambientais, ao mesmo tempo em que fortalece a resiliência produtiva dos sistemas de cultivo.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0"/>
        </w:tabs>
        <w:spacing w:after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Palavras-chave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Aceria guerreronis. Atheloca subrufella. Cocos nucifera.</w:t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Área de Interesse do Simpósio</w:t>
      </w:r>
      <w:r w:rsidDel="00000000" w:rsidR="00000000" w:rsidRPr="00000000">
        <w:rPr>
          <w:rtl w:val="0"/>
        </w:rPr>
        <w:t xml:space="preserve">: Ciências Agrárias.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20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19" name="image7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15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-222882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1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14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1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tala.farias@discente.ufra.edu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7.png"/><Relationship Id="rId3" Type="http://schemas.openxmlformats.org/officeDocument/2006/relationships/image" Target="media/image1.png"/><Relationship Id="rId4" Type="http://schemas.openxmlformats.org/officeDocument/2006/relationships/image" Target="media/image8.png"/><Relationship Id="rId9" Type="http://schemas.openxmlformats.org/officeDocument/2006/relationships/image" Target="media/image9.png"/><Relationship Id="rId5" Type="http://schemas.openxmlformats.org/officeDocument/2006/relationships/image" Target="media/image6.png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4wuIKxcuMJK6zDaY66CxEjF6g==">CgMxLjA4AHIhMXRpN2pjWFVpMWRBMWd3emQ5UldEUVVmVlE0czhOMnZf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