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Carcinoma espinocelular invasivo em canal auditivo externo: um relato de caso.</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b w:val="1"/>
          <w:sz w:val="24"/>
          <w:szCs w:val="24"/>
          <w:rtl w:val="0"/>
        </w:rPr>
        <w:t xml:space="preserve">Nicolas M. de Oliveira¹</w:t>
      </w:r>
      <w:r w:rsidDel="00000000" w:rsidR="00000000" w:rsidRPr="00000000">
        <w:rPr>
          <w:sz w:val="24"/>
          <w:szCs w:val="24"/>
          <w:rtl w:val="0"/>
        </w:rPr>
        <w:t xml:space="preserve">; Tércia O. Sampaio</w:t>
      </w:r>
      <w:r w:rsidDel="00000000" w:rsidR="00000000" w:rsidRPr="00000000">
        <w:rPr>
          <w:sz w:val="24"/>
          <w:szCs w:val="24"/>
          <w:rtl w:val="0"/>
        </w:rPr>
        <w:t xml:space="preserve">²; </w:t>
      </w:r>
      <w:r w:rsidDel="00000000" w:rsidR="00000000" w:rsidRPr="00000000">
        <w:rPr>
          <w:sz w:val="24"/>
          <w:szCs w:val="24"/>
          <w:rtl w:val="0"/>
        </w:rPr>
        <w:t xml:space="preserve">Jéssica M. C. Matias³; Andressa V. Zanúncio⁴</w:t>
      </w: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¹Curso de Medicina da Universidade de Itaúna, Brasil, 2025.</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²Curso de Medicina da Universidade Federal de São João Del-Rei, Brasil, 2025.</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³Otorrinolaringologista no Hospital São João de Deus, Brasil, 2025.</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⁴</w:t>
      </w:r>
      <w:r w:rsidDel="00000000" w:rsidR="00000000" w:rsidRPr="00000000">
        <w:rPr>
          <w:sz w:val="24"/>
          <w:szCs w:val="24"/>
          <w:highlight w:val="white"/>
          <w:rtl w:val="0"/>
        </w:rPr>
        <w:t xml:space="preserve">C</w:t>
      </w:r>
      <w:r w:rsidDel="00000000" w:rsidR="00000000" w:rsidRPr="00000000">
        <w:rPr>
          <w:sz w:val="24"/>
          <w:szCs w:val="24"/>
          <w:highlight w:val="white"/>
          <w:rtl w:val="0"/>
        </w:rPr>
        <w:t xml:space="preserve">oordenadora do Curso de Medicina da Universidade Federal de São João Del-Rei/CCO, Brasil, 2025.</w:t>
      </w:r>
      <w:r w:rsidDel="00000000" w:rsidR="00000000" w:rsidRPr="00000000">
        <w:rPr>
          <w:rtl w:val="0"/>
        </w:rPr>
      </w:r>
    </w:p>
    <w:p w:rsidR="00000000" w:rsidDel="00000000" w:rsidP="00000000" w:rsidRDefault="00000000" w:rsidRPr="00000000" w14:paraId="00000009">
      <w:pPr>
        <w:spacing w:line="360" w:lineRule="auto"/>
        <w:jc w:val="center"/>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b w:val="1"/>
          <w:sz w:val="24"/>
          <w:szCs w:val="24"/>
          <w:rtl w:val="0"/>
        </w:rPr>
        <w:t xml:space="preserve">Descritores: </w:t>
      </w:r>
      <w:r w:rsidDel="00000000" w:rsidR="00000000" w:rsidRPr="00000000">
        <w:rPr>
          <w:sz w:val="24"/>
          <w:szCs w:val="24"/>
          <w:rtl w:val="0"/>
        </w:rPr>
        <w:t xml:space="preserve">carcinoma de células escamosas, otorrinolaringologia, ouvido externo.</w:t>
      </w:r>
    </w:p>
    <w:p w:rsidR="00000000" w:rsidDel="00000000" w:rsidP="00000000" w:rsidRDefault="00000000" w:rsidRPr="00000000" w14:paraId="0000000B">
      <w:pPr>
        <w:spacing w:line="360" w:lineRule="auto"/>
        <w:jc w:val="both"/>
        <w:rPr>
          <w:sz w:val="24"/>
          <w:szCs w:val="24"/>
        </w:rPr>
      </w:pPr>
      <w:r w:rsidDel="00000000" w:rsidR="00000000" w:rsidRPr="00000000">
        <w:rPr>
          <w:b w:val="1"/>
          <w:sz w:val="24"/>
          <w:szCs w:val="24"/>
          <w:rtl w:val="0"/>
        </w:rPr>
        <w:t xml:space="preserve">Introdução: </w:t>
      </w:r>
      <w:r w:rsidDel="00000000" w:rsidR="00000000" w:rsidRPr="00000000">
        <w:rPr>
          <w:color w:val="0d101b"/>
          <w:sz w:val="24"/>
          <w:szCs w:val="24"/>
          <w:rtl w:val="0"/>
        </w:rPr>
        <w:t xml:space="preserve">O carcinoma primário do CAE é raro, com predominância do CEC e sintomas inespecíficos que dificultam o diagnóstico. Sua proximidade ao osso temporal favorece a recorrência e mau prognóstico. O tratamento inclui mastoidectomia radical, podendo envolver dissecção linfonodal ou radioterapia (RT).</w:t>
      </w:r>
      <w:r w:rsidDel="00000000" w:rsidR="00000000" w:rsidRPr="00000000">
        <w:rPr>
          <w:sz w:val="24"/>
          <w:szCs w:val="24"/>
          <w:rtl w:val="0"/>
        </w:rPr>
        <w:t xml:space="preserve"> </w:t>
      </w:r>
      <w:r w:rsidDel="00000000" w:rsidR="00000000" w:rsidRPr="00000000">
        <w:rPr>
          <w:b w:val="1"/>
          <w:sz w:val="24"/>
          <w:szCs w:val="24"/>
          <w:rtl w:val="0"/>
        </w:rPr>
        <w:t xml:space="preserve">Objetivo:</w:t>
      </w:r>
      <w:r w:rsidDel="00000000" w:rsidR="00000000" w:rsidRPr="00000000">
        <w:rPr>
          <w:sz w:val="24"/>
          <w:szCs w:val="24"/>
          <w:rtl w:val="0"/>
        </w:rPr>
        <w:t xml:space="preserve"> Relatar um caso de CEC moderadamente diferenciado e invasivo em CAE. </w:t>
      </w:r>
      <w:r w:rsidDel="00000000" w:rsidR="00000000" w:rsidRPr="00000000">
        <w:rPr>
          <w:b w:val="1"/>
          <w:sz w:val="24"/>
          <w:szCs w:val="24"/>
          <w:rtl w:val="0"/>
        </w:rPr>
        <w:t xml:space="preserve">Método:</w:t>
      </w:r>
      <w:r w:rsidDel="00000000" w:rsidR="00000000" w:rsidRPr="00000000">
        <w:rPr>
          <w:sz w:val="24"/>
          <w:szCs w:val="24"/>
          <w:rtl w:val="0"/>
        </w:rPr>
        <w:t xml:space="preserve"> </w:t>
      </w:r>
      <w:r w:rsidDel="00000000" w:rsidR="00000000" w:rsidRPr="00000000">
        <w:rPr>
          <w:color w:val="0d101b"/>
          <w:sz w:val="24"/>
          <w:szCs w:val="24"/>
          <w:rtl w:val="0"/>
        </w:rPr>
        <w:t xml:space="preserve">Revisão de literatura nas bases Pubmed e Scielo com 3 artigos selecionados, e relato de caso baseado em prontuários e exames.</w:t>
      </w:r>
      <w:r w:rsidDel="00000000" w:rsidR="00000000" w:rsidRPr="00000000">
        <w:rPr>
          <w:color w:val="0d101b"/>
          <w:sz w:val="21"/>
          <w:szCs w:val="21"/>
          <w:shd w:fill="f5f7f9" w:val="clear"/>
          <w:rtl w:val="0"/>
        </w:rPr>
        <w:t xml:space="preserve"> </w:t>
      </w:r>
      <w:r w:rsidDel="00000000" w:rsidR="00000000" w:rsidRPr="00000000">
        <w:rPr>
          <w:b w:val="1"/>
          <w:sz w:val="24"/>
          <w:szCs w:val="24"/>
          <w:rtl w:val="0"/>
        </w:rPr>
        <w:t xml:space="preserve">Resultados e discussão: </w:t>
      </w:r>
      <w:r w:rsidDel="00000000" w:rsidR="00000000" w:rsidRPr="00000000">
        <w:rPr>
          <w:sz w:val="24"/>
          <w:szCs w:val="24"/>
          <w:rtl w:val="0"/>
        </w:rPr>
        <w:t xml:space="preserve">Paciente feminina encaminhada ao otorrinolaringologista para análise de otite crônica à esquerda há 3 anos, com  tratamento prévio para miringite com antimicrobianos e cauterização, sem melhora.</w:t>
      </w:r>
      <w:r w:rsidDel="00000000" w:rsidR="00000000" w:rsidRPr="00000000">
        <w:rPr>
          <w:sz w:val="24"/>
          <w:szCs w:val="24"/>
          <w:rtl w:val="0"/>
        </w:rPr>
        <w:t xml:space="preserve"> À otoscopia apresentava secreção e espessamento da membrana timpânica. </w:t>
      </w:r>
      <w:r w:rsidDel="00000000" w:rsidR="00000000" w:rsidRPr="00000000">
        <w:rPr>
          <w:sz w:val="24"/>
          <w:szCs w:val="24"/>
          <w:rtl w:val="0"/>
        </w:rPr>
        <w:t xml:space="preserve">Foi prescrito ácido bórico por 8 dias, sem sucesso.</w:t>
      </w:r>
      <w:r w:rsidDel="00000000" w:rsidR="00000000" w:rsidRPr="00000000">
        <w:rPr>
          <w:sz w:val="24"/>
          <w:szCs w:val="24"/>
          <w:rtl w:val="0"/>
        </w:rPr>
        <w:t xml:space="preserve"> </w:t>
      </w:r>
      <w:r w:rsidDel="00000000" w:rsidR="00000000" w:rsidRPr="00000000">
        <w:rPr>
          <w:sz w:val="24"/>
          <w:szCs w:val="24"/>
          <w:rtl w:val="0"/>
        </w:rPr>
        <w:t xml:space="preserve">A tomografia dos ossos temporais foi feita, indicando processo inflamatório crônico e velamento do mastoide</w:t>
      </w:r>
      <w:r w:rsidDel="00000000" w:rsidR="00000000" w:rsidRPr="00000000">
        <w:rPr>
          <w:sz w:val="24"/>
          <w:szCs w:val="24"/>
          <w:rtl w:val="0"/>
        </w:rPr>
        <w:t xml:space="preserve">. A paciente foi encaminhada para timpanoplastia e biópsia que evidenciou CEC invasor pouco diferenciado com invasão da derme, sem invasão neurovascular. A paciente foi encaminhada para timpanomastoidectomia para ressecção da lesão, evoluindo com discreta otorreia e crosta úmida. Observou-se presença de estenose do CAE, </w:t>
      </w:r>
      <w:r w:rsidDel="00000000" w:rsidR="00000000" w:rsidRPr="00000000">
        <w:rPr>
          <w:sz w:val="24"/>
          <w:szCs w:val="24"/>
          <w:rtl w:val="0"/>
        </w:rPr>
        <w:t xml:space="preserve">necessitando reabordagem para ressecção de granuloma e realização de biópsia. A paciente foi encaminhada para a </w:t>
      </w:r>
      <w:r w:rsidDel="00000000" w:rsidR="00000000" w:rsidRPr="00000000">
        <w:rPr>
          <w:sz w:val="24"/>
          <w:szCs w:val="24"/>
          <w:rtl w:val="0"/>
        </w:rPr>
        <w:t xml:space="preserve">RT. </w:t>
      </w:r>
      <w:r w:rsidDel="00000000" w:rsidR="00000000" w:rsidRPr="00000000">
        <w:rPr>
          <w:b w:val="1"/>
          <w:sz w:val="24"/>
          <w:szCs w:val="24"/>
          <w:rtl w:val="0"/>
        </w:rPr>
        <w:t xml:space="preserve">Conclusão: </w:t>
      </w:r>
      <w:r w:rsidDel="00000000" w:rsidR="00000000" w:rsidRPr="00000000">
        <w:rPr>
          <w:sz w:val="24"/>
          <w:szCs w:val="24"/>
          <w:rtl w:val="0"/>
        </w:rPr>
        <w:t xml:space="preserve">O caso destaca a dificuldade diagnóstica do CEC no CAE devido a sintomas inespecíficos e a importância da timpanomastoidectomia e RT no controle, reforçando a necessidade de investigação precoce.</w:t>
      </w:r>
      <w:r w:rsidDel="00000000" w:rsidR="00000000" w:rsidRPr="00000000">
        <w:rPr>
          <w:rtl w:val="0"/>
        </w:rPr>
      </w:r>
    </w:p>
    <w:p w:rsidR="00000000" w:rsidDel="00000000" w:rsidP="00000000" w:rsidRDefault="00000000" w:rsidRPr="00000000" w14:paraId="0000000C">
      <w:pPr>
        <w:spacing w:after="240" w:before="240" w:line="360" w:lineRule="auto"/>
        <w:jc w:val="both"/>
        <w:rPr>
          <w:b w:val="1"/>
          <w:sz w:val="24"/>
          <w:szCs w:val="24"/>
        </w:rPr>
      </w:pPr>
      <w:r w:rsidDel="00000000" w:rsidR="00000000" w:rsidRPr="00000000">
        <w:rPr>
          <w:b w:val="1"/>
          <w:sz w:val="24"/>
          <w:szCs w:val="24"/>
          <w:rtl w:val="0"/>
        </w:rPr>
        <w:t xml:space="preserve">Referências bibliográficas: </w:t>
      </w:r>
    </w:p>
    <w:p w:rsidR="00000000" w:rsidDel="00000000" w:rsidP="00000000" w:rsidRDefault="00000000" w:rsidRPr="00000000" w14:paraId="0000000D">
      <w:pPr>
        <w:numPr>
          <w:ilvl w:val="0"/>
          <w:numId w:val="1"/>
        </w:numPr>
        <w:spacing w:after="0" w:afterAutospacing="0" w:before="240" w:line="360" w:lineRule="auto"/>
        <w:ind w:left="720" w:hanging="360"/>
        <w:jc w:val="both"/>
        <w:rPr>
          <w:sz w:val="24"/>
          <w:szCs w:val="24"/>
        </w:rPr>
      </w:pPr>
      <w:r w:rsidDel="00000000" w:rsidR="00000000" w:rsidRPr="00000000">
        <w:rPr>
          <w:sz w:val="24"/>
          <w:szCs w:val="24"/>
          <w:rtl w:val="0"/>
        </w:rPr>
        <w:t xml:space="preserve">Nabuurs CH, Kievit W, Nilou Labbé, C. René Leemans, Smit CF, Remco de Bree, et al. Evaluation of the modified Pittsburgh classification for predicting the disease‐free survival outcome of squamous cell carcinoma of the external auditory canal. 2020 Aug 13;42(12):3609–22.</w:t>
      </w:r>
    </w:p>
    <w:p w:rsidR="00000000" w:rsidDel="00000000" w:rsidP="00000000" w:rsidRDefault="00000000" w:rsidRPr="00000000" w14:paraId="0000000E">
      <w:pPr>
        <w:numPr>
          <w:ilvl w:val="0"/>
          <w:numId w:val="1"/>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‌Athanasopoulos M, Anastasios Goulioumis, Athanasopoulos I. Malignant tumors of the external auditory canal: diagnosis, treatment, genetic landscape, biomarkers, and clinical outcome. Exploration of targeted anti-tumor therapy [Internet]. 2023 Sep 21 [cited 2024 Mar 27];801–11. Available from: https://www.ncbi.nlm.nih.gov/pmc/articles/PMC10645464/</w:t>
      </w:r>
    </w:p>
    <w:p w:rsidR="00000000" w:rsidDel="00000000" w:rsidP="00000000" w:rsidRDefault="00000000" w:rsidRPr="00000000" w14:paraId="0000000F">
      <w:pPr>
        <w:numPr>
          <w:ilvl w:val="0"/>
          <w:numId w:val="1"/>
        </w:numPr>
        <w:spacing w:after="240" w:before="0" w:beforeAutospacing="0" w:line="360" w:lineRule="auto"/>
        <w:ind w:left="720" w:hanging="360"/>
        <w:jc w:val="both"/>
        <w:rPr>
          <w:sz w:val="24"/>
          <w:szCs w:val="24"/>
        </w:rPr>
      </w:pPr>
      <w:r w:rsidDel="00000000" w:rsidR="00000000" w:rsidRPr="00000000">
        <w:rPr>
          <w:sz w:val="24"/>
          <w:szCs w:val="24"/>
          <w:rtl w:val="0"/>
        </w:rPr>
        <w:t xml:space="preserve">‌Zhong S, Zuo W. Treatment Strategies for Malignancies of the External Auditory Canal. Current Treatment Options in Oncology. 2022 Jan 1;23(1):43–53.</w:t>
      </w:r>
    </w:p>
    <w:p w:rsidR="00000000" w:rsidDel="00000000" w:rsidP="00000000" w:rsidRDefault="00000000" w:rsidRPr="00000000" w14:paraId="00000010">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