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FF" w:rsidRPr="008A0D77" w:rsidRDefault="006911FF" w:rsidP="003A1419">
      <w:pPr>
        <w:pStyle w:val="Default"/>
        <w:spacing w:line="360" w:lineRule="auto"/>
        <w:jc w:val="both"/>
      </w:pPr>
    </w:p>
    <w:p w:rsidR="003A1419" w:rsidRPr="008A0D77" w:rsidRDefault="006911FF" w:rsidP="003A14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D77">
        <w:rPr>
          <w:rFonts w:ascii="Times New Roman" w:hAnsi="Times New Roman" w:cs="Times New Roman"/>
          <w:b/>
          <w:bCs/>
          <w:sz w:val="24"/>
          <w:szCs w:val="24"/>
        </w:rPr>
        <w:t>AVA</w:t>
      </w:r>
      <w:r w:rsidR="00BF36F1" w:rsidRPr="008A0D77">
        <w:rPr>
          <w:rFonts w:ascii="Times New Roman" w:hAnsi="Times New Roman" w:cs="Times New Roman"/>
          <w:b/>
          <w:bCs/>
          <w:sz w:val="24"/>
          <w:szCs w:val="24"/>
        </w:rPr>
        <w:t>LIAÇÃO DE FATORES CONDICIONANTES</w:t>
      </w:r>
      <w:r w:rsidRPr="008A0D77">
        <w:rPr>
          <w:rFonts w:ascii="Times New Roman" w:hAnsi="Times New Roman" w:cs="Times New Roman"/>
          <w:b/>
          <w:bCs/>
          <w:sz w:val="24"/>
          <w:szCs w:val="24"/>
        </w:rPr>
        <w:t xml:space="preserve"> AO SURGIMENTO DA</w:t>
      </w:r>
      <w:r w:rsidR="0087162B" w:rsidRPr="008A0D77">
        <w:rPr>
          <w:rFonts w:ascii="Times New Roman" w:hAnsi="Times New Roman" w:cs="Times New Roman"/>
          <w:b/>
          <w:bCs/>
          <w:sz w:val="24"/>
          <w:szCs w:val="24"/>
        </w:rPr>
        <w:t xml:space="preserve"> SÍNDROME GUILLAIN-BARRÉ</w:t>
      </w:r>
      <w:r w:rsidRPr="008A0D77">
        <w:rPr>
          <w:rFonts w:ascii="Times New Roman" w:hAnsi="Times New Roman" w:cs="Times New Roman"/>
          <w:b/>
          <w:bCs/>
          <w:sz w:val="24"/>
          <w:szCs w:val="24"/>
        </w:rPr>
        <w:t>: UMA REVISÃO DE LITERATURA</w:t>
      </w:r>
    </w:p>
    <w:p w:rsidR="003A1419" w:rsidRPr="008A0D77" w:rsidRDefault="003A1419" w:rsidP="003A1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77">
        <w:rPr>
          <w:rFonts w:ascii="Times New Roman" w:hAnsi="Times New Roman" w:cs="Times New Roman"/>
          <w:sz w:val="24"/>
          <w:szCs w:val="24"/>
        </w:rPr>
        <w:t>Amannda Maria Neiva dos Santos</w:t>
      </w:r>
      <w:r w:rsidRPr="008A0D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0D77">
        <w:rPr>
          <w:rFonts w:ascii="Times New Roman" w:hAnsi="Times New Roman" w:cs="Times New Roman"/>
          <w:sz w:val="24"/>
          <w:szCs w:val="24"/>
        </w:rPr>
        <w:t xml:space="preserve">; </w:t>
      </w:r>
      <w:r w:rsidR="00581120" w:rsidRPr="008A0D77">
        <w:rPr>
          <w:rFonts w:ascii="Times New Roman" w:hAnsi="Times New Roman" w:cs="Times New Roman"/>
          <w:sz w:val="24"/>
          <w:szCs w:val="24"/>
        </w:rPr>
        <w:t>Milena Barbosa Feitosa de Sousa Leão</w:t>
      </w:r>
      <w:r w:rsidR="00581120" w:rsidRPr="008A0D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81120">
        <w:rPr>
          <w:rFonts w:ascii="Times New Roman" w:hAnsi="Times New Roman" w:cs="Times New Roman"/>
          <w:sz w:val="24"/>
          <w:szCs w:val="24"/>
        </w:rPr>
        <w:t xml:space="preserve">; </w:t>
      </w:r>
      <w:r w:rsidRPr="008A0D77">
        <w:rPr>
          <w:rFonts w:ascii="Times New Roman" w:hAnsi="Times New Roman" w:cs="Times New Roman"/>
          <w:sz w:val="24"/>
          <w:szCs w:val="24"/>
        </w:rPr>
        <w:t>Gabriel Pires</w:t>
      </w:r>
      <w:r w:rsidRPr="008A0D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0D77">
        <w:rPr>
          <w:rFonts w:ascii="Times New Roman" w:hAnsi="Times New Roman" w:cs="Times New Roman"/>
          <w:sz w:val="24"/>
          <w:szCs w:val="24"/>
        </w:rPr>
        <w:t>; Élder Bontempo</w:t>
      </w:r>
      <w:r w:rsidRPr="008A0D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0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419" w:rsidRPr="008A0D77" w:rsidRDefault="003A1419" w:rsidP="003A1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77">
        <w:rPr>
          <w:rFonts w:ascii="Times New Roman" w:hAnsi="Times New Roman" w:cs="Times New Roman"/>
          <w:sz w:val="24"/>
          <w:szCs w:val="24"/>
        </w:rPr>
        <w:t xml:space="preserve">1- Alunos do curso de graduação em Medicina da Faculdade de Ciências Humanas, Exatas e da Saúde do Piauí (FAHESP) / Instituto de Ensino Superior do Vale do Parnaíba (IESVAP). </w:t>
      </w:r>
    </w:p>
    <w:p w:rsidR="003A1419" w:rsidRPr="008A0D77" w:rsidRDefault="003A1419" w:rsidP="003A1419">
      <w:pPr>
        <w:pStyle w:val="Default"/>
        <w:spacing w:line="360" w:lineRule="auto"/>
        <w:jc w:val="both"/>
      </w:pPr>
      <w:r w:rsidRPr="008A0D77">
        <w:t xml:space="preserve">2- Professor do curso de graduação em Medicina da Faculdade de Ciências Humanas, Exatas e da Saúde do Piauí (FAHESP) / Instituto de Ensino Superior do Vale do Parnaíba (IESVAP). </w:t>
      </w:r>
    </w:p>
    <w:p w:rsidR="003A1419" w:rsidRPr="008A0D77" w:rsidRDefault="003A1419" w:rsidP="003A1419">
      <w:pPr>
        <w:pStyle w:val="Default"/>
        <w:spacing w:line="360" w:lineRule="auto"/>
        <w:jc w:val="both"/>
      </w:pPr>
      <w:r w:rsidRPr="008A0D77">
        <w:t xml:space="preserve">Faculdade de Ciências Humanas, Exatas e da Saúde do Piauí (FAHESP). </w:t>
      </w:r>
    </w:p>
    <w:p w:rsidR="003A1419" w:rsidRPr="008A0D77" w:rsidRDefault="003A1419" w:rsidP="003A1419">
      <w:pPr>
        <w:pStyle w:val="Default"/>
        <w:spacing w:line="360" w:lineRule="auto"/>
        <w:jc w:val="both"/>
      </w:pPr>
      <w:r w:rsidRPr="008A0D77">
        <w:t xml:space="preserve">Instituto de Ensino Superior do Vale do Parnaíba (IESVAP). </w:t>
      </w:r>
    </w:p>
    <w:bookmarkStart w:id="0" w:name="_GoBack"/>
    <w:bookmarkEnd w:id="0"/>
    <w:p w:rsidR="003A1419" w:rsidRPr="00E71875" w:rsidRDefault="00581120" w:rsidP="003A1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"mailto:</w:instrText>
      </w:r>
      <w:r w:rsidRPr="00581120">
        <w:rPr>
          <w:rFonts w:ascii="Times New Roman" w:hAnsi="Times New Roman" w:cs="Times New Roman"/>
          <w:sz w:val="24"/>
          <w:szCs w:val="24"/>
          <w:lang w:val="en-US"/>
        </w:rPr>
        <w:instrText>neivaamannda@gmail.com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A76AA3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neivaamannda@gmail.com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BF36F1" w:rsidRPr="00E71875" w:rsidRDefault="00581120" w:rsidP="003A1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Palavras-chave: Guillain-Barré; </w:t>
      </w:r>
    </w:p>
    <w:p w:rsidR="000F1D25" w:rsidRDefault="005377AA" w:rsidP="00B4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CB3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FF6CB3">
        <w:rPr>
          <w:rFonts w:ascii="Times New Roman" w:hAnsi="Times New Roman" w:cs="Times New Roman"/>
          <w:sz w:val="24"/>
          <w:szCs w:val="24"/>
        </w:rPr>
        <w:t xml:space="preserve">A </w:t>
      </w:r>
      <w:r w:rsidR="00FF6CB3" w:rsidRPr="00FF6CB3">
        <w:rPr>
          <w:rFonts w:ascii="Times New Roman" w:hAnsi="Times New Roman" w:cs="Times New Roman"/>
          <w:sz w:val="24"/>
          <w:szCs w:val="24"/>
        </w:rPr>
        <w:t xml:space="preserve">Síndrome de Guillain-Barré (SGB) é a maior causa de paralisia </w:t>
      </w:r>
      <w:r w:rsidR="00FF6CB3">
        <w:rPr>
          <w:rFonts w:ascii="Times New Roman" w:hAnsi="Times New Roman" w:cs="Times New Roman"/>
          <w:sz w:val="24"/>
          <w:szCs w:val="24"/>
        </w:rPr>
        <w:t>flácida generalizada no mundo</w:t>
      </w:r>
      <w:r w:rsidR="00FF6CB3" w:rsidRPr="00FF6CB3">
        <w:rPr>
          <w:rFonts w:ascii="Times New Roman" w:hAnsi="Times New Roman" w:cs="Times New Roman"/>
          <w:sz w:val="24"/>
          <w:szCs w:val="24"/>
        </w:rPr>
        <w:t>, com incidência anual de 1-4 por 100.000 habitantes e pico entre</w:t>
      </w:r>
      <w:r w:rsidR="00FF6CB3">
        <w:rPr>
          <w:rFonts w:ascii="Times New Roman" w:hAnsi="Times New Roman" w:cs="Times New Roman"/>
          <w:sz w:val="24"/>
          <w:szCs w:val="24"/>
        </w:rPr>
        <w:t xml:space="preserve"> os 20 e </w:t>
      </w:r>
      <w:r w:rsidR="00FF6CB3" w:rsidRPr="00FF6CB3">
        <w:rPr>
          <w:rFonts w:ascii="Times New Roman" w:hAnsi="Times New Roman" w:cs="Times New Roman"/>
          <w:sz w:val="24"/>
          <w:szCs w:val="24"/>
        </w:rPr>
        <w:t>40 anos de idade. Não existem dados epidemiológ</w:t>
      </w:r>
      <w:r w:rsidR="00FF6CB3">
        <w:rPr>
          <w:rFonts w:ascii="Times New Roman" w:hAnsi="Times New Roman" w:cs="Times New Roman"/>
          <w:sz w:val="24"/>
          <w:szCs w:val="24"/>
        </w:rPr>
        <w:t xml:space="preserve">icos específicos para o Brasil. </w:t>
      </w:r>
      <w:r w:rsidR="00FF6CB3" w:rsidRPr="00FF6CB3">
        <w:rPr>
          <w:rFonts w:ascii="Times New Roman" w:hAnsi="Times New Roman" w:cs="Times New Roman"/>
          <w:sz w:val="24"/>
          <w:szCs w:val="24"/>
        </w:rPr>
        <w:t>Aproximadamente 60%-70% dos pacientes com SGB apresentam alguma doença aguda p</w:t>
      </w:r>
      <w:r w:rsidR="00FF6CB3">
        <w:rPr>
          <w:rFonts w:ascii="Times New Roman" w:hAnsi="Times New Roman" w:cs="Times New Roman"/>
          <w:sz w:val="24"/>
          <w:szCs w:val="24"/>
        </w:rPr>
        <w:t>recedente (1-3 semanas antes)</w:t>
      </w:r>
      <w:r w:rsidR="00FF6CB3" w:rsidRPr="00FF6CB3">
        <w:rPr>
          <w:rFonts w:ascii="Times New Roman" w:hAnsi="Times New Roman" w:cs="Times New Roman"/>
          <w:sz w:val="24"/>
          <w:szCs w:val="24"/>
        </w:rPr>
        <w:t xml:space="preserve">, sendo a infecção por </w:t>
      </w:r>
      <w:r w:rsidR="00FF6CB3" w:rsidRPr="00FF6CB3">
        <w:rPr>
          <w:rFonts w:ascii="Times New Roman" w:hAnsi="Times New Roman" w:cs="Times New Roman"/>
          <w:i/>
          <w:sz w:val="24"/>
          <w:szCs w:val="24"/>
        </w:rPr>
        <w:t>Campylobacter jejuni</w:t>
      </w:r>
      <w:r w:rsidR="00FF6CB3" w:rsidRPr="00FF6CB3">
        <w:rPr>
          <w:rFonts w:ascii="Times New Roman" w:hAnsi="Times New Roman" w:cs="Times New Roman"/>
          <w:sz w:val="24"/>
          <w:szCs w:val="24"/>
        </w:rPr>
        <w:t xml:space="preserve"> a mais frequente delas (32%), seguida por citomegalovírus (13%), vírus </w:t>
      </w:r>
      <w:r w:rsidR="00FF6CB3" w:rsidRPr="00FF6CB3">
        <w:rPr>
          <w:rFonts w:ascii="Times New Roman" w:hAnsi="Times New Roman" w:cs="Times New Roman"/>
          <w:i/>
          <w:sz w:val="24"/>
          <w:szCs w:val="24"/>
        </w:rPr>
        <w:t>Epstein</w:t>
      </w:r>
      <w:r w:rsidR="00FF6CB3" w:rsidRPr="00FF6CB3">
        <w:rPr>
          <w:rFonts w:ascii="Times New Roman" w:hAnsi="Times New Roman" w:cs="Times New Roman"/>
          <w:sz w:val="24"/>
          <w:szCs w:val="24"/>
        </w:rPr>
        <w:t xml:space="preserve"> </w:t>
      </w:r>
      <w:r w:rsidR="00FF6CB3">
        <w:rPr>
          <w:rFonts w:ascii="Times New Roman" w:hAnsi="Times New Roman" w:cs="Times New Roman"/>
          <w:i/>
          <w:sz w:val="24"/>
          <w:szCs w:val="24"/>
        </w:rPr>
        <w:t>b</w:t>
      </w:r>
      <w:r w:rsidR="00FF6CB3" w:rsidRPr="00FF6CB3">
        <w:rPr>
          <w:rFonts w:ascii="Times New Roman" w:hAnsi="Times New Roman" w:cs="Times New Roman"/>
          <w:i/>
          <w:sz w:val="24"/>
          <w:szCs w:val="24"/>
        </w:rPr>
        <w:t>arr</w:t>
      </w:r>
      <w:r w:rsidR="00FF6CB3" w:rsidRPr="00FF6CB3">
        <w:rPr>
          <w:rFonts w:ascii="Times New Roman" w:hAnsi="Times New Roman" w:cs="Times New Roman"/>
          <w:sz w:val="24"/>
          <w:szCs w:val="24"/>
        </w:rPr>
        <w:t xml:space="preserve"> (10%) e outras infecções virais, tais como hepatites por vírus t</w:t>
      </w:r>
      <w:r w:rsidR="00FF6CB3">
        <w:rPr>
          <w:rFonts w:ascii="Times New Roman" w:hAnsi="Times New Roman" w:cs="Times New Roman"/>
          <w:sz w:val="24"/>
          <w:szCs w:val="24"/>
        </w:rPr>
        <w:t>ipo A, B e C, influenza e HIV</w:t>
      </w:r>
      <w:r w:rsidR="00FF6CB3" w:rsidRPr="00FF6CB3">
        <w:rPr>
          <w:rFonts w:ascii="Times New Roman" w:hAnsi="Times New Roman" w:cs="Times New Roman"/>
          <w:sz w:val="24"/>
          <w:szCs w:val="24"/>
        </w:rPr>
        <w:t xml:space="preserve">. </w:t>
      </w:r>
      <w:r w:rsidR="00FF6CB3">
        <w:rPr>
          <w:rFonts w:ascii="Times New Roman" w:hAnsi="Times New Roman" w:cs="Times New Roman"/>
          <w:sz w:val="24"/>
          <w:szCs w:val="24"/>
        </w:rPr>
        <w:t>As manifestações clínicas iniciam-se com a</w:t>
      </w:r>
      <w:r w:rsidR="00FF6CB3" w:rsidRPr="00FF6CB3">
        <w:rPr>
          <w:rFonts w:ascii="Times New Roman" w:hAnsi="Times New Roman" w:cs="Times New Roman"/>
          <w:sz w:val="24"/>
          <w:szCs w:val="24"/>
        </w:rPr>
        <w:t xml:space="preserve"> sensação de parestesias nas extremidades distais dos membros inferiores e, em seguida, superiores. Dor neuropática lombar ou nas pernas pode ser vis</w:t>
      </w:r>
      <w:r w:rsidR="00FF6CB3">
        <w:rPr>
          <w:rFonts w:ascii="Times New Roman" w:hAnsi="Times New Roman" w:cs="Times New Roman"/>
          <w:sz w:val="24"/>
          <w:szCs w:val="24"/>
        </w:rPr>
        <w:t xml:space="preserve">ta em pelo menos 50% dos casos </w:t>
      </w:r>
      <w:sdt>
        <w:sdtPr>
          <w:rPr>
            <w:rFonts w:ascii="Times New Roman" w:hAnsi="Times New Roman" w:cs="Times New Roman"/>
            <w:sz w:val="24"/>
            <w:szCs w:val="24"/>
          </w:rPr>
          <w:id w:val="-67898021"/>
          <w:citation/>
        </w:sdtPr>
        <w:sdtEndPr/>
        <w:sdtContent>
          <w:r w:rsidR="00FF6CB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F6CB3">
            <w:rPr>
              <w:rFonts w:ascii="Times New Roman" w:hAnsi="Times New Roman" w:cs="Times New Roman"/>
              <w:sz w:val="24"/>
              <w:szCs w:val="24"/>
            </w:rPr>
            <w:instrText xml:space="preserve"> CITATION SAÚ09 \l 1046 </w:instrText>
          </w:r>
          <w:r w:rsidR="00FF6CB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6CB3" w:rsidRPr="00FF6CB3">
            <w:rPr>
              <w:rFonts w:ascii="Times New Roman" w:hAnsi="Times New Roman" w:cs="Times New Roman"/>
              <w:noProof/>
              <w:sz w:val="24"/>
              <w:szCs w:val="24"/>
            </w:rPr>
            <w:t>(SAÚDE M. , 2009)</w:t>
          </w:r>
          <w:r w:rsidR="00FF6CB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F6CB3" w:rsidRPr="00FF6CB3">
        <w:rPr>
          <w:rFonts w:ascii="Times New Roman" w:hAnsi="Times New Roman" w:cs="Times New Roman"/>
          <w:sz w:val="24"/>
          <w:szCs w:val="24"/>
        </w:rPr>
        <w:t xml:space="preserve">. Fraqueza progressiva é o sinal mais perceptível ao paciente, ocorrendo geralmente </w:t>
      </w:r>
      <w:r w:rsidR="00FF6CB3">
        <w:rPr>
          <w:rFonts w:ascii="Times New Roman" w:hAnsi="Times New Roman" w:cs="Times New Roman"/>
          <w:sz w:val="24"/>
          <w:szCs w:val="24"/>
        </w:rPr>
        <w:t>no sentido caudal-cranial, tendo início nos membros inferiores (MMII)</w:t>
      </w:r>
      <w:r w:rsidR="00FF6CB3" w:rsidRPr="00FF6CB3">
        <w:rPr>
          <w:rFonts w:ascii="Times New Roman" w:hAnsi="Times New Roman" w:cs="Times New Roman"/>
          <w:sz w:val="24"/>
          <w:szCs w:val="24"/>
        </w:rPr>
        <w:t>. A intensidade pode variar desde fraqueza leve, que sequer motiva a busca por atendi</w:t>
      </w:r>
      <w:r w:rsidR="00FF6CB3">
        <w:rPr>
          <w:rFonts w:ascii="Times New Roman" w:hAnsi="Times New Roman" w:cs="Times New Roman"/>
          <w:sz w:val="24"/>
          <w:szCs w:val="24"/>
        </w:rPr>
        <w:t>mento médico em nível primário</w:t>
      </w:r>
      <w:r w:rsidR="00FF6CB3" w:rsidRPr="00FF6CB3">
        <w:rPr>
          <w:rFonts w:ascii="Times New Roman" w:hAnsi="Times New Roman" w:cs="Times New Roman"/>
          <w:sz w:val="24"/>
          <w:szCs w:val="24"/>
        </w:rPr>
        <w:t xml:space="preserve">, até tetraplegia completa com necessidade de ventilação mecânica (VM) por paralisia da musculatura respiratória acessória. Fraqueza facial ocorre na metade dos pacientes ao longo do curso da doença. Cerca de 5%-15% dos pacientes desenvolvem oftalmoparesia e ptose. A função esfincteriana é, na maioria das vezes, preservada, enquanto a perda dos reflexos miotáticos pode preceder os sintomas sensitivos até mesmo em músculos pouco afetados. Instabilidade autonômica é um achado comum, </w:t>
      </w:r>
      <w:r w:rsidR="00FF6CB3" w:rsidRPr="00FF6CB3">
        <w:rPr>
          <w:rFonts w:ascii="Times New Roman" w:hAnsi="Times New Roman" w:cs="Times New Roman"/>
          <w:sz w:val="24"/>
          <w:szCs w:val="24"/>
        </w:rPr>
        <w:lastRenderedPageBreak/>
        <w:t>causando eventua</w:t>
      </w:r>
      <w:r w:rsidR="00B41612">
        <w:rPr>
          <w:rFonts w:ascii="Times New Roman" w:hAnsi="Times New Roman" w:cs="Times New Roman"/>
          <w:sz w:val="24"/>
          <w:szCs w:val="24"/>
        </w:rPr>
        <w:t>lmente arritmias importantes,</w:t>
      </w:r>
      <w:r w:rsidR="00FF6CB3" w:rsidRPr="00FF6CB3">
        <w:rPr>
          <w:rFonts w:ascii="Times New Roman" w:hAnsi="Times New Roman" w:cs="Times New Roman"/>
          <w:sz w:val="24"/>
          <w:szCs w:val="24"/>
        </w:rPr>
        <w:t xml:space="preserve"> mas que raramente persistem após 2 semanas. </w:t>
      </w:r>
      <w:r w:rsidR="00C02CA1" w:rsidRPr="008A0D77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C02CA1" w:rsidRPr="008A0D77">
        <w:rPr>
          <w:rFonts w:ascii="Times New Roman" w:hAnsi="Times New Roman" w:cs="Times New Roman"/>
          <w:sz w:val="24"/>
          <w:szCs w:val="24"/>
        </w:rPr>
        <w:t xml:space="preserve">O estudo tem como objetivo </w:t>
      </w:r>
      <w:r w:rsidR="000F221C">
        <w:rPr>
          <w:rFonts w:ascii="Times New Roman" w:hAnsi="Times New Roman" w:cs="Times New Roman"/>
          <w:sz w:val="24"/>
          <w:szCs w:val="24"/>
        </w:rPr>
        <w:t>evidenciar o surgimento de</w:t>
      </w:r>
      <w:r w:rsidR="00C02CA1" w:rsidRPr="008A0D77">
        <w:rPr>
          <w:rFonts w:ascii="Times New Roman" w:hAnsi="Times New Roman" w:cs="Times New Roman"/>
          <w:sz w:val="24"/>
          <w:szCs w:val="24"/>
        </w:rPr>
        <w:t xml:space="preserve"> casos de Síndrome de Guillain-Barré, citando os principais sinais e si</w:t>
      </w:r>
      <w:r w:rsidR="000F221C">
        <w:rPr>
          <w:rFonts w:ascii="Times New Roman" w:hAnsi="Times New Roman" w:cs="Times New Roman"/>
          <w:sz w:val="24"/>
          <w:szCs w:val="24"/>
        </w:rPr>
        <w:t xml:space="preserve">ntomas </w:t>
      </w:r>
      <w:r w:rsidR="000F221C" w:rsidRPr="000F221C">
        <w:rPr>
          <w:rFonts w:ascii="Times New Roman" w:hAnsi="Times New Roman" w:cs="Times New Roman"/>
          <w:sz w:val="24"/>
          <w:szCs w:val="24"/>
        </w:rPr>
        <w:t>descritos na literatura e abordar os diagnósticos e tratamentos utilizados nesse caso</w:t>
      </w:r>
      <w:r w:rsidR="00C02CA1" w:rsidRPr="000F221C">
        <w:rPr>
          <w:rFonts w:ascii="Times New Roman" w:hAnsi="Times New Roman" w:cs="Times New Roman"/>
          <w:sz w:val="24"/>
          <w:szCs w:val="24"/>
        </w:rPr>
        <w:t>,</w:t>
      </w:r>
      <w:r w:rsidR="00C02CA1" w:rsidRPr="008A0D77">
        <w:rPr>
          <w:rFonts w:ascii="Times New Roman" w:hAnsi="Times New Roman" w:cs="Times New Roman"/>
          <w:sz w:val="24"/>
          <w:szCs w:val="24"/>
        </w:rPr>
        <w:t xml:space="preserve"> a fim de contribuir para o entendimento do tema abordado. </w:t>
      </w:r>
      <w:r w:rsidR="00C02CA1" w:rsidRPr="008A0D77">
        <w:rPr>
          <w:rFonts w:ascii="Times New Roman" w:hAnsi="Times New Roman" w:cs="Times New Roman"/>
          <w:b/>
          <w:bCs/>
          <w:sz w:val="24"/>
          <w:szCs w:val="24"/>
        </w:rPr>
        <w:t xml:space="preserve">Métodos: </w:t>
      </w:r>
      <w:r w:rsidR="00C02CA1" w:rsidRPr="008A0D77">
        <w:rPr>
          <w:rFonts w:ascii="Times New Roman" w:hAnsi="Times New Roman" w:cs="Times New Roman"/>
          <w:sz w:val="24"/>
          <w:szCs w:val="24"/>
        </w:rPr>
        <w:t xml:space="preserve">O estudo configura-se como sendo uma revisão de literatura, tendo como base bibliografias disponíveis nas plataformas PUB MED e SCIELO, </w:t>
      </w:r>
      <w:r w:rsidR="00BE79F3" w:rsidRPr="008A0D77">
        <w:rPr>
          <w:rFonts w:ascii="Times New Roman" w:hAnsi="Times New Roman" w:cs="Times New Roman"/>
          <w:sz w:val="24"/>
          <w:szCs w:val="24"/>
        </w:rPr>
        <w:t>durante o período de 2009 a 2019</w:t>
      </w:r>
      <w:r w:rsidR="00C02CA1" w:rsidRPr="008A0D77">
        <w:rPr>
          <w:rFonts w:ascii="Times New Roman" w:hAnsi="Times New Roman" w:cs="Times New Roman"/>
          <w:sz w:val="24"/>
          <w:szCs w:val="24"/>
        </w:rPr>
        <w:t>, cujos descritores foram “</w:t>
      </w:r>
      <w:r w:rsidR="00BE79F3" w:rsidRPr="008A0D77">
        <w:rPr>
          <w:rFonts w:ascii="Times New Roman" w:hAnsi="Times New Roman" w:cs="Times New Roman"/>
          <w:sz w:val="24"/>
          <w:szCs w:val="24"/>
        </w:rPr>
        <w:t xml:space="preserve">síndrome de Guillain-Barré” </w:t>
      </w:r>
      <w:r w:rsidR="008A0D77" w:rsidRPr="008A0D77">
        <w:rPr>
          <w:rFonts w:ascii="Times New Roman" w:hAnsi="Times New Roman" w:cs="Times New Roman"/>
          <w:sz w:val="24"/>
          <w:szCs w:val="24"/>
        </w:rPr>
        <w:t>e “sistema nerovoso periférico</w:t>
      </w:r>
      <w:r w:rsidR="00C02CA1" w:rsidRPr="008A0D77">
        <w:rPr>
          <w:rFonts w:ascii="Times New Roman" w:hAnsi="Times New Roman" w:cs="Times New Roman"/>
          <w:sz w:val="24"/>
          <w:szCs w:val="24"/>
        </w:rPr>
        <w:t xml:space="preserve">”, além dos livros Medicina Interna de Harrisson, 19ª ed., vol. 2, de Kasper, Fauci, Longo </w:t>
      </w:r>
      <w:r w:rsidR="00C02CA1" w:rsidRPr="008A0D7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02CA1" w:rsidRPr="008A0D77">
        <w:rPr>
          <w:rFonts w:ascii="Times New Roman" w:hAnsi="Times New Roman" w:cs="Times New Roman"/>
          <w:sz w:val="24"/>
          <w:szCs w:val="24"/>
        </w:rPr>
        <w:t xml:space="preserve">, e </w:t>
      </w:r>
      <w:r w:rsidR="008A0D77" w:rsidRPr="008A0D77">
        <w:rPr>
          <w:rFonts w:ascii="Times New Roman" w:hAnsi="Times New Roman" w:cs="Times New Roman"/>
          <w:sz w:val="24"/>
          <w:szCs w:val="24"/>
        </w:rPr>
        <w:t xml:space="preserve">Neuroanatomia funcional, 3ª ed. De Angelo Machado e Lúcia Machado Haertel, de 2016. </w:t>
      </w:r>
      <w:r w:rsidR="000F221C">
        <w:rPr>
          <w:rFonts w:ascii="Times New Roman" w:hAnsi="Times New Roman" w:cs="Times New Roman"/>
          <w:b/>
          <w:sz w:val="24"/>
          <w:szCs w:val="24"/>
        </w:rPr>
        <w:t xml:space="preserve">Análise crítica: </w:t>
      </w:r>
      <w:r w:rsidR="00FF6CB3" w:rsidRPr="008A0D77">
        <w:rPr>
          <w:rFonts w:ascii="Times New Roman" w:hAnsi="Times New Roman" w:cs="Times New Roman"/>
          <w:sz w:val="24"/>
          <w:szCs w:val="24"/>
        </w:rPr>
        <w:t xml:space="preserve">A Síndrome de Guillain-Barré trata-se de uma patologia de caráter autoimune, no qual há a destruição da bainha de mielina das células nervosas do sistema nervoso periférico, estrutura essa que confere integridade neuronal garantindo a efetividade do impulso nervoso. O diagnóstico de SGB é eminentemente clínico, no qual os pacientes devem apresentar, obrigatoriamente, inequívoca fraqueza em mais de um segmento apendicular de forma simétrica, incluindo musculatura craniana. À análise do liquor, o achado característico é a alta concentração de proteína e poucas células mononucleares após a segunda semana de suspeita de SGB </w:t>
      </w:r>
      <w:sdt>
        <w:sdtPr>
          <w:rPr>
            <w:rFonts w:ascii="Times New Roman" w:hAnsi="Times New Roman" w:cs="Times New Roman"/>
            <w:sz w:val="24"/>
            <w:szCs w:val="24"/>
          </w:rPr>
          <w:id w:val="1539699729"/>
          <w:citation/>
        </w:sdtPr>
        <w:sdtEndPr/>
        <w:sdtContent>
          <w:r w:rsidR="00FF6CB3" w:rsidRPr="008A0D7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F6CB3" w:rsidRPr="008A0D77">
            <w:rPr>
              <w:rFonts w:ascii="Times New Roman" w:hAnsi="Times New Roman" w:cs="Times New Roman"/>
              <w:sz w:val="24"/>
              <w:szCs w:val="24"/>
            </w:rPr>
            <w:instrText xml:space="preserve"> CITATION SAÚ16 \l 1046 </w:instrText>
          </w:r>
          <w:r w:rsidR="00FF6CB3" w:rsidRPr="008A0D7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6CB3" w:rsidRPr="008A0D77">
            <w:rPr>
              <w:rFonts w:ascii="Times New Roman" w:hAnsi="Times New Roman" w:cs="Times New Roman"/>
              <w:noProof/>
              <w:sz w:val="24"/>
              <w:szCs w:val="24"/>
            </w:rPr>
            <w:t>(SAÚDE, 2016)</w:t>
          </w:r>
          <w:r w:rsidR="00FF6CB3" w:rsidRPr="008A0D7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F6CB3" w:rsidRPr="008A0D77">
        <w:rPr>
          <w:rFonts w:ascii="Times New Roman" w:hAnsi="Times New Roman" w:cs="Times New Roman"/>
          <w:sz w:val="24"/>
          <w:szCs w:val="24"/>
        </w:rPr>
        <w:t>. O diagnóstico eletrofisiológico dá-se pela avaliação da neurocondução motora e sensitiva. O tratamento é feito à base de imunoglobulina humana intravenosa (IGIV), na dose de 0,4g/kg/dia por 5 dias, e sua eficácia em curto e longo prazos é similar à da plasmaférese, evitando-se complicações como hipotensão, necessidade de cateter venoso e trombofilia.</w:t>
      </w:r>
      <w:r w:rsidR="00E71875">
        <w:rPr>
          <w:rFonts w:ascii="Times New Roman" w:hAnsi="Times New Roman" w:cs="Times New Roman"/>
          <w:sz w:val="24"/>
          <w:szCs w:val="24"/>
        </w:rPr>
        <w:t xml:space="preserve"> </w:t>
      </w:r>
      <w:r w:rsidR="00E71875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E71875">
        <w:rPr>
          <w:rFonts w:ascii="Times New Roman" w:hAnsi="Times New Roman" w:cs="Times New Roman"/>
          <w:sz w:val="24"/>
          <w:szCs w:val="24"/>
        </w:rPr>
        <w:t>Diante disso, é possível concluir que a Síndrome de Guillain-Barré evidencia-se como uma doença autoimune em que ataca a bainha de mielina levando a distúrbios neurológicos</w:t>
      </w:r>
      <w:r w:rsidR="00621946">
        <w:rPr>
          <w:rFonts w:ascii="Times New Roman" w:hAnsi="Times New Roman" w:cs="Times New Roman"/>
          <w:sz w:val="24"/>
          <w:szCs w:val="24"/>
        </w:rPr>
        <w:t>. É caracterizada pela sua transmissão através</w:t>
      </w:r>
      <w:r w:rsidR="00E71875">
        <w:rPr>
          <w:rFonts w:ascii="Times New Roman" w:hAnsi="Times New Roman" w:cs="Times New Roman"/>
          <w:sz w:val="24"/>
          <w:szCs w:val="24"/>
        </w:rPr>
        <w:t xml:space="preserve"> de bactérias e vírus. </w:t>
      </w:r>
    </w:p>
    <w:p w:rsidR="000F1D25" w:rsidRDefault="000F1D25" w:rsidP="00B4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id w:val="1561217625"/>
        <w:docPartObj>
          <w:docPartGallery w:val="Bibliographies"/>
          <w:docPartUnique/>
        </w:docPartObj>
      </w:sdtPr>
      <w:sdtEndPr/>
      <w:sdtContent>
        <w:p w:rsidR="00B41612" w:rsidRPr="00B41612" w:rsidRDefault="00B41612" w:rsidP="00B41612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41612">
            <w:rPr>
              <w:rFonts w:ascii="Times New Roman" w:hAnsi="Times New Roman" w:cs="Times New Roman"/>
              <w:b/>
              <w:sz w:val="24"/>
              <w:szCs w:val="24"/>
            </w:rPr>
            <w:t>Bibliografia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B41612" w:rsidRPr="00B41612" w:rsidRDefault="00B41612" w:rsidP="00B41612">
              <w:pPr>
                <w:pStyle w:val="Bibliografia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41612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B41612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B41612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</w:p>
            <w:p w:rsidR="00B41612" w:rsidRPr="00B41612" w:rsidRDefault="00B41612" w:rsidP="00B41612">
              <w:pPr>
                <w:spacing w:line="36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B4161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MACHADO, Angelo B.M.; HAERTEL, Lúcia Machado.  </w:t>
              </w:r>
              <w:r w:rsidRPr="00B41612">
                <w:rPr>
                  <w:rStyle w:val="Fort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Neuroanatomia funcional. 3</w:t>
              </w:r>
              <w:r w:rsidRPr="00B4161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.ed. São Paulo: Atheneu, 2006.</w:t>
              </w:r>
            </w:p>
            <w:p w:rsidR="00B41612" w:rsidRPr="00B41612" w:rsidRDefault="00B41612" w:rsidP="00B41612">
              <w:pPr>
                <w:ind w:left="708"/>
                <w:jc w:val="both"/>
              </w:pPr>
              <w:r w:rsidRPr="00B4161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SAÚDE, M. (23 de novembro de 2009). </w:t>
              </w:r>
              <w:r w:rsidRPr="00B4161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Protocolo Clínico e Diretrizes Terapêuticas: Síndrome de Guillain Barré</w:t>
              </w:r>
              <w:r w:rsidRPr="00B4161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Acesso em 18 de outubro de 2019, disponível em </w:t>
              </w:r>
              <w:r w:rsidRPr="00B4161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https://portalarquivos2.saude.gov.br/images/pdf/2014/abril/03/pcdt-sindrome-guillain-barre-livro-2009.pdf</w:t>
              </w:r>
            </w:p>
            <w:p w:rsidR="00B41612" w:rsidRPr="00B41612" w:rsidRDefault="00B41612" w:rsidP="00B41612">
              <w:pPr>
                <w:pStyle w:val="Bibliografi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4161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SAÚDE, S. d. (maio de 2016). </w:t>
              </w:r>
              <w:r w:rsidRPr="00B4161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Diretrizes para a vigilância epidemiológica e organização dos serviços de atenção à saúde em situação de aumento de casos da síndrome de guillain-barré (sgb) no estado de Minas Gerais</w:t>
              </w:r>
              <w:r w:rsidRPr="00B4161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Acesso em 18 de outubro de 2019, disponível em https://www.hc.ufu.br/sites/default/files/tmp//05-2016_diretrizes_de_guillain_barre1.pdf</w:t>
              </w:r>
            </w:p>
            <w:p w:rsidR="00B41612" w:rsidRDefault="00B41612" w:rsidP="00B41612">
              <w:r w:rsidRPr="00B4161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8A0D77" w:rsidRPr="008A0D77" w:rsidRDefault="008A0D77" w:rsidP="008A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D77" w:rsidRPr="008A0D77" w:rsidRDefault="008A0D77" w:rsidP="00B1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0D77" w:rsidRPr="008A0D77" w:rsidSect="00B4161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A0"/>
    <w:rsid w:val="00097526"/>
    <w:rsid w:val="000F1D25"/>
    <w:rsid w:val="000F221C"/>
    <w:rsid w:val="00171E04"/>
    <w:rsid w:val="001E2916"/>
    <w:rsid w:val="001F53DB"/>
    <w:rsid w:val="002723AD"/>
    <w:rsid w:val="003A1419"/>
    <w:rsid w:val="003C1EA7"/>
    <w:rsid w:val="0050435C"/>
    <w:rsid w:val="0050519B"/>
    <w:rsid w:val="005377AA"/>
    <w:rsid w:val="0056215D"/>
    <w:rsid w:val="00581120"/>
    <w:rsid w:val="00621946"/>
    <w:rsid w:val="006911FF"/>
    <w:rsid w:val="0087162B"/>
    <w:rsid w:val="008A0D77"/>
    <w:rsid w:val="009B6F6E"/>
    <w:rsid w:val="00A149A0"/>
    <w:rsid w:val="00A31210"/>
    <w:rsid w:val="00B129E7"/>
    <w:rsid w:val="00B41612"/>
    <w:rsid w:val="00B640A8"/>
    <w:rsid w:val="00BE79F3"/>
    <w:rsid w:val="00BF36F1"/>
    <w:rsid w:val="00C02CA1"/>
    <w:rsid w:val="00D7294E"/>
    <w:rsid w:val="00DE5D8D"/>
    <w:rsid w:val="00E71875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1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1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F36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9E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A0D7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41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B41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1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1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F36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9E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A0D7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41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B4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SAÚ16</b:Tag>
    <b:SourceType>InternetSite</b:SourceType>
    <b:Guid>{4462BDA2-3E28-4B35-94B4-77329136EC44}</b:Guid>
    <b:Title>Diretrizes para a vigilância epidemiológica e organização dos serviços  de atenção à saúde em situação de aumento de casos da síndrome de guillain-barré (sgb) no estado de Minas Gerais</b:Title>
    <b:Year>2016</b:Year>
    <b:Author>
      <b:Author>
        <b:NameList>
          <b:Person>
            <b:Last>SAÚDE</b:Last>
            <b:First>Secretaria</b:First>
            <b:Middle>do Estado</b:Middle>
          </b:Person>
        </b:NameList>
      </b:Author>
    </b:Author>
    <b:Month>maio</b:Month>
    <b:YearAccessed>2019</b:YearAccessed>
    <b:MonthAccessed>outubro</b:MonthAccessed>
    <b:DayAccessed>18</b:DayAccessed>
    <b:URL>https://www.hc.ufu.br/sites/default/files/tmp//05-2016_diretrizes_de_guillain_barre1.pdf</b:URL>
    <b:RefOrder>2</b:RefOrder>
  </b:Source>
  <b:Source>
    <b:Tag>SAÚ09</b:Tag>
    <b:SourceType>InternetSite</b:SourceType>
    <b:Guid>{512F94D4-7210-431E-9501-F12E27517814}</b:Guid>
    <b:Title>Protocolo Clínico e Diretrizes Terapêuticas: Síndrome de Guillain Barré</b:Title>
    <b:Year>2009</b:Year>
    <b:Month>novembro</b:Month>
    <b:Day>23</b:Day>
    <b:YearAccessed>2019</b:YearAccessed>
    <b:MonthAccessed>outubro</b:MonthAccessed>
    <b:DayAccessed>18</b:DayAccessed>
    <b:URL>https://portalarquivos2.saude.gov.br/images/pdf/2014/abril/03/pcdt-sindrome-guillain-barre-livro-2009.pdf</b:URL>
    <b:Author>
      <b:Author>
        <b:NameList>
          <b:Person>
            <b:Last>SAÚDE</b:Last>
            <b:First>Ministério da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806D222-BC6C-4C92-9738-DB4CCD07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Leão</dc:creator>
  <cp:lastModifiedBy>Windows User</cp:lastModifiedBy>
  <cp:revision>4</cp:revision>
  <dcterms:created xsi:type="dcterms:W3CDTF">2019-10-27T23:21:00Z</dcterms:created>
  <dcterms:modified xsi:type="dcterms:W3CDTF">2019-10-27T23:39:00Z</dcterms:modified>
</cp:coreProperties>
</file>