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CE530" w14:textId="5DFED01F" w:rsidR="003949CE" w:rsidRPr="00653799" w:rsidRDefault="00EB67F4" w:rsidP="00653799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GRUPOS ECOLÓGICOS SUCESSIONAIS DAS ESPÉCIES ARBÓREAS DO PARQUE NATURAL MUNICIPAL DE CASTANHAL, PARÁ </w:t>
      </w:r>
    </w:p>
    <w:p w14:paraId="2F212F3E" w14:textId="274DAED2" w:rsidR="003949CE" w:rsidRPr="00FA64C5" w:rsidRDefault="00B20B8E" w:rsidP="003949CE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Kelly Katarina Ferreira do Nascimento</w:t>
      </w:r>
      <w:r w:rsidR="003949CE">
        <w:rPr>
          <w:sz w:val="24"/>
          <w:szCs w:val="24"/>
          <w:vertAlign w:val="superscript"/>
        </w:rPr>
        <w:t>1</w:t>
      </w:r>
      <w:r w:rsidR="003949CE">
        <w:rPr>
          <w:sz w:val="24"/>
          <w:szCs w:val="24"/>
        </w:rPr>
        <w:t xml:space="preserve">; </w:t>
      </w:r>
      <w:r w:rsidR="00E65D64">
        <w:rPr>
          <w:sz w:val="24"/>
          <w:szCs w:val="24"/>
        </w:rPr>
        <w:t xml:space="preserve">Maria Eduarda do Vale </w:t>
      </w:r>
      <w:r w:rsidR="008C5188">
        <w:rPr>
          <w:sz w:val="24"/>
          <w:szCs w:val="24"/>
        </w:rPr>
        <w:t>Coutinho</w:t>
      </w:r>
      <w:r w:rsidR="003949CE">
        <w:rPr>
          <w:sz w:val="24"/>
          <w:szCs w:val="24"/>
          <w:vertAlign w:val="superscript"/>
        </w:rPr>
        <w:t>2</w:t>
      </w:r>
      <w:r w:rsidR="003949CE">
        <w:rPr>
          <w:sz w:val="24"/>
          <w:szCs w:val="24"/>
        </w:rPr>
        <w:t>;</w:t>
      </w:r>
      <w:r w:rsidR="008C5188">
        <w:rPr>
          <w:sz w:val="24"/>
          <w:szCs w:val="24"/>
        </w:rPr>
        <w:t xml:space="preserve"> </w:t>
      </w:r>
      <w:r w:rsidR="00FA64C5">
        <w:rPr>
          <w:sz w:val="24"/>
          <w:szCs w:val="24"/>
          <w:u w:val="single"/>
        </w:rPr>
        <w:t xml:space="preserve">Manoel Tavares de </w:t>
      </w:r>
      <w:r w:rsidR="00FA64C5" w:rsidRPr="00C74361">
        <w:rPr>
          <w:sz w:val="24"/>
          <w:szCs w:val="24"/>
          <w:u w:val="single"/>
        </w:rPr>
        <w:t>Paula</w:t>
      </w:r>
      <w:r w:rsidR="00FA64C5" w:rsidRPr="00C74361">
        <w:rPr>
          <w:sz w:val="24"/>
          <w:szCs w:val="24"/>
          <w:vertAlign w:val="superscript"/>
        </w:rPr>
        <w:t>3</w:t>
      </w:r>
    </w:p>
    <w:p w14:paraId="6E79AFB7" w14:textId="77777777" w:rsidR="001A4326" w:rsidRDefault="001A4326" w:rsidP="003949CE">
      <w:pPr>
        <w:keepLines/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1F712F1F" w14:textId="31CEBC88" w:rsidR="00BB0473" w:rsidRPr="00BB0473" w:rsidRDefault="009A6C40" w:rsidP="00C8670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9A6C40">
        <w:rPr>
          <w:sz w:val="24"/>
          <w:szCs w:val="24"/>
          <w:vertAlign w:val="superscript"/>
        </w:rPr>
        <w:t>1</w:t>
      </w:r>
      <w:r w:rsidR="00E84071">
        <w:rPr>
          <w:sz w:val="24"/>
          <w:szCs w:val="24"/>
          <w:vertAlign w:val="superscript"/>
        </w:rPr>
        <w:t xml:space="preserve"> </w:t>
      </w:r>
      <w:r w:rsidR="00840018">
        <w:rPr>
          <w:sz w:val="24"/>
          <w:szCs w:val="24"/>
        </w:rPr>
        <w:t>Gradu</w:t>
      </w:r>
      <w:r w:rsidR="00B80E67">
        <w:rPr>
          <w:sz w:val="24"/>
          <w:szCs w:val="24"/>
        </w:rPr>
        <w:t>a</w:t>
      </w:r>
      <w:r w:rsidR="00840018">
        <w:rPr>
          <w:sz w:val="24"/>
          <w:szCs w:val="24"/>
        </w:rPr>
        <w:t>nda de Bacharelado em Engenharia Florestal</w:t>
      </w:r>
      <w:r w:rsidR="003949CE">
        <w:rPr>
          <w:sz w:val="24"/>
          <w:szCs w:val="24"/>
        </w:rPr>
        <w:t>.</w:t>
      </w:r>
      <w:r w:rsidR="008548D2">
        <w:rPr>
          <w:sz w:val="24"/>
          <w:szCs w:val="24"/>
        </w:rPr>
        <w:t xml:space="preserve"> Universidade do Estado do Pará</w:t>
      </w:r>
      <w:r w:rsidR="003949CE">
        <w:rPr>
          <w:sz w:val="24"/>
          <w:szCs w:val="24"/>
        </w:rPr>
        <w:t>.</w:t>
      </w:r>
      <w:r w:rsidR="00AB0FF3">
        <w:rPr>
          <w:sz w:val="24"/>
          <w:szCs w:val="24"/>
        </w:rPr>
        <w:t xml:space="preserve"> </w:t>
      </w:r>
      <w:hyperlink r:id="rId8" w:history="1">
        <w:r w:rsidR="00EF323E" w:rsidRPr="004D6450">
          <w:rPr>
            <w:rStyle w:val="Hyperlink"/>
            <w:sz w:val="24"/>
            <w:szCs w:val="24"/>
          </w:rPr>
          <w:t>kellykatarinanascimento@gmail.com</w:t>
        </w:r>
      </w:hyperlink>
      <w:r w:rsidR="00EF323E">
        <w:rPr>
          <w:sz w:val="24"/>
          <w:szCs w:val="24"/>
        </w:rPr>
        <w:t xml:space="preserve">. </w:t>
      </w:r>
    </w:p>
    <w:p w14:paraId="31256D17" w14:textId="51C22AE1" w:rsidR="003949CE" w:rsidRDefault="003949CE" w:rsidP="00C8670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="00E84071">
        <w:rPr>
          <w:sz w:val="24"/>
          <w:szCs w:val="24"/>
          <w:vertAlign w:val="superscript"/>
        </w:rPr>
        <w:t xml:space="preserve"> </w:t>
      </w:r>
      <w:r w:rsidR="00C42507">
        <w:rPr>
          <w:sz w:val="24"/>
          <w:szCs w:val="24"/>
        </w:rPr>
        <w:t>Graduanda de Bacharelado em Engenharia Florestal</w:t>
      </w:r>
      <w:r>
        <w:rPr>
          <w:sz w:val="24"/>
          <w:szCs w:val="24"/>
        </w:rPr>
        <w:t>.</w:t>
      </w:r>
      <w:r w:rsidR="005733A3">
        <w:rPr>
          <w:sz w:val="24"/>
          <w:szCs w:val="24"/>
        </w:rPr>
        <w:t xml:space="preserve"> Universidade do Estado do Pará. </w:t>
      </w:r>
    </w:p>
    <w:p w14:paraId="03D6E02E" w14:textId="184CCBB6" w:rsidR="003949CE" w:rsidRPr="00E418EC" w:rsidRDefault="00737DB3" w:rsidP="00C8670B">
      <w:pPr>
        <w:keepLines/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r w:rsidRPr="00737DB3">
        <w:rPr>
          <w:color w:val="000000" w:themeColor="text1"/>
          <w:sz w:val="24"/>
          <w:szCs w:val="24"/>
          <w:vertAlign w:val="superscript"/>
        </w:rPr>
        <w:t>3</w:t>
      </w:r>
      <w:r>
        <w:rPr>
          <w:color w:val="000000" w:themeColor="text1"/>
          <w:sz w:val="24"/>
          <w:szCs w:val="24"/>
          <w:vertAlign w:val="superscript"/>
        </w:rPr>
        <w:t xml:space="preserve"> </w:t>
      </w:r>
      <w:r>
        <w:rPr>
          <w:color w:val="000000" w:themeColor="text1"/>
          <w:sz w:val="24"/>
          <w:szCs w:val="24"/>
        </w:rPr>
        <w:t xml:space="preserve">Doutor em </w:t>
      </w:r>
      <w:r w:rsidR="00520153">
        <w:rPr>
          <w:color w:val="000000" w:themeColor="text1"/>
          <w:sz w:val="24"/>
          <w:szCs w:val="24"/>
        </w:rPr>
        <w:t>Ciências Agrárias</w:t>
      </w:r>
      <w:r w:rsidR="005E41B3">
        <w:rPr>
          <w:color w:val="000000" w:themeColor="text1"/>
          <w:sz w:val="24"/>
          <w:szCs w:val="24"/>
        </w:rPr>
        <w:t xml:space="preserve">. Universidade do Estado do Pará. </w:t>
      </w:r>
    </w:p>
    <w:p w14:paraId="6562E980" w14:textId="77777777" w:rsidR="003949CE" w:rsidRDefault="003949CE" w:rsidP="003352D0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rPr>
          <w:sz w:val="24"/>
          <w:szCs w:val="24"/>
        </w:rPr>
      </w:pPr>
    </w:p>
    <w:p w14:paraId="6C242CCB" w14:textId="2F563F69" w:rsidR="003949CE" w:rsidRPr="00130447" w:rsidRDefault="003949CE" w:rsidP="00130447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4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62F649C1" w14:textId="6B4BA27A" w:rsidR="00FF637D" w:rsidRDefault="00FF637D" w:rsidP="007A2086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sz w:val="24"/>
          <w:szCs w:val="24"/>
        </w:rPr>
        <w:t>O presente trabalho tem como foco o estudo dos grupos ecológicos sucessionais das espécies arbóreas</w:t>
      </w:r>
      <w:r w:rsidR="00866B1B">
        <w:rPr>
          <w:sz w:val="24"/>
          <w:szCs w:val="24"/>
        </w:rPr>
        <w:t xml:space="preserve"> do </w:t>
      </w:r>
      <w:r>
        <w:rPr>
          <w:sz w:val="24"/>
          <w:szCs w:val="24"/>
        </w:rPr>
        <w:t>Parque Natural Municipal de Castanhal (PNMC)</w:t>
      </w:r>
      <w:r w:rsidR="009576F5">
        <w:rPr>
          <w:sz w:val="24"/>
          <w:szCs w:val="24"/>
        </w:rPr>
        <w:t xml:space="preserve">. </w:t>
      </w:r>
      <w:r>
        <w:rPr>
          <w:sz w:val="24"/>
          <w:szCs w:val="24"/>
        </w:rPr>
        <w:t>Fragmentos florestais urbanos, como o PNMC, estão sujeitos a pressões antrópicas que afetam a estrutura e a composição florística. Nesse contexto, questiona-se: qual o estágio sucessional predominante no PNMC e o que ele revela sobre o estado de conservação da área? A análise dos grupos ecológicos sucessionais fornece informações fundamentais para compreender a dinâmica da regeneração florestal e subsidiar estratégias de manejo. Estudos dessa natureza são especialmente relevantes em áreas urbanas, onde os fragmentos florestais atuam como refúgios de biodiversidade, reguladores microclimáticos e espaços de educação ambiental. Assim, o PNMC representa uma oportunidade de avaliar o papel ecológico desses remanescentes na manutenção da conectividade e no equilíbrio ambiental regional. O estudo teve como objetivo principal analisar a composição dos grupos ecológicos sucessionais das espécies arbóreas do parque.</w:t>
      </w:r>
      <w:r w:rsidR="00E11A5A">
        <w:rPr>
          <w:sz w:val="24"/>
          <w:szCs w:val="24"/>
        </w:rPr>
        <w:t xml:space="preserve"> B</w:t>
      </w:r>
      <w:r>
        <w:rPr>
          <w:sz w:val="24"/>
          <w:szCs w:val="24"/>
        </w:rPr>
        <w:t>uscou-se: a) identificar as espécies quanto ao grupo sucessional; b) avaliar a proporção entre os diferentes grupos; c) interpretar o estágio sucessional do parque e suas implicações para conservação. O levantamento florístico foi realizado abrangendo toda a extensão das trilhas existentes no</w:t>
      </w:r>
      <w:r w:rsidR="00824D3F">
        <w:rPr>
          <w:sz w:val="24"/>
          <w:szCs w:val="24"/>
        </w:rPr>
        <w:t xml:space="preserve"> </w:t>
      </w:r>
      <w:r w:rsidR="007A2086">
        <w:rPr>
          <w:sz w:val="24"/>
          <w:szCs w:val="24"/>
        </w:rPr>
        <w:t xml:space="preserve">parque. </w:t>
      </w:r>
      <w:r>
        <w:rPr>
          <w:sz w:val="24"/>
          <w:szCs w:val="24"/>
        </w:rPr>
        <w:t>Foram amostradas todas as árvores com circunferência à altura do peito igual ou superior a 30 cm. A</w:t>
      </w:r>
      <w:r w:rsidR="00BB3CBC">
        <w:rPr>
          <w:sz w:val="24"/>
          <w:szCs w:val="24"/>
        </w:rPr>
        <w:t xml:space="preserve">s </w:t>
      </w:r>
      <w:r>
        <w:rPr>
          <w:sz w:val="24"/>
          <w:szCs w:val="24"/>
        </w:rPr>
        <w:t>espécies f</w:t>
      </w:r>
      <w:r w:rsidR="00BB3CBC">
        <w:rPr>
          <w:sz w:val="24"/>
          <w:szCs w:val="24"/>
        </w:rPr>
        <w:t xml:space="preserve">oram identificadas </w:t>
      </w:r>
      <w:r>
        <w:rPr>
          <w:sz w:val="24"/>
          <w:szCs w:val="24"/>
        </w:rPr>
        <w:t>em campo, sendo posteriormente complementada por consultas à literatura. A análise da sucessão ecológica foi realizada a partir da classificação das espécies nos grupos sucessionais: pioneiras, secundárias iniciais, secundárias tardias e clímax. Foram registradas 99 espécies, distribuídas em 86 gêneros e 38 famílias. Entre elas, predominaram as espécies secundárias tardias (38,4%), seguidas pelas secundárias iniciais (26,3%), pioneiras (26,3%) e clímax (9,1%).</w:t>
      </w:r>
      <w:r w:rsidR="005C2E4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 estudo contribui para o entendimento da dinâmica ecológica do PNMC e reforça sua relevância como espaço de conservação e de manutenção da conectividade ecológica. </w:t>
      </w:r>
    </w:p>
    <w:p w14:paraId="1D784F13" w14:textId="77777777" w:rsidR="00FF637D" w:rsidRDefault="00FF637D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5A93BFDA" w14:textId="3A3F2A93" w:rsidR="003949CE" w:rsidRPr="003A035C" w:rsidRDefault="003949CE" w:rsidP="007E6257">
      <w:pPr>
        <w:shd w:val="clear" w:color="auto" w:fill="FFFFFF"/>
        <w:tabs>
          <w:tab w:val="left" w:pos="2500"/>
        </w:tabs>
        <w:jc w:val="both"/>
        <w:rPr>
          <w:bCs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3A035C">
        <w:rPr>
          <w:bCs/>
          <w:sz w:val="24"/>
          <w:szCs w:val="24"/>
        </w:rPr>
        <w:t>Sucessão ecológica.</w:t>
      </w:r>
      <w:r w:rsidR="00FD4452">
        <w:rPr>
          <w:bCs/>
          <w:sz w:val="24"/>
          <w:szCs w:val="24"/>
        </w:rPr>
        <w:t xml:space="preserve"> Dinâmica florestal. </w:t>
      </w:r>
      <w:r w:rsidR="0062053D">
        <w:rPr>
          <w:bCs/>
          <w:sz w:val="24"/>
          <w:szCs w:val="24"/>
        </w:rPr>
        <w:t xml:space="preserve">Unidade </w:t>
      </w:r>
      <w:r w:rsidR="00002421">
        <w:rPr>
          <w:bCs/>
          <w:sz w:val="24"/>
          <w:szCs w:val="24"/>
        </w:rPr>
        <w:t xml:space="preserve">de conservação. </w:t>
      </w:r>
    </w:p>
    <w:p w14:paraId="71340687" w14:textId="77777777" w:rsidR="003949CE" w:rsidRDefault="003949CE" w:rsidP="007E6257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73EB5E4E" w14:textId="5144AB85" w:rsidR="003949CE" w:rsidRDefault="003949CE" w:rsidP="003C10C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</w:t>
      </w:r>
      <w:r w:rsidR="005B781E">
        <w:rPr>
          <w:sz w:val="24"/>
          <w:szCs w:val="24"/>
        </w:rPr>
        <w:t xml:space="preserve"> </w:t>
      </w:r>
      <w:r w:rsidR="000A1B4B">
        <w:rPr>
          <w:sz w:val="24"/>
          <w:szCs w:val="24"/>
        </w:rPr>
        <w:t>Ciências Agr</w:t>
      </w:r>
      <w:r w:rsidR="000436E8">
        <w:rPr>
          <w:sz w:val="24"/>
          <w:szCs w:val="24"/>
        </w:rPr>
        <w:t>á</w:t>
      </w:r>
      <w:r w:rsidR="000A1B4B">
        <w:rPr>
          <w:sz w:val="24"/>
          <w:szCs w:val="24"/>
        </w:rPr>
        <w:t>rias</w:t>
      </w:r>
      <w:r w:rsidR="000D7D47">
        <w:rPr>
          <w:sz w:val="24"/>
          <w:szCs w:val="24"/>
        </w:rPr>
        <w:t>.</w:t>
      </w:r>
    </w:p>
    <w:p w14:paraId="6C30600B" w14:textId="77777777" w:rsidR="000D7D47" w:rsidRDefault="000D7D47" w:rsidP="003C10C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619ECA09" w14:textId="77777777" w:rsidR="000D7D47" w:rsidRDefault="000D7D47" w:rsidP="003C10C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24B0A148" w14:textId="77777777" w:rsidR="000D7D47" w:rsidRDefault="000D7D47" w:rsidP="003C10C8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</w:p>
    <w:p w14:paraId="748D6F32" w14:textId="77777777" w:rsidR="000D7D47" w:rsidRDefault="000D7D47" w:rsidP="002769A5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27730082" w14:textId="1E116571" w:rsidR="00790AC6" w:rsidRPr="0002551B" w:rsidRDefault="003949CE" w:rsidP="0002551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</w:pPr>
      <w:r>
        <w:rPr>
          <w:b/>
          <w:sz w:val="24"/>
          <w:szCs w:val="24"/>
        </w:rPr>
        <w:t xml:space="preserve">1. INTRODUÇÃO </w:t>
      </w:r>
    </w:p>
    <w:p w14:paraId="619F0A90" w14:textId="391C9E44" w:rsidR="00D23201" w:rsidRDefault="00793781" w:rsidP="004F1FE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Os remanescentes florestais urbanos exercem papel fundamental na manutenção da biodiversidade e na oferta de serviços ecossistêmicos, atuando como reguladores microclimáticos e refúgios para a fauna e flora em meio ao crescimento das cidades (Santos </w:t>
      </w:r>
      <w:r w:rsidRPr="00F55464">
        <w:rPr>
          <w:i/>
          <w:iCs/>
          <w:color w:val="000000" w:themeColor="text1"/>
          <w:sz w:val="24"/>
          <w:szCs w:val="24"/>
        </w:rPr>
        <w:t>et al.</w:t>
      </w:r>
      <w:r>
        <w:rPr>
          <w:color w:val="000000" w:themeColor="text1"/>
          <w:sz w:val="24"/>
          <w:szCs w:val="24"/>
        </w:rPr>
        <w:t xml:space="preserve">, 2024). Esses fragmentos contribuem para a melhoria da qualidade de vida da população urbana, reduzindo as temperaturas locais, mitigando o efeito de ilhas de calor e auxiliando na retenção de poluentes atmosféricos e sonoros (Correa </w:t>
      </w:r>
      <w:r w:rsidRPr="00F55464">
        <w:rPr>
          <w:i/>
          <w:iCs/>
          <w:color w:val="000000" w:themeColor="text1"/>
          <w:sz w:val="24"/>
          <w:szCs w:val="24"/>
        </w:rPr>
        <w:t>et al.</w:t>
      </w:r>
      <w:r>
        <w:rPr>
          <w:color w:val="000000" w:themeColor="text1"/>
          <w:sz w:val="24"/>
          <w:szCs w:val="24"/>
        </w:rPr>
        <w:t xml:space="preserve">, 2019). No entanto, </w:t>
      </w:r>
      <w:r w:rsidR="0002159F">
        <w:rPr>
          <w:color w:val="000000" w:themeColor="text1"/>
          <w:sz w:val="24"/>
          <w:szCs w:val="24"/>
        </w:rPr>
        <w:t xml:space="preserve">a intensificação da urbanização </w:t>
      </w:r>
      <w:r w:rsidR="0002551B">
        <w:rPr>
          <w:color w:val="000000" w:themeColor="text1"/>
          <w:sz w:val="24"/>
          <w:szCs w:val="24"/>
        </w:rPr>
        <w:t xml:space="preserve">têm provocado a fragmentação e o isolamento desses ambientes, comprometendo sua integridade ecológica e a conectividade entre áreas naturais (Lopes </w:t>
      </w:r>
      <w:r w:rsidR="0002551B" w:rsidRPr="00743B2C">
        <w:rPr>
          <w:i/>
          <w:iCs/>
          <w:color w:val="000000" w:themeColor="text1"/>
          <w:sz w:val="24"/>
          <w:szCs w:val="24"/>
        </w:rPr>
        <w:t>et al.</w:t>
      </w:r>
      <w:r w:rsidR="0002551B">
        <w:rPr>
          <w:color w:val="000000" w:themeColor="text1"/>
          <w:sz w:val="24"/>
          <w:szCs w:val="24"/>
        </w:rPr>
        <w:t>, 2022).</w:t>
      </w:r>
    </w:p>
    <w:p w14:paraId="00041C3F" w14:textId="15D439BA" w:rsidR="00503D26" w:rsidRDefault="00B45339" w:rsidP="004F1FE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Na Região Metropolitana de Belém (RMB), os parques e unidades de conservação inseridos no espaço urbano têm assumido papel essencial na manutenção dos remanescentes florestais. Esses ambientes abrigam importante diversidade biológica e funcionam como refúgios ecológicos, possibilitando a regeneração natural e a continuidade dos processos sucessionais (Ferreira </w:t>
      </w:r>
      <w:r w:rsidRPr="00177245">
        <w:rPr>
          <w:i/>
          <w:iCs/>
          <w:color w:val="000000" w:themeColor="text1"/>
          <w:sz w:val="24"/>
          <w:szCs w:val="24"/>
        </w:rPr>
        <w:t>et al.</w:t>
      </w:r>
      <w:r>
        <w:rPr>
          <w:color w:val="000000" w:themeColor="text1"/>
          <w:sz w:val="24"/>
          <w:szCs w:val="24"/>
        </w:rPr>
        <w:t xml:space="preserve">, 2023). A compreensão da composição e da estrutura dessas formações vegetais fornece subsídios para ações de manejo, restauração e educação ambiental, reforçando o valor ecológico e social desses espaços (Amaral </w:t>
      </w:r>
      <w:r w:rsidRPr="00503D26">
        <w:rPr>
          <w:i/>
          <w:iCs/>
          <w:color w:val="000000" w:themeColor="text1"/>
          <w:sz w:val="24"/>
          <w:szCs w:val="24"/>
        </w:rPr>
        <w:t>et al.</w:t>
      </w:r>
      <w:r>
        <w:rPr>
          <w:color w:val="000000" w:themeColor="text1"/>
          <w:sz w:val="24"/>
          <w:szCs w:val="24"/>
        </w:rPr>
        <w:t>, 2021).</w:t>
      </w:r>
    </w:p>
    <w:p w14:paraId="38BC45A6" w14:textId="5C8709EA" w:rsidR="00503D26" w:rsidRDefault="00503D26" w:rsidP="004F1FE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 estudo dos grupos ecológicos sucessionais permite compreender o estágio de desenvolvimento e a dinâmica de regeneração de florestas tropicais, sendo uma ferramenta fundamental para o planejamento de estratégias de conservação e recuperação (Machado </w:t>
      </w:r>
      <w:r w:rsidRPr="000A2ED1">
        <w:rPr>
          <w:i/>
          <w:iCs/>
          <w:color w:val="000000" w:themeColor="text1"/>
          <w:sz w:val="24"/>
          <w:szCs w:val="24"/>
        </w:rPr>
        <w:t>et al.</w:t>
      </w:r>
      <w:r>
        <w:rPr>
          <w:color w:val="000000" w:themeColor="text1"/>
          <w:sz w:val="24"/>
          <w:szCs w:val="24"/>
        </w:rPr>
        <w:t xml:space="preserve">, 2017). Em áreas urbanas, essa </w:t>
      </w:r>
      <w:r w:rsidR="00350B82">
        <w:rPr>
          <w:color w:val="000000" w:themeColor="text1"/>
          <w:sz w:val="24"/>
          <w:szCs w:val="24"/>
        </w:rPr>
        <w:t>análise</w:t>
      </w:r>
      <w:r>
        <w:rPr>
          <w:color w:val="000000" w:themeColor="text1"/>
          <w:sz w:val="24"/>
          <w:szCs w:val="24"/>
        </w:rPr>
        <w:t xml:space="preserve"> é especialmente relevante, pois evidencia a capacidade de resiliência dos ecossistemas frente às perturbações antrópicas, além de indicar o potencial de cada fragmento em contribuir para o equilíbrio ambiental e a conectividade ecológica (Santana; Fonseca; Carvalho, 2019).</w:t>
      </w:r>
    </w:p>
    <w:p w14:paraId="2EA9ED9B" w14:textId="546628B3" w:rsidR="000A2ED1" w:rsidRDefault="000A2ED1" w:rsidP="004F1FE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40" w:line="360" w:lineRule="auto"/>
        <w:ind w:firstLine="69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Diante desse contexto, o Parque Natural Municipal de Castanhal (PNMC), localizado na Região Metropolitana de Belém, representa um importante remanescente florestal inserido em ambiente urbano. Assim, o presente estudo tem como objetivo analisar a composição dos grupos ecológicos sucessionais das espécies arbóreas do PNMC, </w:t>
      </w:r>
      <w:r w:rsidR="00F27328">
        <w:rPr>
          <w:color w:val="000000" w:themeColor="text1"/>
          <w:sz w:val="24"/>
          <w:szCs w:val="24"/>
        </w:rPr>
        <w:t>com o intuito d</w:t>
      </w:r>
      <w:r>
        <w:rPr>
          <w:color w:val="000000" w:themeColor="text1"/>
          <w:sz w:val="24"/>
          <w:szCs w:val="24"/>
        </w:rPr>
        <w:t>e compreender o estágio sucessional predominante e suas implicações para o estado de conservação da área, fornecendo subsídios para o manejo e a recuperação da vegetação nativa.</w:t>
      </w:r>
    </w:p>
    <w:p w14:paraId="309E8D17" w14:textId="6960D5AD" w:rsidR="003949CE" w:rsidRDefault="003949CE" w:rsidP="001A63A5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METODOLOGIA</w:t>
      </w:r>
    </w:p>
    <w:p w14:paraId="128B7D80" w14:textId="230AEC9C" w:rsidR="008A09A7" w:rsidRPr="008A09A7" w:rsidRDefault="00C87AF4" w:rsidP="003E205B">
      <w:pPr>
        <w:pBdr>
          <w:bottom w:val="none" w:sz="0" w:space="18" w:color="000000"/>
        </w:pBd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2.1 ÁREA DE ESTUDO </w:t>
      </w:r>
    </w:p>
    <w:p w14:paraId="0CF6467E" w14:textId="77777777" w:rsidR="000C35BA" w:rsidRPr="007E11BC" w:rsidRDefault="00F942E7" w:rsidP="007E11B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9"/>
        <w:jc w:val="both"/>
        <w:rPr>
          <w:color w:val="000000" w:themeColor="text1"/>
          <w:sz w:val="24"/>
          <w:szCs w:val="24"/>
        </w:rPr>
      </w:pPr>
      <w:r w:rsidRPr="007E11BC">
        <w:rPr>
          <w:color w:val="000000" w:themeColor="text1"/>
          <w:sz w:val="24"/>
          <w:szCs w:val="24"/>
        </w:rPr>
        <w:t xml:space="preserve">O estudo foi realizado no Parque Natural Municipal de Castanhal (PNMC), localizado no município de Castanhal, estado do Pará, integrando a Região Metropolitana de Belém (RMB). A Unidade de Conservação de Proteção Integral possui área aproximada de 15,255 hectares e situa-se a cerca de 68 km da capital Belém. Criado em 2018, o PNMC resulta de parceria entre a Prefeitura Municipal de Castanhal, a Secretaria Municipal de Meio Ambiente e o Instituto de Desenvolvimento Florestal e da Biodiversidade do Estado do Pará (IDEFLOR-Bio) (Castanhal, 2018). </w:t>
      </w:r>
    </w:p>
    <w:p w14:paraId="12C2737D" w14:textId="5EFB0C8A" w:rsidR="006511DF" w:rsidRPr="000C35BA" w:rsidRDefault="006511DF" w:rsidP="000C35BA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 w:rsidRPr="009165C7">
        <w:rPr>
          <w:bCs/>
        </w:rPr>
        <w:t xml:space="preserve">Figura 1 – </w:t>
      </w:r>
      <w:r w:rsidR="009165C7" w:rsidRPr="009165C7">
        <w:rPr>
          <w:color w:val="000000"/>
        </w:rPr>
        <w:t>Mapa de localização do Parque Natural Municipal de Castanhal</w:t>
      </w:r>
      <w:r w:rsidRPr="009165C7">
        <w:rPr>
          <w:bCs/>
        </w:rPr>
        <w:t>.</w:t>
      </w:r>
    </w:p>
    <w:p w14:paraId="1DEACBB6" w14:textId="37E21377" w:rsidR="003E2C73" w:rsidRDefault="006728B4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  <w:r>
        <w:rPr>
          <w:noProof/>
          <w:highlight w:val="white"/>
        </w:rPr>
        <w:drawing>
          <wp:anchor distT="0" distB="0" distL="114300" distR="114300" simplePos="0" relativeHeight="251658241" behindDoc="0" locked="0" layoutInCell="1" allowOverlap="1" wp14:anchorId="3D63105C" wp14:editId="7A4C4FF9">
            <wp:simplePos x="0" y="0"/>
            <wp:positionH relativeFrom="column">
              <wp:posOffset>899795</wp:posOffset>
            </wp:positionH>
            <wp:positionV relativeFrom="paragraph">
              <wp:posOffset>56515</wp:posOffset>
            </wp:positionV>
            <wp:extent cx="4264660" cy="2819400"/>
            <wp:effectExtent l="0" t="0" r="2540" b="0"/>
            <wp:wrapThrough wrapText="bothSides">
              <wp:wrapPolygon edited="0">
                <wp:start x="0" y="0"/>
                <wp:lineTo x="0" y="21454"/>
                <wp:lineTo x="21516" y="21454"/>
                <wp:lineTo x="21516" y="0"/>
                <wp:lineTo x="0" y="0"/>
              </wp:wrapPolygon>
            </wp:wrapThrough>
            <wp:docPr id="92242536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25362" name="image5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690CB" w14:textId="77777777" w:rsidR="006511DF" w:rsidRDefault="006511DF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4E7E8ABA" w14:textId="1912FBFB" w:rsidR="00804275" w:rsidRDefault="00804275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077A7E3E" w14:textId="3D4942F1" w:rsidR="00804275" w:rsidRDefault="00804275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06EB1A6D" w14:textId="77777777" w:rsidR="00804275" w:rsidRDefault="00804275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28AD5CBE" w14:textId="77777777" w:rsidR="00804275" w:rsidRDefault="00804275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2C8FA415" w14:textId="77777777" w:rsidR="00804275" w:rsidRDefault="00804275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343E28DC" w14:textId="77777777" w:rsidR="00804275" w:rsidRDefault="00804275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0426BDC0" w14:textId="77777777" w:rsidR="00804275" w:rsidRDefault="00804275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080365B1" w14:textId="77777777" w:rsidR="00A93850" w:rsidRDefault="00A93850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0F920D29" w14:textId="77777777" w:rsidR="00804275" w:rsidRDefault="00804275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002A5A3D" w14:textId="24D2334B" w:rsidR="00804275" w:rsidRDefault="00804275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09369FEA" w14:textId="77777777" w:rsidR="00A93850" w:rsidRDefault="00A93850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41C09E43" w14:textId="77777777" w:rsidR="00A93850" w:rsidRDefault="00A93850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11775D5B" w14:textId="3283FC81" w:rsidR="00A93850" w:rsidRPr="00610265" w:rsidRDefault="00610265" w:rsidP="00610265">
      <w:pPr>
        <w:pBdr>
          <w:bottom w:val="none" w:sz="0" w:space="18" w:color="000000"/>
        </w:pBdr>
        <w:shd w:val="clear" w:color="auto" w:fill="FFFFFF"/>
        <w:tabs>
          <w:tab w:val="left" w:pos="2500"/>
        </w:tabs>
        <w:jc w:val="both"/>
        <w:rPr>
          <w:bCs/>
        </w:rPr>
      </w:pPr>
      <w:r w:rsidRPr="00610265">
        <w:rPr>
          <w:bCs/>
        </w:rPr>
        <w:t>Fonte: Autores, 2025.</w:t>
      </w:r>
    </w:p>
    <w:p w14:paraId="621E7719" w14:textId="77777777" w:rsidR="00032887" w:rsidRDefault="00032887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</w:p>
    <w:p w14:paraId="5E02C2CD" w14:textId="77777777" w:rsidR="003A0558" w:rsidRDefault="00032887" w:rsidP="003A055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2.2 </w:t>
      </w:r>
      <w:r w:rsidR="00241DE4">
        <w:rPr>
          <w:bCs/>
          <w:sz w:val="24"/>
          <w:szCs w:val="24"/>
        </w:rPr>
        <w:t xml:space="preserve">TIPO DE PESQUISA </w:t>
      </w:r>
    </w:p>
    <w:p w14:paraId="13570BB4" w14:textId="2AF80E7C" w:rsidR="00214F98" w:rsidRPr="007E11BC" w:rsidRDefault="00214F98" w:rsidP="007E11B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9"/>
        <w:jc w:val="both"/>
        <w:rPr>
          <w:color w:val="000000" w:themeColor="text1"/>
          <w:sz w:val="24"/>
          <w:szCs w:val="24"/>
        </w:rPr>
      </w:pPr>
      <w:r w:rsidRPr="007E11BC">
        <w:rPr>
          <w:color w:val="000000" w:themeColor="text1"/>
          <w:sz w:val="24"/>
          <w:szCs w:val="24"/>
        </w:rPr>
        <w:t>A pesquisa possui caráter descritivo e quantitativo, com abordagem exploratória, voltada à caracterização dos grupos ecológicos sucessionais das espécies arbóreas registradas no PNMC. O estudo baseou-se em dados obtidos a partir de inventário florístico realizado na área.</w:t>
      </w:r>
    </w:p>
    <w:p w14:paraId="3153AFD4" w14:textId="69961F22" w:rsidR="00477701" w:rsidRDefault="00477701" w:rsidP="003A055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 AMOSTRA </w:t>
      </w:r>
    </w:p>
    <w:p w14:paraId="16766F11" w14:textId="588F8FA7" w:rsidR="00A406A0" w:rsidRPr="007E11BC" w:rsidRDefault="00A406A0" w:rsidP="007E11B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9"/>
        <w:jc w:val="both"/>
        <w:rPr>
          <w:color w:val="000000" w:themeColor="text1"/>
          <w:sz w:val="24"/>
          <w:szCs w:val="24"/>
        </w:rPr>
      </w:pPr>
      <w:r w:rsidRPr="007E11BC">
        <w:rPr>
          <w:color w:val="000000" w:themeColor="text1"/>
          <w:sz w:val="24"/>
          <w:szCs w:val="24"/>
        </w:rPr>
        <w:lastRenderedPageBreak/>
        <w:t xml:space="preserve">A amostragem abrangeu todas as árvores localizadas ao longo das trilhas existentes no parque. Foram incluídos na análise os indivíduos com circunferência à altura do peito (CAP) igual ou superior a 30 cm, medida a 1,30 m do solo (equivalente a DAP ≥ 10 cm). </w:t>
      </w:r>
    </w:p>
    <w:p w14:paraId="3081B3A5" w14:textId="1E7F6014" w:rsidR="005C4D03" w:rsidRDefault="005C4D03" w:rsidP="003A055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 </w:t>
      </w:r>
      <w:r w:rsidR="0095540B">
        <w:rPr>
          <w:sz w:val="24"/>
          <w:szCs w:val="24"/>
        </w:rPr>
        <w:t xml:space="preserve">COLETA DE DADOS </w:t>
      </w:r>
    </w:p>
    <w:p w14:paraId="2B8E8F2D" w14:textId="398CDB40" w:rsidR="00784777" w:rsidRPr="00561ED1" w:rsidRDefault="00672E1B" w:rsidP="00561ED1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9"/>
        <w:jc w:val="both"/>
        <w:rPr>
          <w:color w:val="000000" w:themeColor="text1"/>
          <w:sz w:val="24"/>
          <w:szCs w:val="24"/>
        </w:rPr>
      </w:pPr>
      <w:r w:rsidRPr="00561ED1">
        <w:rPr>
          <w:color w:val="000000" w:themeColor="text1"/>
          <w:sz w:val="24"/>
          <w:szCs w:val="24"/>
        </w:rPr>
        <w:t>A coleta e identificação das espécies foram realizadas por meio de observação direta e registro em campo, com o apoio de um parataxonomista especializado. A identificação botânica foi complementada por consultas à literatura científica. A classificação taxonômica seguiu o sistema Angiosperm Phylogeny Group IV</w:t>
      </w:r>
      <w:r w:rsidR="0067400E" w:rsidRPr="00561ED1">
        <w:rPr>
          <w:color w:val="000000" w:themeColor="text1"/>
          <w:sz w:val="24"/>
          <w:szCs w:val="24"/>
        </w:rPr>
        <w:t xml:space="preserve"> </w:t>
      </w:r>
      <w:r w:rsidRPr="00561ED1">
        <w:rPr>
          <w:color w:val="000000" w:themeColor="text1"/>
          <w:sz w:val="24"/>
          <w:szCs w:val="24"/>
        </w:rPr>
        <w:t>(APG IV, 2016). A nomenclatura científica e a confirmação das famílias botânicas foram verificadas na base Flora e Funga do Brasil (2020), garantindo padronização e atualização taxonômica.</w:t>
      </w:r>
    </w:p>
    <w:p w14:paraId="6177A15A" w14:textId="6281AE53" w:rsidR="00FA3D49" w:rsidRDefault="008A08B0" w:rsidP="00E03A9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2.5 ANÁLISE DE DADOS </w:t>
      </w:r>
    </w:p>
    <w:p w14:paraId="4EE51277" w14:textId="77777777" w:rsidR="002D0000" w:rsidRPr="00561ED1" w:rsidRDefault="007A2EBF" w:rsidP="00561ED1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9"/>
        <w:jc w:val="both"/>
        <w:rPr>
          <w:color w:val="000000" w:themeColor="text1"/>
          <w:sz w:val="24"/>
          <w:szCs w:val="24"/>
        </w:rPr>
      </w:pPr>
      <w:r w:rsidRPr="00561ED1">
        <w:rPr>
          <w:color w:val="000000" w:themeColor="text1"/>
          <w:sz w:val="24"/>
          <w:szCs w:val="24"/>
        </w:rPr>
        <w:t>As esp</w:t>
      </w:r>
      <w:r w:rsidRPr="00561ED1">
        <w:rPr>
          <w:rFonts w:hint="eastAsia"/>
          <w:color w:val="000000" w:themeColor="text1"/>
          <w:sz w:val="24"/>
          <w:szCs w:val="24"/>
        </w:rPr>
        <w:t>é</w:t>
      </w:r>
      <w:r w:rsidRPr="00561ED1">
        <w:rPr>
          <w:color w:val="000000" w:themeColor="text1"/>
          <w:sz w:val="24"/>
          <w:szCs w:val="24"/>
        </w:rPr>
        <w:t>cies foram classificadas nos grupos sucessionais: pioneiras, secund</w:t>
      </w:r>
      <w:r w:rsidRPr="00561ED1">
        <w:rPr>
          <w:rFonts w:hint="eastAsia"/>
          <w:color w:val="000000" w:themeColor="text1"/>
          <w:sz w:val="24"/>
          <w:szCs w:val="24"/>
        </w:rPr>
        <w:t>á</w:t>
      </w:r>
      <w:r w:rsidRPr="00561ED1">
        <w:rPr>
          <w:color w:val="000000" w:themeColor="text1"/>
          <w:sz w:val="24"/>
          <w:szCs w:val="24"/>
        </w:rPr>
        <w:t>rias iniciais, secund</w:t>
      </w:r>
      <w:r w:rsidRPr="00561ED1">
        <w:rPr>
          <w:rFonts w:hint="eastAsia"/>
          <w:color w:val="000000" w:themeColor="text1"/>
          <w:sz w:val="24"/>
          <w:szCs w:val="24"/>
        </w:rPr>
        <w:t>á</w:t>
      </w:r>
      <w:r w:rsidRPr="00561ED1">
        <w:rPr>
          <w:color w:val="000000" w:themeColor="text1"/>
          <w:sz w:val="24"/>
          <w:szCs w:val="24"/>
        </w:rPr>
        <w:t>rias tardias e cl</w:t>
      </w:r>
      <w:r w:rsidRPr="00561ED1">
        <w:rPr>
          <w:rFonts w:hint="eastAsia"/>
          <w:color w:val="000000" w:themeColor="text1"/>
          <w:sz w:val="24"/>
          <w:szCs w:val="24"/>
        </w:rPr>
        <w:t>í</w:t>
      </w:r>
      <w:r w:rsidRPr="00561ED1">
        <w:rPr>
          <w:color w:val="000000" w:themeColor="text1"/>
          <w:sz w:val="24"/>
          <w:szCs w:val="24"/>
        </w:rPr>
        <w:t>max, conforme a tipologia proposta por Budowski (1965), com base em literatura especializada. Em casos sem informa</w:t>
      </w:r>
      <w:r w:rsidRPr="00561ED1">
        <w:rPr>
          <w:rFonts w:hint="eastAsia"/>
          <w:color w:val="000000" w:themeColor="text1"/>
          <w:sz w:val="24"/>
          <w:szCs w:val="24"/>
        </w:rPr>
        <w:t>çã</w:t>
      </w:r>
      <w:r w:rsidRPr="00561ED1">
        <w:rPr>
          <w:color w:val="000000" w:themeColor="text1"/>
          <w:sz w:val="24"/>
          <w:szCs w:val="24"/>
        </w:rPr>
        <w:t>o espec</w:t>
      </w:r>
      <w:r w:rsidRPr="00561ED1">
        <w:rPr>
          <w:rFonts w:hint="eastAsia"/>
          <w:color w:val="000000" w:themeColor="text1"/>
          <w:sz w:val="24"/>
          <w:szCs w:val="24"/>
        </w:rPr>
        <w:t>í</w:t>
      </w:r>
      <w:r w:rsidRPr="00561ED1">
        <w:rPr>
          <w:color w:val="000000" w:themeColor="text1"/>
          <w:sz w:val="24"/>
          <w:szCs w:val="24"/>
        </w:rPr>
        <w:t>fica, adotou-se a classifica</w:t>
      </w:r>
      <w:r w:rsidRPr="00561ED1">
        <w:rPr>
          <w:rFonts w:hint="eastAsia"/>
          <w:color w:val="000000" w:themeColor="text1"/>
          <w:sz w:val="24"/>
          <w:szCs w:val="24"/>
        </w:rPr>
        <w:t>çã</w:t>
      </w:r>
      <w:r w:rsidRPr="00561ED1">
        <w:rPr>
          <w:color w:val="000000" w:themeColor="text1"/>
          <w:sz w:val="24"/>
          <w:szCs w:val="24"/>
        </w:rPr>
        <w:t>o pelo g</w:t>
      </w:r>
      <w:r w:rsidRPr="00561ED1">
        <w:rPr>
          <w:rFonts w:hint="eastAsia"/>
          <w:color w:val="000000" w:themeColor="text1"/>
          <w:sz w:val="24"/>
          <w:szCs w:val="24"/>
        </w:rPr>
        <w:t>ê</w:t>
      </w:r>
      <w:r w:rsidRPr="00561ED1">
        <w:rPr>
          <w:color w:val="000000" w:themeColor="text1"/>
          <w:sz w:val="24"/>
          <w:szCs w:val="24"/>
        </w:rPr>
        <w:t>nero, considerando estudos de din</w:t>
      </w:r>
      <w:r w:rsidRPr="00561ED1">
        <w:rPr>
          <w:rFonts w:hint="eastAsia"/>
          <w:color w:val="000000" w:themeColor="text1"/>
          <w:sz w:val="24"/>
          <w:szCs w:val="24"/>
        </w:rPr>
        <w:t>â</w:t>
      </w:r>
      <w:r w:rsidRPr="00561ED1">
        <w:rPr>
          <w:color w:val="000000" w:themeColor="text1"/>
          <w:sz w:val="24"/>
          <w:szCs w:val="24"/>
        </w:rPr>
        <w:t>mica florestal, de acordo com Gandolfi, Leit</w:t>
      </w:r>
      <w:r w:rsidRPr="00561ED1">
        <w:rPr>
          <w:rFonts w:hint="eastAsia"/>
          <w:color w:val="000000" w:themeColor="text1"/>
          <w:sz w:val="24"/>
          <w:szCs w:val="24"/>
        </w:rPr>
        <w:t>ã</w:t>
      </w:r>
      <w:r w:rsidRPr="00561ED1">
        <w:rPr>
          <w:color w:val="000000" w:themeColor="text1"/>
          <w:sz w:val="24"/>
          <w:szCs w:val="24"/>
        </w:rPr>
        <w:t>o Filho e Bezerra (1995).</w:t>
      </w:r>
    </w:p>
    <w:p w14:paraId="2D3E6FC1" w14:textId="77777777" w:rsidR="00B126C7" w:rsidRDefault="003949CE" w:rsidP="00B126C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3. RESULTADOS E DISCUSSÃO</w:t>
      </w:r>
    </w:p>
    <w:p w14:paraId="6D10F8D3" w14:textId="7A780337" w:rsidR="00B126C7" w:rsidRPr="00561ED1" w:rsidRDefault="00450D93" w:rsidP="00561ED1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699"/>
        <w:jc w:val="both"/>
        <w:rPr>
          <w:color w:val="000000" w:themeColor="text1"/>
          <w:sz w:val="24"/>
          <w:szCs w:val="24"/>
        </w:rPr>
      </w:pPr>
      <w:r w:rsidRPr="00561ED1">
        <w:rPr>
          <w:color w:val="000000" w:themeColor="text1"/>
          <w:sz w:val="24"/>
          <w:szCs w:val="24"/>
        </w:rPr>
        <w:t xml:space="preserve">Foram registradas 99 espécies, distribuídas em 86 gêneros e 38 famílias. </w:t>
      </w:r>
      <w:r w:rsidR="001D57C6" w:rsidRPr="00561ED1">
        <w:rPr>
          <w:color w:val="000000" w:themeColor="text1"/>
          <w:sz w:val="24"/>
          <w:szCs w:val="24"/>
        </w:rPr>
        <w:t xml:space="preserve">A análise das espécies identificadas revelou predominância do grupo das secundárias tardias, seguido pelas secundárias iniciais e pioneiras, com menor proporção de espécies clímax (Figura </w:t>
      </w:r>
      <w:r w:rsidR="00DC4544" w:rsidRPr="00561ED1">
        <w:rPr>
          <w:color w:val="000000" w:themeColor="text1"/>
          <w:sz w:val="24"/>
          <w:szCs w:val="24"/>
        </w:rPr>
        <w:t>2</w:t>
      </w:r>
      <w:r w:rsidR="001D57C6" w:rsidRPr="00561ED1">
        <w:rPr>
          <w:color w:val="000000" w:themeColor="text1"/>
          <w:sz w:val="24"/>
          <w:szCs w:val="24"/>
        </w:rPr>
        <w:t xml:space="preserve">). Esse padrão de distribuição é semelhante ao observado em outros fragmentos urbanos da RMB, como o Parque Ambiental Antônio Lourenço da Silva Danúbio, em Ananindeua (Vulcão </w:t>
      </w:r>
      <w:r w:rsidR="001D57C6" w:rsidRPr="00A72D35">
        <w:rPr>
          <w:i/>
          <w:iCs/>
          <w:sz w:val="24"/>
          <w:szCs w:val="24"/>
        </w:rPr>
        <w:t>et al</w:t>
      </w:r>
      <w:r w:rsidR="001D57C6" w:rsidRPr="00561ED1">
        <w:rPr>
          <w:color w:val="000000" w:themeColor="text1"/>
          <w:sz w:val="24"/>
          <w:szCs w:val="24"/>
        </w:rPr>
        <w:t>., 2022), e o Bosque Rodrigues Alves, em Belém (Lau; Ferreira; Jardim, 2020), onde também há prevalência de espécies tardias associadas a florestas em regeneração avançada.</w:t>
      </w:r>
    </w:p>
    <w:p w14:paraId="29726C18" w14:textId="3F26A8B2" w:rsidR="003949CE" w:rsidRPr="00B126C7" w:rsidRDefault="003949CE" w:rsidP="0089191F">
      <w:pPr>
        <w:pBdr>
          <w:bottom w:val="none" w:sz="0" w:space="1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highlight w:val="white"/>
        </w:rPr>
        <w:t>Figura 2 –</w:t>
      </w:r>
      <w:r w:rsidR="00FC1C71">
        <w:rPr>
          <w:highlight w:val="white"/>
        </w:rPr>
        <w:t xml:space="preserve"> Distribuição das espécies por grupos ecológicos sucessionais no Parque Natural Municipal de Castanhal</w:t>
      </w:r>
      <w:r>
        <w:rPr>
          <w:highlight w:val="white"/>
        </w:rPr>
        <w:t>.</w:t>
      </w:r>
    </w:p>
    <w:p w14:paraId="5D11EF2C" w14:textId="075E65E8" w:rsidR="003949CE" w:rsidRDefault="003949CE" w:rsidP="0089191F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noProof/>
          <w:highlight w:val="white"/>
        </w:rPr>
        <w:lastRenderedPageBreak/>
        <w:drawing>
          <wp:anchor distT="0" distB="0" distL="114300" distR="114300" simplePos="0" relativeHeight="251658240" behindDoc="0" locked="0" layoutInCell="1" allowOverlap="1" wp14:anchorId="59889157" wp14:editId="0D1A1C0F">
            <wp:simplePos x="0" y="0"/>
            <wp:positionH relativeFrom="column">
              <wp:posOffset>1310361</wp:posOffset>
            </wp:positionH>
            <wp:positionV relativeFrom="paragraph">
              <wp:posOffset>110375</wp:posOffset>
            </wp:positionV>
            <wp:extent cx="3193626" cy="2395220"/>
            <wp:effectExtent l="0" t="0" r="6985" b="5080"/>
            <wp:wrapThrough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hrough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3626" cy="2395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472DBF" w14:textId="77777777" w:rsidR="003949CE" w:rsidRDefault="003949CE" w:rsidP="003949CE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color w:val="FF0000"/>
          <w:sz w:val="24"/>
          <w:szCs w:val="24"/>
          <w:u w:val="single"/>
        </w:rPr>
      </w:pPr>
    </w:p>
    <w:p w14:paraId="45FDA15D" w14:textId="40F3213D" w:rsidR="003949CE" w:rsidRDefault="003949CE" w:rsidP="0089191F">
      <w:pPr>
        <w:shd w:val="clear" w:color="auto" w:fill="FFFFFF"/>
        <w:tabs>
          <w:tab w:val="left" w:pos="2500"/>
        </w:tabs>
        <w:spacing w:line="360" w:lineRule="auto"/>
        <w:rPr>
          <w:b/>
          <w:color w:val="FF0000"/>
          <w:sz w:val="24"/>
          <w:szCs w:val="24"/>
          <w:u w:val="single"/>
        </w:rPr>
      </w:pPr>
    </w:p>
    <w:p w14:paraId="412654C1" w14:textId="77777777" w:rsidR="003949CE" w:rsidRDefault="003949CE" w:rsidP="003949CE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color w:val="FF0000"/>
          <w:sz w:val="24"/>
          <w:szCs w:val="24"/>
          <w:u w:val="single"/>
        </w:rPr>
      </w:pPr>
    </w:p>
    <w:p w14:paraId="4A8FD4A2" w14:textId="26EA30F0" w:rsidR="003949CE" w:rsidRDefault="003949CE" w:rsidP="003949CE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color w:val="FF0000"/>
          <w:sz w:val="24"/>
          <w:szCs w:val="24"/>
          <w:u w:val="single"/>
        </w:rPr>
      </w:pPr>
    </w:p>
    <w:p w14:paraId="6125E85A" w14:textId="77777777" w:rsidR="003949CE" w:rsidRDefault="003949CE" w:rsidP="003949CE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color w:val="FF0000"/>
          <w:sz w:val="24"/>
          <w:szCs w:val="24"/>
          <w:u w:val="single"/>
        </w:rPr>
      </w:pPr>
    </w:p>
    <w:p w14:paraId="376500BC" w14:textId="77777777" w:rsidR="003949CE" w:rsidRDefault="003949CE" w:rsidP="003949CE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color w:val="FF0000"/>
          <w:sz w:val="24"/>
          <w:szCs w:val="24"/>
          <w:u w:val="single"/>
        </w:rPr>
      </w:pPr>
    </w:p>
    <w:p w14:paraId="1F863A40" w14:textId="77777777" w:rsidR="003949CE" w:rsidRDefault="003949CE" w:rsidP="003949CE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color w:val="FF0000"/>
          <w:sz w:val="24"/>
          <w:szCs w:val="24"/>
          <w:u w:val="single"/>
        </w:rPr>
      </w:pPr>
    </w:p>
    <w:p w14:paraId="639DB8C5" w14:textId="77777777" w:rsidR="003949CE" w:rsidRDefault="003949CE" w:rsidP="003949CE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color w:val="FF0000"/>
          <w:sz w:val="24"/>
          <w:szCs w:val="24"/>
          <w:u w:val="single"/>
        </w:rPr>
      </w:pPr>
    </w:p>
    <w:p w14:paraId="3747B46A" w14:textId="77777777" w:rsidR="003949CE" w:rsidRDefault="003949CE" w:rsidP="003949CE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color w:val="FF0000"/>
          <w:sz w:val="24"/>
          <w:szCs w:val="24"/>
          <w:u w:val="single"/>
        </w:rPr>
      </w:pPr>
    </w:p>
    <w:p w14:paraId="4D7B32C5" w14:textId="77777777" w:rsidR="00D96310" w:rsidRDefault="00D96310" w:rsidP="0023794C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both"/>
        <w:rPr>
          <w:highlight w:val="white"/>
        </w:rPr>
      </w:pPr>
    </w:p>
    <w:p w14:paraId="3CDCCCE2" w14:textId="1B5CAD90" w:rsidR="003949CE" w:rsidRDefault="003949CE" w:rsidP="0023794C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both"/>
        <w:rPr>
          <w:highlight w:val="white"/>
        </w:rPr>
      </w:pPr>
      <w:r>
        <w:rPr>
          <w:highlight w:val="white"/>
        </w:rPr>
        <w:t xml:space="preserve">Fonte: </w:t>
      </w:r>
      <w:r w:rsidR="00F037E7">
        <w:rPr>
          <w:highlight w:val="white"/>
        </w:rPr>
        <w:t xml:space="preserve">Autores </w:t>
      </w:r>
      <w:r>
        <w:rPr>
          <w:highlight w:val="white"/>
        </w:rPr>
        <w:t>(20</w:t>
      </w:r>
      <w:r w:rsidR="00F037E7">
        <w:rPr>
          <w:highlight w:val="white"/>
        </w:rPr>
        <w:t>25</w:t>
      </w:r>
      <w:r>
        <w:rPr>
          <w:highlight w:val="white"/>
        </w:rPr>
        <w:t xml:space="preserve">). </w:t>
      </w:r>
    </w:p>
    <w:p w14:paraId="4A0BC91F" w14:textId="233F175E" w:rsidR="00631E78" w:rsidRDefault="00631E78" w:rsidP="00631E78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equilíbrio observado entre espécies pioneiras (26,3%) e secundárias iniciais (26,3%) sugere a existência de clareiras e de áreas em regeneração recente dentro do parque. Esses trechos podem ter origem em distúrbios naturais, como a queda de árvores, ou em intervenções antrópicas. A presença de espécies indicadoras de perturbação, como </w:t>
      </w:r>
      <w:r w:rsidRPr="00420381">
        <w:rPr>
          <w:i/>
          <w:iCs/>
          <w:sz w:val="24"/>
          <w:szCs w:val="24"/>
        </w:rPr>
        <w:t xml:space="preserve">Pourouma mollis </w:t>
      </w:r>
      <w:r>
        <w:rPr>
          <w:sz w:val="24"/>
          <w:szCs w:val="24"/>
        </w:rPr>
        <w:t xml:space="preserve">Trécul (Urticaceae), </w:t>
      </w:r>
      <w:r w:rsidRPr="00420381">
        <w:rPr>
          <w:i/>
          <w:iCs/>
          <w:sz w:val="24"/>
          <w:szCs w:val="24"/>
        </w:rPr>
        <w:t>Symphonia globulifera</w:t>
      </w:r>
      <w:r>
        <w:rPr>
          <w:sz w:val="24"/>
          <w:szCs w:val="24"/>
        </w:rPr>
        <w:t xml:space="preserve"> L.f.</w:t>
      </w:r>
      <w:r w:rsidR="00134E61">
        <w:rPr>
          <w:sz w:val="24"/>
          <w:szCs w:val="24"/>
        </w:rPr>
        <w:t xml:space="preserve"> (Clusiaceae) </w:t>
      </w:r>
      <w:r>
        <w:rPr>
          <w:sz w:val="24"/>
          <w:szCs w:val="24"/>
        </w:rPr>
        <w:t xml:space="preserve">e </w:t>
      </w:r>
      <w:r w:rsidRPr="00420381">
        <w:rPr>
          <w:i/>
          <w:iCs/>
          <w:sz w:val="24"/>
          <w:szCs w:val="24"/>
        </w:rPr>
        <w:t>Tapirira guianensis</w:t>
      </w:r>
      <w:r>
        <w:rPr>
          <w:sz w:val="24"/>
          <w:szCs w:val="24"/>
        </w:rPr>
        <w:t xml:space="preserve"> Aubl.</w:t>
      </w:r>
      <w:r w:rsidR="00582D6B">
        <w:rPr>
          <w:sz w:val="24"/>
          <w:szCs w:val="24"/>
        </w:rPr>
        <w:t xml:space="preserve"> (</w:t>
      </w:r>
      <w:r w:rsidR="005A2172">
        <w:rPr>
          <w:sz w:val="24"/>
          <w:szCs w:val="24"/>
        </w:rPr>
        <w:t>Anacardiaceae)</w:t>
      </w:r>
      <w:r>
        <w:rPr>
          <w:sz w:val="24"/>
          <w:szCs w:val="24"/>
        </w:rPr>
        <w:t xml:space="preserve">, reforça essa interpretação, uma vez que são conhecidas por ocorrer em ambientes sujeitos a estresse ambiental (Ferreira </w:t>
      </w:r>
      <w:r w:rsidRPr="00EF575A"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>, 2023; Lau; Jardim, 2025).</w:t>
      </w:r>
    </w:p>
    <w:p w14:paraId="0178844D" w14:textId="4D1CE35F" w:rsidR="003949CE" w:rsidRDefault="00631E78" w:rsidP="009C0A65">
      <w:pPr>
        <w:widowControl/>
        <w:spacing w:after="24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 modo geral, a composição florística indica que o PNMC abriga um mosaico de ambientes em diferentes estágios de regeneração, onde áreas mais abertas coexistem com trechos de floresta</w:t>
      </w:r>
      <w:r w:rsidR="001C524E">
        <w:rPr>
          <w:sz w:val="24"/>
          <w:szCs w:val="24"/>
        </w:rPr>
        <w:t xml:space="preserve"> em estágio mais avançado</w:t>
      </w:r>
      <w:r>
        <w:rPr>
          <w:sz w:val="24"/>
          <w:szCs w:val="24"/>
        </w:rPr>
        <w:t xml:space="preserve">. Essa configuração reflete tanto a resiliência ecológica da vegetação quanto a influência de distúrbios históricos, sendo coerente com a caracterização de Silva (2017), que descreve o parque como formado por floresta ombrófila densa </w:t>
      </w:r>
      <w:r w:rsidR="00F47CF2">
        <w:rPr>
          <w:sz w:val="24"/>
          <w:szCs w:val="24"/>
        </w:rPr>
        <w:t xml:space="preserve">de terra firme relativamente preservada, áreas abertas em estágio inicial de regeneração, florestas secundárias e trechos de floresta plantada. </w:t>
      </w:r>
      <w:r>
        <w:rPr>
          <w:sz w:val="24"/>
          <w:szCs w:val="24"/>
        </w:rPr>
        <w:t>Essa diversidade estrutural reforça o papel ecológico do PNMC como espaço de conservação e como elo de conectividade para espécies em estágios sucessionais mais avançados.</w:t>
      </w:r>
    </w:p>
    <w:p w14:paraId="6EF26A43" w14:textId="795FD59B" w:rsidR="003949CE" w:rsidRDefault="003949CE" w:rsidP="00FC049F">
      <w:pPr>
        <w:widowControl/>
        <w:tabs>
          <w:tab w:val="left" w:pos="129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4"/>
          <w:szCs w:val="24"/>
        </w:rPr>
        <w:t xml:space="preserve">4. CONCLUSÃO </w:t>
      </w:r>
    </w:p>
    <w:p w14:paraId="3959B40C" w14:textId="05F78A1F" w:rsidR="00123AA7" w:rsidRPr="00983B17" w:rsidRDefault="003949CE" w:rsidP="00983B17">
      <w:pPr>
        <w:widowControl/>
        <w:tabs>
          <w:tab w:val="left" w:pos="699"/>
        </w:tabs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123AA7">
        <w:rPr>
          <w:sz w:val="24"/>
          <w:szCs w:val="24"/>
        </w:rPr>
        <w:t xml:space="preserve">O estudo dos grupos ecológicos sucessionais das espécies arbóreas do Parque Natural Municipal de Castanhal evidenciou um mosaico de ambientes em diferentes estágios de </w:t>
      </w:r>
      <w:r w:rsidR="00123AA7">
        <w:rPr>
          <w:sz w:val="24"/>
          <w:szCs w:val="24"/>
        </w:rPr>
        <w:lastRenderedPageBreak/>
        <w:t>regeneração, resultado de perturbações passadas e de processos naturais de recuperação.</w:t>
      </w:r>
      <w:r w:rsidR="00B415FC">
        <w:rPr>
          <w:sz w:val="24"/>
          <w:szCs w:val="24"/>
        </w:rPr>
        <w:t xml:space="preserve"> </w:t>
      </w:r>
      <w:r w:rsidR="00123AA7">
        <w:rPr>
          <w:sz w:val="24"/>
          <w:szCs w:val="24"/>
        </w:rPr>
        <w:t>Os resultados reforçam a importância do PNMC como espaço estratégico para a conservação e manutenção da conectividade ecológica na Região Metropolitana de Belém. Além disso, oferecem subsídios para o planejamento de ações de manejo e restauração que favoreçam o avanço sucessional e a consolidação da vegetação nativa, contribuindo para o equilíbrio ambiental e a sustentabilidade urbana.</w:t>
      </w:r>
    </w:p>
    <w:p w14:paraId="3B2868CD" w14:textId="452DFA7F" w:rsidR="003949CE" w:rsidRDefault="003949CE" w:rsidP="00DA0E76">
      <w:pPr>
        <w:widowControl/>
        <w:tabs>
          <w:tab w:val="left" w:pos="129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  <w:bookmarkStart w:id="0" w:name="_gjdgxs" w:colFirst="0" w:colLast="0"/>
      <w:bookmarkEnd w:id="0"/>
    </w:p>
    <w:p w14:paraId="5FBA2D0A" w14:textId="77777777" w:rsidR="00B62C2A" w:rsidRPr="00542814" w:rsidRDefault="00B62C2A" w:rsidP="00DA0E76">
      <w:pPr>
        <w:widowControl/>
        <w:tabs>
          <w:tab w:val="left" w:pos="1290"/>
        </w:tabs>
        <w:jc w:val="both"/>
        <w:rPr>
          <w:color w:val="FF0000"/>
          <w:sz w:val="24"/>
          <w:szCs w:val="24"/>
        </w:rPr>
      </w:pPr>
    </w:p>
    <w:p w14:paraId="79C4277D" w14:textId="6D756AA3" w:rsidR="00AB2E00" w:rsidRPr="00520153" w:rsidRDefault="006027CB" w:rsidP="006027CB">
      <w:pPr>
        <w:pStyle w:val="NormalWeb"/>
        <w:spacing w:before="0" w:beforeAutospacing="0" w:after="160" w:afterAutospacing="0"/>
        <w:jc w:val="both"/>
        <w:rPr>
          <w:lang w:val="en-US"/>
        </w:rPr>
      </w:pPr>
      <w:r>
        <w:rPr>
          <w:color w:val="000000"/>
        </w:rPr>
        <w:t xml:space="preserve">AMARAL, R. D. de A. M.; MORATO, R. G.; MARIANO, R. S.; FERREIRA, J. M. R. Ferramentas para gestão da floresta urbana. </w:t>
      </w:r>
      <w:r>
        <w:rPr>
          <w:b/>
          <w:bCs/>
          <w:color w:val="000000"/>
        </w:rPr>
        <w:t>Revista de Gestão Ambiental e Sustentabilidade</w:t>
      </w:r>
      <w:r>
        <w:rPr>
          <w:color w:val="000000"/>
        </w:rPr>
        <w:t>, [</w:t>
      </w:r>
      <w:r>
        <w:rPr>
          <w:i/>
          <w:iCs/>
          <w:color w:val="000000"/>
        </w:rPr>
        <w:t>s. l.</w:t>
      </w:r>
      <w:r>
        <w:rPr>
          <w:color w:val="000000"/>
        </w:rPr>
        <w:t xml:space="preserve">], v. 10, n. 1, p. e18131, set. 2021. DOI: </w:t>
      </w:r>
      <w:r w:rsidRPr="006027CB">
        <w:t>https://doi.org/10.5585/geas.v10i1.18131</w:t>
      </w:r>
      <w:r>
        <w:rPr>
          <w:color w:val="000000"/>
        </w:rPr>
        <w:t xml:space="preserve">. Disponível em: https://periodicos.uninove.br/geas/article/view/18131. </w:t>
      </w:r>
      <w:proofErr w:type="spellStart"/>
      <w:r w:rsidRPr="00520153">
        <w:rPr>
          <w:color w:val="000000"/>
          <w:lang w:val="en-US"/>
        </w:rPr>
        <w:t>Acesso</w:t>
      </w:r>
      <w:proofErr w:type="spellEnd"/>
      <w:r w:rsidRPr="00520153">
        <w:rPr>
          <w:color w:val="000000"/>
          <w:lang w:val="en-US"/>
        </w:rPr>
        <w:t xml:space="preserve"> </w:t>
      </w:r>
      <w:proofErr w:type="spellStart"/>
      <w:r w:rsidRPr="00520153">
        <w:rPr>
          <w:color w:val="000000"/>
          <w:lang w:val="en-US"/>
        </w:rPr>
        <w:t>em</w:t>
      </w:r>
      <w:proofErr w:type="spellEnd"/>
      <w:r w:rsidRPr="00520153">
        <w:rPr>
          <w:color w:val="000000"/>
          <w:lang w:val="en-US"/>
        </w:rPr>
        <w:t>: 25 set. 2025.</w:t>
      </w:r>
    </w:p>
    <w:p w14:paraId="34DDC9ED" w14:textId="603203AF" w:rsidR="0041087D" w:rsidRPr="00520153" w:rsidRDefault="00032928" w:rsidP="00F13936">
      <w:pPr>
        <w:pStyle w:val="NormalWeb"/>
        <w:spacing w:before="0" w:beforeAutospacing="0" w:after="0" w:afterAutospacing="0"/>
        <w:rPr>
          <w:color w:val="000000"/>
          <w:lang w:val="en-US"/>
        </w:rPr>
      </w:pPr>
      <w:r w:rsidRPr="00520153">
        <w:rPr>
          <w:color w:val="000000"/>
          <w:lang w:val="en-US"/>
        </w:rPr>
        <w:t xml:space="preserve">ANGIOSPERM PHYLOGENY GROUP IV. An update of the Angiosperm Phylogeny Group classification for the orders and families of flowering plants: APG IV. </w:t>
      </w:r>
      <w:r w:rsidRPr="00520153">
        <w:rPr>
          <w:b/>
          <w:bCs/>
          <w:color w:val="000000"/>
          <w:lang w:val="en-US"/>
        </w:rPr>
        <w:t>Botanical</w:t>
      </w:r>
      <w:r w:rsidRPr="00520153">
        <w:rPr>
          <w:color w:val="000000"/>
          <w:lang w:val="en-US"/>
        </w:rPr>
        <w:t xml:space="preserve"> </w:t>
      </w:r>
      <w:r w:rsidRPr="00520153">
        <w:rPr>
          <w:b/>
          <w:bCs/>
          <w:color w:val="000000"/>
          <w:lang w:val="en-US"/>
        </w:rPr>
        <w:t>Journal of the Linnean Society</w:t>
      </w:r>
      <w:r w:rsidRPr="00520153">
        <w:rPr>
          <w:color w:val="000000"/>
          <w:lang w:val="en-US"/>
        </w:rPr>
        <w:t>, [</w:t>
      </w:r>
      <w:r w:rsidRPr="00520153">
        <w:rPr>
          <w:i/>
          <w:iCs/>
          <w:color w:val="000000"/>
          <w:lang w:val="en-US"/>
        </w:rPr>
        <w:t>s. l.</w:t>
      </w:r>
      <w:r w:rsidRPr="00520153">
        <w:rPr>
          <w:color w:val="000000"/>
          <w:lang w:val="en-US"/>
        </w:rPr>
        <w:t xml:space="preserve">], v. 181, p. 1-20, may 2016. </w:t>
      </w:r>
      <w:r w:rsidRPr="00295B73">
        <w:rPr>
          <w:color w:val="000000"/>
        </w:rPr>
        <w:t xml:space="preserve">DOI: </w:t>
      </w:r>
      <w:r w:rsidRPr="00295B73">
        <w:t>https://doi.org/10.1111/boj.12385</w:t>
      </w:r>
      <w:r w:rsidRPr="00295B73">
        <w:rPr>
          <w:color w:val="000000"/>
        </w:rPr>
        <w:t xml:space="preserve">. Disponível em: </w:t>
      </w:r>
      <w:r w:rsidRPr="00295B73">
        <w:t>https://academic.oup.com/botlinnean/articleabstract/181/1/1/2416499?redirectedFrom=fulltext</w:t>
      </w:r>
      <w:r w:rsidRPr="00295B73">
        <w:rPr>
          <w:color w:val="000000"/>
        </w:rPr>
        <w:t xml:space="preserve">. </w:t>
      </w:r>
      <w:proofErr w:type="spellStart"/>
      <w:r w:rsidRPr="00520153">
        <w:rPr>
          <w:color w:val="000000"/>
          <w:lang w:val="en-US"/>
        </w:rPr>
        <w:t>Acesso</w:t>
      </w:r>
      <w:proofErr w:type="spellEnd"/>
      <w:r w:rsidRPr="00520153">
        <w:rPr>
          <w:color w:val="000000"/>
          <w:lang w:val="en-US"/>
        </w:rPr>
        <w:t xml:space="preserve"> </w:t>
      </w:r>
      <w:proofErr w:type="spellStart"/>
      <w:r w:rsidRPr="00520153">
        <w:rPr>
          <w:color w:val="000000"/>
          <w:lang w:val="en-US"/>
        </w:rPr>
        <w:t>em</w:t>
      </w:r>
      <w:proofErr w:type="spellEnd"/>
      <w:r w:rsidRPr="00520153">
        <w:rPr>
          <w:color w:val="000000"/>
          <w:lang w:val="en-US"/>
        </w:rPr>
        <w:t>: 18 abr. 2025.</w:t>
      </w:r>
    </w:p>
    <w:p w14:paraId="5357B7F7" w14:textId="77777777" w:rsidR="004B11AB" w:rsidRPr="00520153" w:rsidRDefault="004B11AB" w:rsidP="00F13936">
      <w:pPr>
        <w:pStyle w:val="NormalWeb"/>
        <w:spacing w:before="0" w:beforeAutospacing="0" w:after="0" w:afterAutospacing="0"/>
        <w:rPr>
          <w:color w:val="000000"/>
          <w:lang w:val="en-US"/>
        </w:rPr>
      </w:pPr>
    </w:p>
    <w:p w14:paraId="306DD870" w14:textId="00CC4B1A" w:rsidR="00DA0E76" w:rsidRPr="00295B73" w:rsidRDefault="00601D11" w:rsidP="00F13936">
      <w:pPr>
        <w:pStyle w:val="NormalWeb"/>
        <w:spacing w:before="0" w:beforeAutospacing="0" w:after="160" w:afterAutospacing="0"/>
      </w:pPr>
      <w:r w:rsidRPr="00520153">
        <w:rPr>
          <w:color w:val="000000"/>
          <w:lang w:val="en-US"/>
        </w:rPr>
        <w:t xml:space="preserve">BUDOWSKI, G. </w:t>
      </w:r>
      <w:r w:rsidRPr="00520153">
        <w:rPr>
          <w:b/>
          <w:bCs/>
          <w:color w:val="000000"/>
          <w:lang w:val="en-US"/>
        </w:rPr>
        <w:t>Distribution of tropical American rain forest species in the light of successional processes</w:t>
      </w:r>
      <w:r w:rsidRPr="00520153">
        <w:rPr>
          <w:color w:val="000000"/>
          <w:lang w:val="en-US"/>
        </w:rPr>
        <w:t xml:space="preserve">. </w:t>
      </w:r>
      <w:proofErr w:type="spellStart"/>
      <w:r w:rsidRPr="00295B73">
        <w:rPr>
          <w:color w:val="000000"/>
        </w:rPr>
        <w:t>Turrialba</w:t>
      </w:r>
      <w:proofErr w:type="spellEnd"/>
      <w:r w:rsidRPr="00295B73">
        <w:rPr>
          <w:color w:val="000000"/>
        </w:rPr>
        <w:t xml:space="preserve">, v. 15, n. 1, p. 40-42, </w:t>
      </w:r>
      <w:proofErr w:type="spellStart"/>
      <w:r w:rsidRPr="00295B73">
        <w:rPr>
          <w:color w:val="000000"/>
        </w:rPr>
        <w:t>enero</w:t>
      </w:r>
      <w:proofErr w:type="spellEnd"/>
      <w:r w:rsidRPr="00295B73">
        <w:rPr>
          <w:color w:val="000000"/>
        </w:rPr>
        <w:t>/</w:t>
      </w:r>
      <w:proofErr w:type="spellStart"/>
      <w:r w:rsidRPr="00295B73">
        <w:rPr>
          <w:color w:val="000000"/>
        </w:rPr>
        <w:t>marzo</w:t>
      </w:r>
      <w:proofErr w:type="spellEnd"/>
      <w:r w:rsidRPr="00295B73">
        <w:rPr>
          <w:color w:val="000000"/>
        </w:rPr>
        <w:t xml:space="preserve">, 1965. Disponível em: </w:t>
      </w:r>
      <w:r w:rsidRPr="00295B73">
        <w:t>https://repositorio.catie.ac.cr/bitstream/handle/11554/13616/BCO25089937i.pdf?sequence=1&amp;isAllowed=y</w:t>
      </w:r>
      <w:r w:rsidRPr="00295B73">
        <w:rPr>
          <w:color w:val="000000"/>
        </w:rPr>
        <w:t>. Acesso em: 15 abr. 2025. </w:t>
      </w:r>
    </w:p>
    <w:p w14:paraId="4377AD43" w14:textId="0C9358B1" w:rsidR="00E31E66" w:rsidRDefault="0058447A" w:rsidP="00F13936">
      <w:pPr>
        <w:rPr>
          <w:sz w:val="24"/>
          <w:szCs w:val="24"/>
        </w:rPr>
      </w:pPr>
      <w:r w:rsidRPr="00295B73">
        <w:rPr>
          <w:sz w:val="24"/>
          <w:szCs w:val="24"/>
        </w:rPr>
        <w:t xml:space="preserve">CASTANHAL. </w:t>
      </w:r>
      <w:r w:rsidRPr="00295B73">
        <w:rPr>
          <w:b/>
          <w:bCs/>
          <w:sz w:val="24"/>
          <w:szCs w:val="24"/>
        </w:rPr>
        <w:t>Lei nº 009/18, de 11 de maio de 18</w:t>
      </w:r>
      <w:r w:rsidRPr="00295B73">
        <w:rPr>
          <w:sz w:val="24"/>
          <w:szCs w:val="24"/>
        </w:rPr>
        <w:t>. Dispõe sobre a criação do Parque Natural Municipal de Castanhal, no município de Castanhal, estado do Pará, e dá outras providências. Castanhal: Câmara Municipal de Castanhal, 2018. Disponível em: https://camaradecastanhal.pa.gov.br/wp-content/uploads/2018/07/PROJETO-DE-LEI-N%C2%BA-009-2018-EXECUTIVO-MUNICIPAL.pdf. Acesso em: 7 jul. 2025.</w:t>
      </w:r>
    </w:p>
    <w:p w14:paraId="59F85F2D" w14:textId="77777777" w:rsidR="0030134E" w:rsidRDefault="0030134E" w:rsidP="00F13936">
      <w:pPr>
        <w:rPr>
          <w:sz w:val="24"/>
          <w:szCs w:val="24"/>
        </w:rPr>
      </w:pPr>
    </w:p>
    <w:p w14:paraId="499991C1" w14:textId="55FCF2D0" w:rsidR="0030134E" w:rsidRDefault="0030134E" w:rsidP="00F13936">
      <w:pPr>
        <w:rPr>
          <w:sz w:val="24"/>
          <w:szCs w:val="24"/>
        </w:rPr>
      </w:pPr>
      <w:r w:rsidRPr="00520153">
        <w:rPr>
          <w:sz w:val="24"/>
          <w:szCs w:val="24"/>
          <w:lang w:val="en-US"/>
        </w:rPr>
        <w:t>CORREA, C. M. de A.; PUKER, A.; LARA, M. A.; ROSA, C. S.; KORASAKI, V. Importance of urban parks in conserving biodiversity of flower chafer beetles (</w:t>
      </w:r>
      <w:proofErr w:type="spellStart"/>
      <w:r w:rsidRPr="00520153">
        <w:rPr>
          <w:sz w:val="24"/>
          <w:szCs w:val="24"/>
          <w:lang w:val="en-US"/>
        </w:rPr>
        <w:t>coleoptera</w:t>
      </w:r>
      <w:proofErr w:type="spellEnd"/>
      <w:r w:rsidRPr="00520153">
        <w:rPr>
          <w:sz w:val="24"/>
          <w:szCs w:val="24"/>
          <w:lang w:val="en-US"/>
        </w:rPr>
        <w:t xml:space="preserve">: </w:t>
      </w:r>
      <w:proofErr w:type="spellStart"/>
      <w:r w:rsidRPr="00520153">
        <w:rPr>
          <w:sz w:val="24"/>
          <w:szCs w:val="24"/>
          <w:lang w:val="en-US"/>
        </w:rPr>
        <w:t>scarabaeoidea</w:t>
      </w:r>
      <w:proofErr w:type="spellEnd"/>
      <w:r w:rsidRPr="00520153">
        <w:rPr>
          <w:sz w:val="24"/>
          <w:szCs w:val="24"/>
          <w:lang w:val="en-US"/>
        </w:rPr>
        <w:t xml:space="preserve">: </w:t>
      </w:r>
      <w:proofErr w:type="spellStart"/>
      <w:r w:rsidRPr="00520153">
        <w:rPr>
          <w:sz w:val="24"/>
          <w:szCs w:val="24"/>
          <w:lang w:val="en-US"/>
        </w:rPr>
        <w:t>cetoniinae</w:t>
      </w:r>
      <w:proofErr w:type="spellEnd"/>
      <w:r w:rsidRPr="00520153">
        <w:rPr>
          <w:sz w:val="24"/>
          <w:szCs w:val="24"/>
          <w:lang w:val="en-US"/>
        </w:rPr>
        <w:t xml:space="preserve">) in </w:t>
      </w:r>
      <w:proofErr w:type="spellStart"/>
      <w:r w:rsidRPr="00520153">
        <w:rPr>
          <w:sz w:val="24"/>
          <w:szCs w:val="24"/>
          <w:lang w:val="en-US"/>
        </w:rPr>
        <w:t>brazilian</w:t>
      </w:r>
      <w:proofErr w:type="spellEnd"/>
      <w:r w:rsidRPr="00520153">
        <w:rPr>
          <w:sz w:val="24"/>
          <w:szCs w:val="24"/>
          <w:lang w:val="en-US"/>
        </w:rPr>
        <w:t xml:space="preserve"> </w:t>
      </w:r>
      <w:proofErr w:type="spellStart"/>
      <w:r w:rsidRPr="00520153">
        <w:rPr>
          <w:sz w:val="24"/>
          <w:szCs w:val="24"/>
          <w:lang w:val="en-US"/>
        </w:rPr>
        <w:t>cerrado</w:t>
      </w:r>
      <w:proofErr w:type="spellEnd"/>
      <w:r w:rsidRPr="00520153">
        <w:rPr>
          <w:sz w:val="24"/>
          <w:szCs w:val="24"/>
          <w:lang w:val="en-US"/>
        </w:rPr>
        <w:t xml:space="preserve">. </w:t>
      </w:r>
      <w:r w:rsidRPr="0030134E">
        <w:rPr>
          <w:b/>
          <w:bCs/>
          <w:sz w:val="24"/>
          <w:szCs w:val="24"/>
        </w:rPr>
        <w:t>Environmental Entomology</w:t>
      </w:r>
      <w:r>
        <w:rPr>
          <w:sz w:val="24"/>
          <w:szCs w:val="24"/>
        </w:rPr>
        <w:t>, [</w:t>
      </w:r>
      <w:r w:rsidRPr="0030134E">
        <w:rPr>
          <w:i/>
          <w:iCs/>
          <w:sz w:val="24"/>
          <w:szCs w:val="24"/>
        </w:rPr>
        <w:t>s. l.</w:t>
      </w:r>
      <w:r>
        <w:rPr>
          <w:sz w:val="24"/>
          <w:szCs w:val="24"/>
        </w:rPr>
        <w:t xml:space="preserve">], v. 48, n.1, p. 97-104, feb. 2019. DOI: </w:t>
      </w:r>
      <w:r w:rsidRPr="0030134E">
        <w:rPr>
          <w:sz w:val="24"/>
          <w:szCs w:val="24"/>
        </w:rPr>
        <w:t>https://doi.org/10.1093/ee/nvy176</w:t>
      </w:r>
      <w:r>
        <w:rPr>
          <w:sz w:val="24"/>
          <w:szCs w:val="24"/>
        </w:rPr>
        <w:t xml:space="preserve">. Disponível em: </w:t>
      </w:r>
      <w:r w:rsidRPr="0030134E">
        <w:rPr>
          <w:sz w:val="24"/>
          <w:szCs w:val="24"/>
        </w:rPr>
        <w:t>https://academic.oup.com/ee/articleabstract/48/1/97/5244972?redirectedFrom=fulltext&amp;login=false</w:t>
      </w:r>
      <w:r>
        <w:rPr>
          <w:sz w:val="24"/>
          <w:szCs w:val="24"/>
        </w:rPr>
        <w:t>. Acesso em: 27 ago. 2025.</w:t>
      </w:r>
    </w:p>
    <w:p w14:paraId="3A75D86F" w14:textId="77777777" w:rsidR="006E24B0" w:rsidRDefault="006E24B0" w:rsidP="00F13936">
      <w:pPr>
        <w:rPr>
          <w:sz w:val="24"/>
          <w:szCs w:val="24"/>
        </w:rPr>
      </w:pPr>
    </w:p>
    <w:p w14:paraId="7C324176" w14:textId="411123DC" w:rsidR="008210A5" w:rsidRPr="00295B73" w:rsidRDefault="008210A5" w:rsidP="00F13936">
      <w:pPr>
        <w:rPr>
          <w:sz w:val="24"/>
          <w:szCs w:val="24"/>
        </w:rPr>
      </w:pPr>
      <w:r w:rsidRPr="00295B73">
        <w:rPr>
          <w:sz w:val="24"/>
          <w:szCs w:val="24"/>
        </w:rPr>
        <w:t xml:space="preserve">FERREIRA, L. V.; MAIA, A. P. de M.; SARMENTO, P. S. de M.; JARDIM, M. A. G. Florística e estrutura da floresta de terra firme como instrumento de gestão ambiental do Parque Estadual do Utinga, Belém, Pará, Brasil. </w:t>
      </w:r>
      <w:r w:rsidRPr="00295B73">
        <w:rPr>
          <w:b/>
          <w:bCs/>
          <w:sz w:val="24"/>
          <w:szCs w:val="24"/>
        </w:rPr>
        <w:t>Revista Brasileira de Geografia Física</w:t>
      </w:r>
      <w:r w:rsidRPr="00295B73">
        <w:rPr>
          <w:sz w:val="24"/>
          <w:szCs w:val="24"/>
        </w:rPr>
        <w:t>, [</w:t>
      </w:r>
      <w:r w:rsidRPr="00295B73">
        <w:rPr>
          <w:i/>
          <w:iCs/>
          <w:sz w:val="24"/>
          <w:szCs w:val="24"/>
        </w:rPr>
        <w:t>s. l.</w:t>
      </w:r>
      <w:r w:rsidRPr="00295B73">
        <w:rPr>
          <w:sz w:val="24"/>
          <w:szCs w:val="24"/>
        </w:rPr>
        <w:t xml:space="preserve">], v. 16, n. 3, p. 1419-1435, abr. 2023. DOI: https://doi.org/10.26848/rbgf.v16.3.p1419-1435. Disponível em: https://periodicos.ufpe.br/revistas/index.php/rbgfe/article/view/257126. </w:t>
      </w:r>
      <w:r w:rsidRPr="00295B73">
        <w:rPr>
          <w:sz w:val="24"/>
          <w:szCs w:val="24"/>
        </w:rPr>
        <w:lastRenderedPageBreak/>
        <w:t xml:space="preserve">Acesso em: 15 jul. 2025. </w:t>
      </w:r>
    </w:p>
    <w:p w14:paraId="46447B70" w14:textId="77777777" w:rsidR="008210A5" w:rsidRPr="00295B73" w:rsidRDefault="008210A5" w:rsidP="00F13936">
      <w:pPr>
        <w:rPr>
          <w:sz w:val="24"/>
          <w:szCs w:val="24"/>
        </w:rPr>
      </w:pPr>
    </w:p>
    <w:p w14:paraId="18F74D4D" w14:textId="026A6229" w:rsidR="00032928" w:rsidRPr="00295B73" w:rsidRDefault="00E31E66" w:rsidP="00F13936">
      <w:pPr>
        <w:rPr>
          <w:sz w:val="24"/>
          <w:szCs w:val="24"/>
        </w:rPr>
      </w:pPr>
      <w:r w:rsidRPr="00295B73">
        <w:rPr>
          <w:sz w:val="24"/>
          <w:szCs w:val="24"/>
        </w:rPr>
        <w:t xml:space="preserve">FLORA E FUNGA DO BRASIL. </w:t>
      </w:r>
      <w:r w:rsidRPr="00295B73">
        <w:rPr>
          <w:b/>
          <w:bCs/>
          <w:sz w:val="24"/>
          <w:szCs w:val="24"/>
        </w:rPr>
        <w:t>Jardim Botânico do Rio de Janeiro</w:t>
      </w:r>
      <w:r w:rsidRPr="00295B73">
        <w:rPr>
          <w:sz w:val="24"/>
          <w:szCs w:val="24"/>
        </w:rPr>
        <w:t>. Rio de Janeiro, 2020. Disponível em: http://floradobrasil.jbrj.gov.br/. Acesso em: 18 abr. 2025.</w:t>
      </w:r>
    </w:p>
    <w:p w14:paraId="6BC483FA" w14:textId="77777777" w:rsidR="007D624B" w:rsidRPr="00295B73" w:rsidRDefault="007D624B" w:rsidP="00F13936">
      <w:pPr>
        <w:rPr>
          <w:sz w:val="24"/>
          <w:szCs w:val="24"/>
        </w:rPr>
      </w:pPr>
    </w:p>
    <w:p w14:paraId="040F434D" w14:textId="2849B5D7" w:rsidR="00136EA2" w:rsidRPr="00295B73" w:rsidRDefault="00136EA2" w:rsidP="00F13936">
      <w:pPr>
        <w:pStyle w:val="NormalWeb"/>
        <w:spacing w:before="0" w:beforeAutospacing="0" w:after="0" w:afterAutospacing="0"/>
      </w:pPr>
      <w:r w:rsidRPr="00295B73">
        <w:rPr>
          <w:color w:val="000000"/>
        </w:rPr>
        <w:t xml:space="preserve">GANDOLFI, S.; LEITÃO FILHO, H. de F.; BEZERRA, C. L. F. Levantamento florístico e caráter sucessional das espécies arbustivo-arbóreas de uma floresta mesófila semidecídua no município de Guarulhos, SP. </w:t>
      </w:r>
      <w:r w:rsidRPr="00295B73">
        <w:rPr>
          <w:b/>
          <w:bCs/>
          <w:color w:val="000000"/>
        </w:rPr>
        <w:t>Revista Brasileira de Geografia</w:t>
      </w:r>
      <w:r w:rsidRPr="00295B73">
        <w:rPr>
          <w:color w:val="000000"/>
        </w:rPr>
        <w:t>, [</w:t>
      </w:r>
      <w:r w:rsidRPr="00295B73">
        <w:rPr>
          <w:i/>
          <w:iCs/>
          <w:color w:val="000000"/>
        </w:rPr>
        <w:t>s. l.</w:t>
      </w:r>
      <w:r w:rsidRPr="00295B73">
        <w:rPr>
          <w:color w:val="000000"/>
        </w:rPr>
        <w:t xml:space="preserve">], v. 55, n. 4, p. 753-767, nov. 1995. Disponível em: </w:t>
      </w:r>
      <w:r w:rsidRPr="00295B73">
        <w:t>https://www.researchgate.net/publication/284024631_Levantamento_floristico_e_carater_sucessional_das_especies_arbustivo-arboreas_de_uma_Floresta_Mesofila_Semidecidua_no_municipio_de_Guarulhos_SP</w:t>
      </w:r>
      <w:r w:rsidRPr="00295B73">
        <w:rPr>
          <w:color w:val="000000"/>
        </w:rPr>
        <w:t>. Acesso em: 15 abr. 2025.</w:t>
      </w:r>
    </w:p>
    <w:p w14:paraId="710AFF5D" w14:textId="77777777" w:rsidR="003A7DF7" w:rsidRPr="00295B73" w:rsidRDefault="003A7DF7" w:rsidP="00F13936">
      <w:pPr>
        <w:rPr>
          <w:sz w:val="24"/>
          <w:szCs w:val="24"/>
        </w:rPr>
      </w:pPr>
    </w:p>
    <w:p w14:paraId="1480ED84" w14:textId="13395179" w:rsidR="00331AA3" w:rsidRPr="00295B73" w:rsidRDefault="00331AA3" w:rsidP="00F13936">
      <w:pPr>
        <w:rPr>
          <w:sz w:val="24"/>
          <w:szCs w:val="24"/>
        </w:rPr>
      </w:pPr>
      <w:r w:rsidRPr="00295B73">
        <w:rPr>
          <w:sz w:val="24"/>
          <w:szCs w:val="24"/>
        </w:rPr>
        <w:t xml:space="preserve">LAU, A. V.; FERREIRA, G. C.; JARDIM, M. A. G. Fitossociologia e aspectos ecológicos da comunidade arbórea do Bosque Rodrigues Alves – Jardim Botânico da Amazônia, Belém, Pará, Brasil. </w:t>
      </w:r>
      <w:r w:rsidRPr="00295B73">
        <w:rPr>
          <w:b/>
          <w:bCs/>
          <w:sz w:val="24"/>
          <w:szCs w:val="24"/>
        </w:rPr>
        <w:t>Revista Brasileira de Geografia Física</w:t>
      </w:r>
      <w:r w:rsidRPr="00295B73">
        <w:rPr>
          <w:sz w:val="24"/>
          <w:szCs w:val="24"/>
        </w:rPr>
        <w:t>, [</w:t>
      </w:r>
      <w:r w:rsidRPr="00295B73">
        <w:rPr>
          <w:i/>
          <w:iCs/>
          <w:sz w:val="24"/>
          <w:szCs w:val="24"/>
        </w:rPr>
        <w:t>s. l.</w:t>
      </w:r>
      <w:r w:rsidRPr="00295B73">
        <w:rPr>
          <w:sz w:val="24"/>
          <w:szCs w:val="24"/>
        </w:rPr>
        <w:t>], v. 13, n. 2, p. 510-526, mar. 2020. DOI: https://doi.org/10.26848/rbgf.v13.2.p510-526. Disponível em: https://periodicos.ufpe.br/revistas/rbgfe/article/view/243056. Acesso em: 27 ago. 2025.</w:t>
      </w:r>
    </w:p>
    <w:p w14:paraId="4E8118B1" w14:textId="77777777" w:rsidR="00EC1A4E" w:rsidRPr="00295B73" w:rsidRDefault="00EC1A4E" w:rsidP="00F13936">
      <w:pPr>
        <w:rPr>
          <w:sz w:val="24"/>
          <w:szCs w:val="24"/>
        </w:rPr>
      </w:pPr>
    </w:p>
    <w:p w14:paraId="1936A2EE" w14:textId="34463E44" w:rsidR="00EC1A4E" w:rsidRDefault="00EC1A4E" w:rsidP="00F13936">
      <w:pPr>
        <w:rPr>
          <w:sz w:val="24"/>
          <w:szCs w:val="24"/>
        </w:rPr>
      </w:pPr>
      <w:r w:rsidRPr="00295B73">
        <w:rPr>
          <w:sz w:val="24"/>
          <w:szCs w:val="24"/>
        </w:rPr>
        <w:t xml:space="preserve">LAU, A. V.; JARDIM, M. A. G. Florística, estrutura e fitossanidade da comunidade arbórea do Parque Ambiental Antônio Lourenço da Silva Danúbio, Ananindeua, Pará, Brasil. </w:t>
      </w:r>
      <w:r w:rsidRPr="00295B73">
        <w:rPr>
          <w:b/>
          <w:bCs/>
          <w:sz w:val="24"/>
          <w:szCs w:val="24"/>
        </w:rPr>
        <w:t>Revista</w:t>
      </w:r>
      <w:r w:rsidRPr="00295B73">
        <w:rPr>
          <w:sz w:val="24"/>
          <w:szCs w:val="24"/>
        </w:rPr>
        <w:t xml:space="preserve"> </w:t>
      </w:r>
      <w:r w:rsidRPr="00295B73">
        <w:rPr>
          <w:b/>
          <w:bCs/>
          <w:sz w:val="24"/>
          <w:szCs w:val="24"/>
        </w:rPr>
        <w:t>Brasileira de Geografia Física</w:t>
      </w:r>
      <w:r w:rsidRPr="00295B73">
        <w:rPr>
          <w:sz w:val="24"/>
          <w:szCs w:val="24"/>
        </w:rPr>
        <w:t>, [</w:t>
      </w:r>
      <w:r w:rsidRPr="00295B73">
        <w:rPr>
          <w:i/>
          <w:iCs/>
          <w:sz w:val="24"/>
          <w:szCs w:val="24"/>
        </w:rPr>
        <w:t>s. l.</w:t>
      </w:r>
      <w:r w:rsidRPr="00295B73">
        <w:rPr>
          <w:sz w:val="24"/>
          <w:szCs w:val="24"/>
        </w:rPr>
        <w:t xml:space="preserve">], v. 18, n. 3, p. 1970-1981, mar. 2025. DOI: https://doi.org/10.26848/rbgf.v18.3.p1970-1981. Disponível em: https://periodicos.ufpe.br/revistas/index.php/rbgfe/article/view/263990. Acesso em: 27 ago. 2025. </w:t>
      </w:r>
    </w:p>
    <w:p w14:paraId="73C0FEB8" w14:textId="77777777" w:rsidR="00B76A05" w:rsidRDefault="00B76A05" w:rsidP="00F13936">
      <w:pPr>
        <w:rPr>
          <w:sz w:val="24"/>
          <w:szCs w:val="24"/>
        </w:rPr>
      </w:pPr>
    </w:p>
    <w:p w14:paraId="26287124" w14:textId="0C0753FE" w:rsidR="00B76A05" w:rsidRDefault="00B76A05" w:rsidP="00F13936">
      <w:pPr>
        <w:rPr>
          <w:sz w:val="24"/>
          <w:szCs w:val="24"/>
        </w:rPr>
      </w:pPr>
      <w:r>
        <w:rPr>
          <w:sz w:val="24"/>
          <w:szCs w:val="24"/>
        </w:rPr>
        <w:t xml:space="preserve">LOPES, R. V. da R.; SILVA, M. D. da; ALMEIDA, N. V.; FERREIRA, G. R. D. Supressão e fragilidade de remanescentes florestais em uma Unidade de Conservação, na região sul de Alagoas, Brasil. Ciência Florestal, Santa Maria, v. 32, n. 3, p. 1479-1499, jul./set. 2022. DOI: </w:t>
      </w:r>
      <w:r w:rsidRPr="00446F8C">
        <w:rPr>
          <w:sz w:val="24"/>
          <w:szCs w:val="24"/>
        </w:rPr>
        <w:t>https://doi.org/10.5902/1980509866382</w:t>
      </w:r>
      <w:r>
        <w:rPr>
          <w:sz w:val="24"/>
          <w:szCs w:val="24"/>
        </w:rPr>
        <w:t xml:space="preserve">. Disponível em: </w:t>
      </w:r>
      <w:r w:rsidRPr="00446F8C">
        <w:rPr>
          <w:sz w:val="24"/>
          <w:szCs w:val="24"/>
        </w:rPr>
        <w:t>https://periodicos.ufsm.br/cienciaflorestal/article/view/66382</w:t>
      </w:r>
      <w:r>
        <w:rPr>
          <w:sz w:val="24"/>
          <w:szCs w:val="24"/>
        </w:rPr>
        <w:t>. Acesso em: 27 ago. 2025.</w:t>
      </w:r>
    </w:p>
    <w:p w14:paraId="46ED3B31" w14:textId="166E932A" w:rsidR="007B6129" w:rsidRPr="0023086C" w:rsidRDefault="007B6129" w:rsidP="00F13936">
      <w:pPr>
        <w:rPr>
          <w:sz w:val="24"/>
          <w:szCs w:val="24"/>
        </w:rPr>
      </w:pPr>
    </w:p>
    <w:p w14:paraId="77F6E5AD" w14:textId="40F41ACF" w:rsidR="00773EC1" w:rsidRDefault="00A56380" w:rsidP="00F13936">
      <w:pPr>
        <w:rPr>
          <w:sz w:val="24"/>
          <w:szCs w:val="24"/>
        </w:rPr>
      </w:pPr>
      <w:r w:rsidRPr="00E4595D">
        <w:rPr>
          <w:color w:val="000000" w:themeColor="text1"/>
          <w:sz w:val="24"/>
          <w:szCs w:val="24"/>
        </w:rPr>
        <w:t xml:space="preserve">MACHADO, </w:t>
      </w:r>
      <w:r w:rsidR="00F67A97" w:rsidRPr="00E4595D">
        <w:rPr>
          <w:color w:val="000000" w:themeColor="text1"/>
          <w:sz w:val="24"/>
          <w:szCs w:val="24"/>
        </w:rPr>
        <w:t>S.</w:t>
      </w:r>
      <w:r w:rsidR="006375F8" w:rsidRPr="00E4595D">
        <w:rPr>
          <w:color w:val="000000" w:themeColor="text1"/>
          <w:sz w:val="24"/>
          <w:szCs w:val="24"/>
        </w:rPr>
        <w:t xml:space="preserve">; CYSNEIROS, V.; NASCIMENTO, R. G.; MARTINS, A.; </w:t>
      </w:r>
      <w:r w:rsidR="00E86588" w:rsidRPr="00E4595D">
        <w:rPr>
          <w:color w:val="000000" w:themeColor="text1"/>
          <w:sz w:val="24"/>
          <w:szCs w:val="24"/>
        </w:rPr>
        <w:t>SCHMIDT, L.</w:t>
      </w:r>
      <w:r w:rsidR="007B6129" w:rsidRPr="00E4595D">
        <w:rPr>
          <w:color w:val="000000" w:themeColor="text1"/>
          <w:sz w:val="24"/>
          <w:szCs w:val="24"/>
        </w:rPr>
        <w:t xml:space="preserve"> Projeção da estrutura diamétrica de grupos ecológicos em uma floresta ombrófila mista</w:t>
      </w:r>
      <w:r w:rsidR="0073334C" w:rsidRPr="00E4595D">
        <w:rPr>
          <w:color w:val="000000" w:themeColor="text1"/>
          <w:sz w:val="24"/>
          <w:szCs w:val="24"/>
        </w:rPr>
        <w:t xml:space="preserve">. </w:t>
      </w:r>
      <w:r w:rsidR="0023086C" w:rsidRPr="00E4595D">
        <w:rPr>
          <w:b/>
          <w:bCs/>
          <w:color w:val="000000" w:themeColor="text1"/>
          <w:sz w:val="24"/>
          <w:szCs w:val="24"/>
        </w:rPr>
        <w:t>Floresta e Ambiente</w:t>
      </w:r>
      <w:r w:rsidR="0023086C" w:rsidRPr="00E4595D">
        <w:rPr>
          <w:color w:val="000000" w:themeColor="text1"/>
          <w:sz w:val="24"/>
          <w:szCs w:val="24"/>
        </w:rPr>
        <w:t>, [</w:t>
      </w:r>
      <w:r w:rsidR="0023086C" w:rsidRPr="00E4595D">
        <w:rPr>
          <w:i/>
          <w:iCs/>
          <w:color w:val="000000" w:themeColor="text1"/>
          <w:sz w:val="24"/>
          <w:szCs w:val="24"/>
        </w:rPr>
        <w:t>s. l.</w:t>
      </w:r>
      <w:r w:rsidR="0023086C" w:rsidRPr="00E4595D">
        <w:rPr>
          <w:color w:val="000000" w:themeColor="text1"/>
          <w:sz w:val="24"/>
          <w:szCs w:val="24"/>
        </w:rPr>
        <w:t xml:space="preserve">], v. </w:t>
      </w:r>
      <w:r w:rsidR="00304E52" w:rsidRPr="00E4595D">
        <w:rPr>
          <w:color w:val="000000" w:themeColor="text1"/>
          <w:sz w:val="24"/>
          <w:szCs w:val="24"/>
        </w:rPr>
        <w:t xml:space="preserve">24, </w:t>
      </w:r>
      <w:r w:rsidR="005D1280" w:rsidRPr="00E4595D">
        <w:rPr>
          <w:color w:val="000000" w:themeColor="text1"/>
          <w:sz w:val="24"/>
          <w:szCs w:val="24"/>
        </w:rPr>
        <w:t xml:space="preserve">p. </w:t>
      </w:r>
      <w:r w:rsidR="00A0418F" w:rsidRPr="00E4595D">
        <w:rPr>
          <w:color w:val="000000" w:themeColor="text1"/>
          <w:sz w:val="24"/>
          <w:szCs w:val="24"/>
        </w:rPr>
        <w:t>e20160012</w:t>
      </w:r>
      <w:r w:rsidR="00AC02A6" w:rsidRPr="00E4595D">
        <w:rPr>
          <w:color w:val="000000" w:themeColor="text1"/>
          <w:sz w:val="24"/>
          <w:szCs w:val="24"/>
        </w:rPr>
        <w:t xml:space="preserve">, 2017. DOI: </w:t>
      </w:r>
      <w:r w:rsidR="00BD2AD0" w:rsidRPr="00E4595D">
        <w:rPr>
          <w:color w:val="000000" w:themeColor="text1"/>
          <w:sz w:val="24"/>
          <w:szCs w:val="24"/>
        </w:rPr>
        <w:t>http://dx.doi.org/10.1590/2179-8087.001216</w:t>
      </w:r>
      <w:r w:rsidR="00773EC1" w:rsidRPr="00E4595D">
        <w:rPr>
          <w:color w:val="000000" w:themeColor="text1"/>
          <w:sz w:val="24"/>
          <w:szCs w:val="24"/>
        </w:rPr>
        <w:t>.</w:t>
      </w:r>
      <w:r w:rsidR="00BD2AD0" w:rsidRPr="00E4595D">
        <w:rPr>
          <w:sz w:val="24"/>
          <w:szCs w:val="24"/>
        </w:rPr>
        <w:t xml:space="preserve"> </w:t>
      </w:r>
      <w:r w:rsidR="00BD2AD0">
        <w:rPr>
          <w:sz w:val="24"/>
          <w:szCs w:val="24"/>
        </w:rPr>
        <w:t xml:space="preserve">Disponível em: </w:t>
      </w:r>
      <w:r w:rsidR="00D0208D" w:rsidRPr="00D0208D">
        <w:rPr>
          <w:sz w:val="24"/>
          <w:szCs w:val="24"/>
        </w:rPr>
        <w:t>https://www.scielo.br/j/floram/a/ShYYGFGpDCnpZvHLc4XDr4v/?lang=pt</w:t>
      </w:r>
      <w:r w:rsidR="00D0208D">
        <w:rPr>
          <w:sz w:val="24"/>
          <w:szCs w:val="24"/>
        </w:rPr>
        <w:t xml:space="preserve">. Acesso em: </w:t>
      </w:r>
      <w:r w:rsidR="008476CB">
        <w:rPr>
          <w:sz w:val="24"/>
          <w:szCs w:val="24"/>
        </w:rPr>
        <w:t>29 out. 2025.</w:t>
      </w:r>
    </w:p>
    <w:p w14:paraId="0DA52452" w14:textId="77777777" w:rsidR="00A3792D" w:rsidRDefault="00A3792D" w:rsidP="00F13936">
      <w:pPr>
        <w:rPr>
          <w:sz w:val="24"/>
          <w:szCs w:val="24"/>
        </w:rPr>
      </w:pPr>
    </w:p>
    <w:p w14:paraId="7AB5014E" w14:textId="49F2CF4C" w:rsidR="007B6129" w:rsidRDefault="00A3792D" w:rsidP="00F13936">
      <w:pPr>
        <w:rPr>
          <w:sz w:val="24"/>
          <w:szCs w:val="24"/>
        </w:rPr>
      </w:pPr>
      <w:r>
        <w:rPr>
          <w:sz w:val="24"/>
          <w:szCs w:val="24"/>
        </w:rPr>
        <w:t>SANTANA</w:t>
      </w:r>
      <w:r w:rsidR="00B406B7">
        <w:rPr>
          <w:sz w:val="24"/>
          <w:szCs w:val="24"/>
        </w:rPr>
        <w:t xml:space="preserve">, </w:t>
      </w:r>
      <w:r w:rsidR="00D3667C">
        <w:rPr>
          <w:sz w:val="24"/>
          <w:szCs w:val="24"/>
        </w:rPr>
        <w:t xml:space="preserve">L. D.; </w:t>
      </w:r>
      <w:r w:rsidR="00972A85">
        <w:rPr>
          <w:sz w:val="24"/>
          <w:szCs w:val="24"/>
        </w:rPr>
        <w:t>FONSECA,</w:t>
      </w:r>
      <w:r w:rsidR="001833CE">
        <w:rPr>
          <w:sz w:val="24"/>
          <w:szCs w:val="24"/>
        </w:rPr>
        <w:t xml:space="preserve"> C. R. da.; CARVALHO, </w:t>
      </w:r>
      <w:r w:rsidR="00DD1E5A">
        <w:rPr>
          <w:sz w:val="24"/>
          <w:szCs w:val="24"/>
        </w:rPr>
        <w:t>F. A.</w:t>
      </w:r>
      <w:r w:rsidR="00E02904">
        <w:rPr>
          <w:sz w:val="24"/>
          <w:szCs w:val="24"/>
        </w:rPr>
        <w:t xml:space="preserve"> Aspectos ecológicos das espécies regenerantes de uma floresta urbana com 150 anos de sucessão florestal: o risco das espécies exóticas. </w:t>
      </w:r>
      <w:r w:rsidR="00E02904" w:rsidRPr="00E02904">
        <w:rPr>
          <w:b/>
          <w:bCs/>
          <w:sz w:val="24"/>
          <w:szCs w:val="24"/>
        </w:rPr>
        <w:t>Ciência Florestal</w:t>
      </w:r>
      <w:r w:rsidR="00E02904">
        <w:rPr>
          <w:sz w:val="24"/>
          <w:szCs w:val="24"/>
        </w:rPr>
        <w:t>, Santa Maria, v. 29, n. 1, p. 1-13,</w:t>
      </w:r>
      <w:r w:rsidR="001B5005">
        <w:rPr>
          <w:sz w:val="24"/>
          <w:szCs w:val="24"/>
        </w:rPr>
        <w:t xml:space="preserve"> jan.</w:t>
      </w:r>
      <w:r w:rsidR="00142219">
        <w:rPr>
          <w:sz w:val="24"/>
          <w:szCs w:val="24"/>
        </w:rPr>
        <w:t xml:space="preserve">/mar., </w:t>
      </w:r>
      <w:r w:rsidR="00E02904">
        <w:rPr>
          <w:sz w:val="24"/>
          <w:szCs w:val="24"/>
        </w:rPr>
        <w:t xml:space="preserve">2019. DOI: 10.5902/1980509830870. Disponível em: </w:t>
      </w:r>
      <w:r w:rsidR="00E02904" w:rsidRPr="00142219">
        <w:rPr>
          <w:sz w:val="24"/>
          <w:szCs w:val="24"/>
        </w:rPr>
        <w:t>https://periodicos.ufsm.br/cienciaflorestal/article/view/30870</w:t>
      </w:r>
      <w:r w:rsidR="00E02904">
        <w:rPr>
          <w:sz w:val="24"/>
          <w:szCs w:val="24"/>
        </w:rPr>
        <w:t>. Acesso em:</w:t>
      </w:r>
      <w:r w:rsidR="009B2A04">
        <w:rPr>
          <w:sz w:val="24"/>
          <w:szCs w:val="24"/>
        </w:rPr>
        <w:t xml:space="preserve"> 29 </w:t>
      </w:r>
      <w:r w:rsidR="00E02904">
        <w:rPr>
          <w:sz w:val="24"/>
          <w:szCs w:val="24"/>
        </w:rPr>
        <w:t>out. 2025.</w:t>
      </w:r>
    </w:p>
    <w:p w14:paraId="2A854B06" w14:textId="77777777" w:rsidR="00E02904" w:rsidRDefault="00E02904" w:rsidP="00F13936">
      <w:pPr>
        <w:rPr>
          <w:sz w:val="24"/>
          <w:szCs w:val="24"/>
        </w:rPr>
      </w:pPr>
    </w:p>
    <w:p w14:paraId="70DB57C5" w14:textId="12842C3C" w:rsidR="00066E96" w:rsidRPr="00295B73" w:rsidRDefault="00066E96" w:rsidP="00F13936">
      <w:pPr>
        <w:rPr>
          <w:sz w:val="24"/>
          <w:szCs w:val="24"/>
        </w:rPr>
      </w:pPr>
      <w:r w:rsidRPr="00520153">
        <w:rPr>
          <w:sz w:val="24"/>
          <w:szCs w:val="24"/>
          <w:lang w:val="en-US"/>
        </w:rPr>
        <w:lastRenderedPageBreak/>
        <w:t xml:space="preserve">SANTOS, C. R.; ODA-SOUZA, M.; ALMEIDA JUNIOR, E. B.; ZICKEL, C. S. Effects of urban ecosystem under the diversity and structure of two forest ecotones in </w:t>
      </w:r>
      <w:proofErr w:type="spellStart"/>
      <w:r w:rsidRPr="00520153">
        <w:rPr>
          <w:sz w:val="24"/>
          <w:szCs w:val="24"/>
          <w:lang w:val="en-US"/>
        </w:rPr>
        <w:t>Maranhão</w:t>
      </w:r>
      <w:proofErr w:type="spellEnd"/>
      <w:r w:rsidRPr="00520153">
        <w:rPr>
          <w:sz w:val="24"/>
          <w:szCs w:val="24"/>
          <w:lang w:val="en-US"/>
        </w:rPr>
        <w:t xml:space="preserve"> state. </w:t>
      </w:r>
      <w:r w:rsidRPr="00520153">
        <w:rPr>
          <w:b/>
          <w:bCs/>
          <w:sz w:val="24"/>
          <w:szCs w:val="24"/>
          <w:lang w:val="en-US"/>
        </w:rPr>
        <w:t xml:space="preserve">Urban </w:t>
      </w:r>
      <w:proofErr w:type="spellStart"/>
      <w:r w:rsidRPr="00520153">
        <w:rPr>
          <w:b/>
          <w:bCs/>
          <w:sz w:val="24"/>
          <w:szCs w:val="24"/>
          <w:lang w:val="en-US"/>
        </w:rPr>
        <w:t>Ecosyst</w:t>
      </w:r>
      <w:proofErr w:type="spellEnd"/>
      <w:r w:rsidRPr="00520153">
        <w:rPr>
          <w:sz w:val="24"/>
          <w:szCs w:val="24"/>
          <w:lang w:val="en-US"/>
        </w:rPr>
        <w:t>, [</w:t>
      </w:r>
      <w:r w:rsidRPr="00520153">
        <w:rPr>
          <w:i/>
          <w:iCs/>
          <w:sz w:val="24"/>
          <w:szCs w:val="24"/>
          <w:lang w:val="en-US"/>
        </w:rPr>
        <w:t>s. l.</w:t>
      </w:r>
      <w:r w:rsidRPr="00520153">
        <w:rPr>
          <w:sz w:val="24"/>
          <w:szCs w:val="24"/>
          <w:lang w:val="en-US"/>
        </w:rPr>
        <w:t xml:space="preserve">], v. 27, p. 399-416, </w:t>
      </w:r>
      <w:proofErr w:type="spellStart"/>
      <w:r w:rsidRPr="00520153">
        <w:rPr>
          <w:sz w:val="24"/>
          <w:szCs w:val="24"/>
          <w:lang w:val="en-US"/>
        </w:rPr>
        <w:t>apr.</w:t>
      </w:r>
      <w:proofErr w:type="spellEnd"/>
      <w:r w:rsidRPr="00520153">
        <w:rPr>
          <w:sz w:val="24"/>
          <w:szCs w:val="24"/>
          <w:lang w:val="en-US"/>
        </w:rPr>
        <w:t xml:space="preserve"> 2024. DOI: https://doi.org/10.1007/s11252-023-01449-2. </w:t>
      </w:r>
      <w:r>
        <w:rPr>
          <w:sz w:val="24"/>
          <w:szCs w:val="24"/>
        </w:rPr>
        <w:t xml:space="preserve">Disponível em: </w:t>
      </w:r>
      <w:r w:rsidRPr="00851D5F">
        <w:rPr>
          <w:sz w:val="24"/>
          <w:szCs w:val="24"/>
        </w:rPr>
        <w:t>https://link.springer.com/article/10.1007/s11252-023-01449-2</w:t>
      </w:r>
      <w:r>
        <w:rPr>
          <w:sz w:val="24"/>
          <w:szCs w:val="24"/>
        </w:rPr>
        <w:t xml:space="preserve">. Acesso em: 10 set. 2025. </w:t>
      </w:r>
    </w:p>
    <w:p w14:paraId="1AE11EF3" w14:textId="77777777" w:rsidR="005373A0" w:rsidRDefault="005373A0" w:rsidP="00F13936">
      <w:pPr>
        <w:rPr>
          <w:sz w:val="24"/>
          <w:szCs w:val="24"/>
        </w:rPr>
      </w:pPr>
    </w:p>
    <w:p w14:paraId="60980C3B" w14:textId="3C36BC43" w:rsidR="007C5D71" w:rsidRPr="00295B73" w:rsidRDefault="007C5D71" w:rsidP="00F13936">
      <w:pPr>
        <w:rPr>
          <w:sz w:val="24"/>
          <w:szCs w:val="24"/>
        </w:rPr>
      </w:pPr>
      <w:r w:rsidRPr="00295B73">
        <w:rPr>
          <w:sz w:val="24"/>
          <w:szCs w:val="24"/>
        </w:rPr>
        <w:t xml:space="preserve">SILVA, E. F da. </w:t>
      </w:r>
      <w:r w:rsidRPr="00295B73">
        <w:rPr>
          <w:b/>
          <w:bCs/>
          <w:sz w:val="24"/>
          <w:szCs w:val="24"/>
        </w:rPr>
        <w:t>Estudo técnico-criação da UC municipal Bosque Florestal: diagnóstico do meio físico</w:t>
      </w:r>
      <w:r w:rsidRPr="00295B73">
        <w:rPr>
          <w:sz w:val="24"/>
          <w:szCs w:val="24"/>
        </w:rPr>
        <w:t>. Castanhal: Prefeitura Municipal de Castanhal, 2017.</w:t>
      </w:r>
    </w:p>
    <w:p w14:paraId="441A178A" w14:textId="77777777" w:rsidR="007C5D71" w:rsidRPr="00295B73" w:rsidRDefault="007C5D71" w:rsidP="00F13936">
      <w:pPr>
        <w:rPr>
          <w:sz w:val="24"/>
          <w:szCs w:val="24"/>
        </w:rPr>
      </w:pPr>
    </w:p>
    <w:p w14:paraId="74D32050" w14:textId="2B5BB7E0" w:rsidR="00DB5854" w:rsidRPr="00295B73" w:rsidRDefault="00EA7D92" w:rsidP="00F13936">
      <w:pPr>
        <w:rPr>
          <w:sz w:val="24"/>
          <w:szCs w:val="24"/>
        </w:rPr>
      </w:pPr>
      <w:r w:rsidRPr="00295B73">
        <w:rPr>
          <w:sz w:val="24"/>
          <w:szCs w:val="24"/>
        </w:rPr>
        <w:t xml:space="preserve">VULCÃO, M. da C.; SANTOS, V. S.; BORGES, H. S.; LEITE, U. P. O.; PAULA, M. T. de. Levantamento florístico, diversidade e classificação sucessional das espécies arbóreas do Parque Antônio Danúbio, Ananindeua, Pará, Brasil. </w:t>
      </w:r>
      <w:r w:rsidRPr="00295B73">
        <w:rPr>
          <w:b/>
          <w:bCs/>
          <w:sz w:val="24"/>
          <w:szCs w:val="24"/>
        </w:rPr>
        <w:t>Enciclopédia Biosfera</w:t>
      </w:r>
      <w:r w:rsidRPr="00295B73">
        <w:rPr>
          <w:sz w:val="24"/>
          <w:szCs w:val="24"/>
        </w:rPr>
        <w:t xml:space="preserve">, Jandaia, v. 19, n. 42, p. 289-300, dez. 2022. DOI: 10.18677/EnciBio_2022D20. Disponível em: https://www.conhecer.org.br/enciclop/2022D/levantamento.pdf. Acesso em: 14 ago. 2025. </w:t>
      </w:r>
    </w:p>
    <w:sectPr w:rsidR="00DB5854" w:rsidRPr="00295B73" w:rsidSect="005A1575">
      <w:headerReference w:type="default" r:id="rId11"/>
      <w:footerReference w:type="default" r:id="rId12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CBD3F" w14:textId="77777777" w:rsidR="00AE4E3C" w:rsidRDefault="00AE4E3C" w:rsidP="005A1575">
      <w:r>
        <w:separator/>
      </w:r>
    </w:p>
  </w:endnote>
  <w:endnote w:type="continuationSeparator" w:id="0">
    <w:p w14:paraId="5D8D05B2" w14:textId="77777777" w:rsidR="00AE4E3C" w:rsidRDefault="00AE4E3C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7E4EA" w14:textId="134574BA" w:rsidR="005A1575" w:rsidRDefault="004B3806">
    <w:pPr>
      <w:pStyle w:val="Rodap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58241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58243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58244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58245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6D9C3" w14:textId="77777777" w:rsidR="00AE4E3C" w:rsidRDefault="00AE4E3C" w:rsidP="005A1575">
      <w:r>
        <w:separator/>
      </w:r>
    </w:p>
  </w:footnote>
  <w:footnote w:type="continuationSeparator" w:id="0">
    <w:p w14:paraId="673F45F0" w14:textId="77777777" w:rsidR="00AE4E3C" w:rsidRDefault="00AE4E3C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</w:rPr>
      <w:drawing>
        <wp:inline distT="0" distB="0" distL="0" distR="0" wp14:anchorId="75CDB71C" wp14:editId="6FF693D2">
          <wp:extent cx="3253105" cy="161036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num w:numId="1" w16cid:durableId="1976183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02421"/>
    <w:rsid w:val="0000604E"/>
    <w:rsid w:val="000062AB"/>
    <w:rsid w:val="00015067"/>
    <w:rsid w:val="0002159F"/>
    <w:rsid w:val="0002551B"/>
    <w:rsid w:val="00032887"/>
    <w:rsid w:val="00032928"/>
    <w:rsid w:val="0003665D"/>
    <w:rsid w:val="00037C5E"/>
    <w:rsid w:val="000436E8"/>
    <w:rsid w:val="00047916"/>
    <w:rsid w:val="00050A98"/>
    <w:rsid w:val="00066E96"/>
    <w:rsid w:val="00085194"/>
    <w:rsid w:val="00086C0F"/>
    <w:rsid w:val="000A1B4B"/>
    <w:rsid w:val="000A2ED1"/>
    <w:rsid w:val="000A476B"/>
    <w:rsid w:val="000B5865"/>
    <w:rsid w:val="000C35BA"/>
    <w:rsid w:val="000C741A"/>
    <w:rsid w:val="000D05F9"/>
    <w:rsid w:val="000D7D47"/>
    <w:rsid w:val="000E53E6"/>
    <w:rsid w:val="000E6288"/>
    <w:rsid w:val="00123AA7"/>
    <w:rsid w:val="00130447"/>
    <w:rsid w:val="00134E61"/>
    <w:rsid w:val="00136EA2"/>
    <w:rsid w:val="00142219"/>
    <w:rsid w:val="00177245"/>
    <w:rsid w:val="00177FDF"/>
    <w:rsid w:val="001833CE"/>
    <w:rsid w:val="001A4326"/>
    <w:rsid w:val="001A556E"/>
    <w:rsid w:val="001A63A5"/>
    <w:rsid w:val="001B5005"/>
    <w:rsid w:val="001C524E"/>
    <w:rsid w:val="001D391E"/>
    <w:rsid w:val="001D4FA5"/>
    <w:rsid w:val="001D57C6"/>
    <w:rsid w:val="001E55AA"/>
    <w:rsid w:val="00204D48"/>
    <w:rsid w:val="00214F98"/>
    <w:rsid w:val="0023086C"/>
    <w:rsid w:val="00232C37"/>
    <w:rsid w:val="0023794C"/>
    <w:rsid w:val="00241DE4"/>
    <w:rsid w:val="002769A5"/>
    <w:rsid w:val="00276ACE"/>
    <w:rsid w:val="00295B73"/>
    <w:rsid w:val="002A25BC"/>
    <w:rsid w:val="002B4328"/>
    <w:rsid w:val="002C1F1F"/>
    <w:rsid w:val="002C1FF2"/>
    <w:rsid w:val="002C4EE5"/>
    <w:rsid w:val="002D0000"/>
    <w:rsid w:val="002F3682"/>
    <w:rsid w:val="0030134E"/>
    <w:rsid w:val="00304546"/>
    <w:rsid w:val="00304E52"/>
    <w:rsid w:val="0031571D"/>
    <w:rsid w:val="003279A8"/>
    <w:rsid w:val="00327BA2"/>
    <w:rsid w:val="00331AA3"/>
    <w:rsid w:val="003352D0"/>
    <w:rsid w:val="00336207"/>
    <w:rsid w:val="00340B04"/>
    <w:rsid w:val="00350B82"/>
    <w:rsid w:val="00357ED7"/>
    <w:rsid w:val="003664AB"/>
    <w:rsid w:val="0037549E"/>
    <w:rsid w:val="00376DA2"/>
    <w:rsid w:val="003949CE"/>
    <w:rsid w:val="003A035C"/>
    <w:rsid w:val="003A0558"/>
    <w:rsid w:val="003A0B3E"/>
    <w:rsid w:val="003A7DF7"/>
    <w:rsid w:val="003C10C8"/>
    <w:rsid w:val="003D3D4D"/>
    <w:rsid w:val="003E205B"/>
    <w:rsid w:val="003E2C73"/>
    <w:rsid w:val="003F2411"/>
    <w:rsid w:val="004056BB"/>
    <w:rsid w:val="0041087D"/>
    <w:rsid w:val="00420381"/>
    <w:rsid w:val="00446F8C"/>
    <w:rsid w:val="00450D93"/>
    <w:rsid w:val="00453919"/>
    <w:rsid w:val="00465503"/>
    <w:rsid w:val="00477701"/>
    <w:rsid w:val="004A41F8"/>
    <w:rsid w:val="004A5F9D"/>
    <w:rsid w:val="004A637A"/>
    <w:rsid w:val="004B11AB"/>
    <w:rsid w:val="004B3806"/>
    <w:rsid w:val="004C5C05"/>
    <w:rsid w:val="004E409D"/>
    <w:rsid w:val="004F1FE3"/>
    <w:rsid w:val="004F610F"/>
    <w:rsid w:val="00503D26"/>
    <w:rsid w:val="00513D9C"/>
    <w:rsid w:val="00520153"/>
    <w:rsid w:val="00527A92"/>
    <w:rsid w:val="005373A0"/>
    <w:rsid w:val="00542814"/>
    <w:rsid w:val="00561ED1"/>
    <w:rsid w:val="00567F89"/>
    <w:rsid w:val="005733A3"/>
    <w:rsid w:val="00581833"/>
    <w:rsid w:val="00582D6B"/>
    <w:rsid w:val="0058447A"/>
    <w:rsid w:val="00597F88"/>
    <w:rsid w:val="005A1575"/>
    <w:rsid w:val="005A2172"/>
    <w:rsid w:val="005B781E"/>
    <w:rsid w:val="005C2E4A"/>
    <w:rsid w:val="005C4D03"/>
    <w:rsid w:val="005D1280"/>
    <w:rsid w:val="005D27C6"/>
    <w:rsid w:val="005E2E65"/>
    <w:rsid w:val="005E41B3"/>
    <w:rsid w:val="005E4B4B"/>
    <w:rsid w:val="005E7023"/>
    <w:rsid w:val="00601D11"/>
    <w:rsid w:val="006027CB"/>
    <w:rsid w:val="0060648C"/>
    <w:rsid w:val="00610265"/>
    <w:rsid w:val="0062053D"/>
    <w:rsid w:val="00625D93"/>
    <w:rsid w:val="00627A3B"/>
    <w:rsid w:val="00631E78"/>
    <w:rsid w:val="006375F8"/>
    <w:rsid w:val="00645BA4"/>
    <w:rsid w:val="006511DF"/>
    <w:rsid w:val="00653799"/>
    <w:rsid w:val="00653E88"/>
    <w:rsid w:val="006728B4"/>
    <w:rsid w:val="00672E1B"/>
    <w:rsid w:val="0067400E"/>
    <w:rsid w:val="006846F3"/>
    <w:rsid w:val="006944A2"/>
    <w:rsid w:val="006A493E"/>
    <w:rsid w:val="006B5BDB"/>
    <w:rsid w:val="006D4346"/>
    <w:rsid w:val="006E24B0"/>
    <w:rsid w:val="006F3D80"/>
    <w:rsid w:val="00712236"/>
    <w:rsid w:val="00730584"/>
    <w:rsid w:val="0073334C"/>
    <w:rsid w:val="007357D3"/>
    <w:rsid w:val="00737DB3"/>
    <w:rsid w:val="00743B2C"/>
    <w:rsid w:val="00764222"/>
    <w:rsid w:val="007701A8"/>
    <w:rsid w:val="00773EC1"/>
    <w:rsid w:val="00784777"/>
    <w:rsid w:val="00786B7D"/>
    <w:rsid w:val="00790AC6"/>
    <w:rsid w:val="00790D58"/>
    <w:rsid w:val="00793781"/>
    <w:rsid w:val="00797FEB"/>
    <w:rsid w:val="007A0496"/>
    <w:rsid w:val="007A2086"/>
    <w:rsid w:val="007A2EBF"/>
    <w:rsid w:val="007A3840"/>
    <w:rsid w:val="007B00E2"/>
    <w:rsid w:val="007B6129"/>
    <w:rsid w:val="007C5D71"/>
    <w:rsid w:val="007D624B"/>
    <w:rsid w:val="007E11BC"/>
    <w:rsid w:val="007E6257"/>
    <w:rsid w:val="00802BC6"/>
    <w:rsid w:val="00803790"/>
    <w:rsid w:val="00803C5E"/>
    <w:rsid w:val="00804275"/>
    <w:rsid w:val="00813980"/>
    <w:rsid w:val="008210A5"/>
    <w:rsid w:val="00824D3F"/>
    <w:rsid w:val="00836259"/>
    <w:rsid w:val="00840018"/>
    <w:rsid w:val="008414BD"/>
    <w:rsid w:val="008476CB"/>
    <w:rsid w:val="00851D5F"/>
    <w:rsid w:val="008548D2"/>
    <w:rsid w:val="00856160"/>
    <w:rsid w:val="00866B1B"/>
    <w:rsid w:val="0089191F"/>
    <w:rsid w:val="00891D4B"/>
    <w:rsid w:val="008A08B0"/>
    <w:rsid w:val="008A09A7"/>
    <w:rsid w:val="008C5188"/>
    <w:rsid w:val="008D180F"/>
    <w:rsid w:val="008F4209"/>
    <w:rsid w:val="00901959"/>
    <w:rsid w:val="009165C7"/>
    <w:rsid w:val="00927EAE"/>
    <w:rsid w:val="00937DE6"/>
    <w:rsid w:val="00952696"/>
    <w:rsid w:val="0095540B"/>
    <w:rsid w:val="009576F5"/>
    <w:rsid w:val="00960DEA"/>
    <w:rsid w:val="009613E3"/>
    <w:rsid w:val="00962C69"/>
    <w:rsid w:val="00972A85"/>
    <w:rsid w:val="00975E56"/>
    <w:rsid w:val="00983B17"/>
    <w:rsid w:val="009932B6"/>
    <w:rsid w:val="009A6C40"/>
    <w:rsid w:val="009B2A04"/>
    <w:rsid w:val="009C0A65"/>
    <w:rsid w:val="009F7779"/>
    <w:rsid w:val="00A0418F"/>
    <w:rsid w:val="00A13D3B"/>
    <w:rsid w:val="00A14290"/>
    <w:rsid w:val="00A24DF8"/>
    <w:rsid w:val="00A3792D"/>
    <w:rsid w:val="00A406A0"/>
    <w:rsid w:val="00A56380"/>
    <w:rsid w:val="00A64A19"/>
    <w:rsid w:val="00A72D35"/>
    <w:rsid w:val="00A87EE6"/>
    <w:rsid w:val="00A93850"/>
    <w:rsid w:val="00AB0FF3"/>
    <w:rsid w:val="00AB2E00"/>
    <w:rsid w:val="00AB3E45"/>
    <w:rsid w:val="00AC02A6"/>
    <w:rsid w:val="00AC04EB"/>
    <w:rsid w:val="00AE4E3C"/>
    <w:rsid w:val="00AF48E7"/>
    <w:rsid w:val="00AF6679"/>
    <w:rsid w:val="00AF788B"/>
    <w:rsid w:val="00B01B81"/>
    <w:rsid w:val="00B04B6E"/>
    <w:rsid w:val="00B126C7"/>
    <w:rsid w:val="00B20B8E"/>
    <w:rsid w:val="00B406B7"/>
    <w:rsid w:val="00B415FC"/>
    <w:rsid w:val="00B45339"/>
    <w:rsid w:val="00B62550"/>
    <w:rsid w:val="00B62C2A"/>
    <w:rsid w:val="00B71118"/>
    <w:rsid w:val="00B7164B"/>
    <w:rsid w:val="00B76A05"/>
    <w:rsid w:val="00B80E67"/>
    <w:rsid w:val="00B861FB"/>
    <w:rsid w:val="00BB0473"/>
    <w:rsid w:val="00BB3CBC"/>
    <w:rsid w:val="00BD2AD0"/>
    <w:rsid w:val="00C12B6D"/>
    <w:rsid w:val="00C1643B"/>
    <w:rsid w:val="00C42507"/>
    <w:rsid w:val="00C56F1E"/>
    <w:rsid w:val="00C70E18"/>
    <w:rsid w:val="00C73A00"/>
    <w:rsid w:val="00C74361"/>
    <w:rsid w:val="00C8670B"/>
    <w:rsid w:val="00C87AF4"/>
    <w:rsid w:val="00C90E71"/>
    <w:rsid w:val="00CA64F7"/>
    <w:rsid w:val="00CC5B76"/>
    <w:rsid w:val="00CD262A"/>
    <w:rsid w:val="00CE2B1C"/>
    <w:rsid w:val="00CF3182"/>
    <w:rsid w:val="00CF4D14"/>
    <w:rsid w:val="00CF74D9"/>
    <w:rsid w:val="00D0208D"/>
    <w:rsid w:val="00D23201"/>
    <w:rsid w:val="00D361AC"/>
    <w:rsid w:val="00D3667C"/>
    <w:rsid w:val="00D66F21"/>
    <w:rsid w:val="00D922D0"/>
    <w:rsid w:val="00D96310"/>
    <w:rsid w:val="00DA0E76"/>
    <w:rsid w:val="00DA257A"/>
    <w:rsid w:val="00DB5854"/>
    <w:rsid w:val="00DC4544"/>
    <w:rsid w:val="00DC654C"/>
    <w:rsid w:val="00DD1E5A"/>
    <w:rsid w:val="00DD43D7"/>
    <w:rsid w:val="00DE04D3"/>
    <w:rsid w:val="00E02904"/>
    <w:rsid w:val="00E03A90"/>
    <w:rsid w:val="00E11A5A"/>
    <w:rsid w:val="00E30F4A"/>
    <w:rsid w:val="00E31E66"/>
    <w:rsid w:val="00E418EC"/>
    <w:rsid w:val="00E4595D"/>
    <w:rsid w:val="00E47610"/>
    <w:rsid w:val="00E57DEF"/>
    <w:rsid w:val="00E65D64"/>
    <w:rsid w:val="00E70C92"/>
    <w:rsid w:val="00E84071"/>
    <w:rsid w:val="00E86588"/>
    <w:rsid w:val="00E8768C"/>
    <w:rsid w:val="00EA7D92"/>
    <w:rsid w:val="00EB67F4"/>
    <w:rsid w:val="00EC1A4E"/>
    <w:rsid w:val="00ED2E81"/>
    <w:rsid w:val="00ED5DF9"/>
    <w:rsid w:val="00EF323E"/>
    <w:rsid w:val="00EF575A"/>
    <w:rsid w:val="00F037E7"/>
    <w:rsid w:val="00F13936"/>
    <w:rsid w:val="00F21928"/>
    <w:rsid w:val="00F27328"/>
    <w:rsid w:val="00F31B33"/>
    <w:rsid w:val="00F46632"/>
    <w:rsid w:val="00F47CF2"/>
    <w:rsid w:val="00F55464"/>
    <w:rsid w:val="00F67A97"/>
    <w:rsid w:val="00F90048"/>
    <w:rsid w:val="00F9030B"/>
    <w:rsid w:val="00F942E7"/>
    <w:rsid w:val="00F948A7"/>
    <w:rsid w:val="00FA3D49"/>
    <w:rsid w:val="00FA64C5"/>
    <w:rsid w:val="00FC049F"/>
    <w:rsid w:val="00FC1C71"/>
    <w:rsid w:val="00FD4452"/>
    <w:rsid w:val="00FE1BF8"/>
    <w:rsid w:val="00FE3DD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6BC7DD"/>
  <w15:docId w15:val="{38903907-1200-4329-BC66-725619F5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9A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BB04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B04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165C7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9A7"/>
    <w:rPr>
      <w:rFonts w:eastAsiaTheme="majorEastAsia" w:cstheme="majorBidi"/>
      <w:color w:val="365F91" w:themeColor="accent1" w:themeShade="BF"/>
      <w:sz w:val="28"/>
      <w:szCs w:val="2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llykatarinanascimento@gmail.com" TargetMode="External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1.xml" /><Relationship Id="rId5" Type="http://schemas.openxmlformats.org/officeDocument/2006/relationships/webSettings" Target="webSettings.xml" /><Relationship Id="rId10" Type="http://schemas.openxmlformats.org/officeDocument/2006/relationships/image" Target="media/image2.tmp" /><Relationship Id="rId4" Type="http://schemas.openxmlformats.org/officeDocument/2006/relationships/settings" Target="settings.xml" /><Relationship Id="rId9" Type="http://schemas.openxmlformats.org/officeDocument/2006/relationships/image" Target="media/image1.tmp" /><Relationship Id="rId14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 /><Relationship Id="rId2" Type="http://schemas.openxmlformats.org/officeDocument/2006/relationships/image" Target="media/image5.png" /><Relationship Id="rId1" Type="http://schemas.openxmlformats.org/officeDocument/2006/relationships/image" Target="media/image4.png" /><Relationship Id="rId6" Type="http://schemas.openxmlformats.org/officeDocument/2006/relationships/image" Target="media/image9.png" /><Relationship Id="rId5" Type="http://schemas.openxmlformats.org/officeDocument/2006/relationships/image" Target="media/image8.png" /><Relationship Id="rId4" Type="http://schemas.openxmlformats.org/officeDocument/2006/relationships/image" Target="media/image7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022FA-F9F8-4725-AEB6-8179C05CA07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2542</Words>
  <Characters>13729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kellykatarinanascimento@gmail.com</cp:lastModifiedBy>
  <cp:revision>3</cp:revision>
  <dcterms:created xsi:type="dcterms:W3CDTF">2025-11-01T02:07:00Z</dcterms:created>
  <dcterms:modified xsi:type="dcterms:W3CDTF">2025-11-01T02:14:00Z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