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27" w:rsidRDefault="00CA4E34" w:rsidP="00277927">
      <w:pPr>
        <w:shd w:val="clear" w:color="auto" w:fill="D9D9D9" w:themeFill="background1" w:themeFillShade="D9"/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shd w:val="clear" w:color="auto" w:fill="D9D9D9" w:themeFill="background1" w:themeFillShade="D9"/>
        </w:rPr>
        <w:t xml:space="preserve">ANEXO </w:t>
      </w:r>
      <w:r w:rsidR="00277927">
        <w:rPr>
          <w:rFonts w:ascii="Verdana" w:hAnsi="Verdana"/>
          <w:b/>
          <w:bCs/>
          <w:sz w:val="20"/>
          <w:szCs w:val="20"/>
          <w:shd w:val="clear" w:color="auto" w:fill="D9D9D9" w:themeFill="background1" w:themeFillShade="D9"/>
        </w:rPr>
        <w:t>I</w:t>
      </w:r>
      <w:r w:rsidR="00277927" w:rsidRPr="00421194">
        <w:rPr>
          <w:rFonts w:ascii="Verdana" w:hAnsi="Verdana"/>
          <w:b/>
          <w:bCs/>
          <w:sz w:val="20"/>
          <w:szCs w:val="20"/>
          <w:shd w:val="clear" w:color="auto" w:fill="D9D9D9" w:themeFill="background1" w:themeFillShade="D9"/>
        </w:rPr>
        <w:t xml:space="preserve"> </w:t>
      </w:r>
      <w:r w:rsidR="00277927">
        <w:rPr>
          <w:rFonts w:ascii="Verdana" w:hAnsi="Verdana"/>
          <w:b/>
          <w:bCs/>
          <w:sz w:val="20"/>
          <w:szCs w:val="20"/>
          <w:shd w:val="clear" w:color="auto" w:fill="D9D9D9" w:themeFill="background1" w:themeFillShade="D9"/>
        </w:rPr>
        <w:t>–</w:t>
      </w:r>
      <w:r w:rsidR="00277927" w:rsidRPr="00421194">
        <w:rPr>
          <w:rFonts w:ascii="Verdana" w:hAnsi="Verdana"/>
          <w:b/>
          <w:bCs/>
          <w:sz w:val="20"/>
          <w:szCs w:val="20"/>
          <w:shd w:val="clear" w:color="auto" w:fill="D9D9D9" w:themeFill="background1" w:themeFillShade="D9"/>
        </w:rPr>
        <w:t xml:space="preserve"> </w:t>
      </w:r>
      <w:r>
        <w:rPr>
          <w:rFonts w:ascii="Verdana" w:hAnsi="Verdana"/>
          <w:b/>
          <w:bCs/>
          <w:sz w:val="20"/>
          <w:szCs w:val="20"/>
          <w:shd w:val="clear" w:color="auto" w:fill="D9D9D9" w:themeFill="background1" w:themeFillShade="D9"/>
        </w:rPr>
        <w:t>MODELO DO RESUMO PARA SUBMISSÃO</w:t>
      </w:r>
    </w:p>
    <w:p w:rsidR="0010646B" w:rsidRDefault="0010646B" w:rsidP="0010646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8943E1">
        <w:rPr>
          <w:rFonts w:ascii="Verdana" w:hAnsi="Verdana"/>
          <w:b/>
          <w:sz w:val="20"/>
          <w:szCs w:val="20"/>
        </w:rPr>
        <w:t>TÍTULO:</w:t>
      </w:r>
      <w:r w:rsidRPr="008943E1">
        <w:rPr>
          <w:rFonts w:ascii="Verdana" w:hAnsi="Verdana"/>
          <w:sz w:val="20"/>
          <w:szCs w:val="20"/>
        </w:rPr>
        <w:t xml:space="preserve"> </w:t>
      </w:r>
      <w:r w:rsidRPr="008943E1">
        <w:rPr>
          <w:rFonts w:ascii="Verdana" w:hAnsi="Verdana"/>
          <w:b/>
          <w:sz w:val="20"/>
          <w:szCs w:val="20"/>
        </w:rPr>
        <w:t xml:space="preserve">INVESTIGAÇÃO DE SURTO DE GASTROENTERITE POR </w:t>
      </w:r>
      <w:r w:rsidRPr="008943E1">
        <w:rPr>
          <w:rFonts w:ascii="Verdana" w:hAnsi="Verdana"/>
          <w:b/>
          <w:i/>
          <w:sz w:val="20"/>
          <w:szCs w:val="20"/>
        </w:rPr>
        <w:t>CRYPTOSPORIDIUM SPP.</w:t>
      </w:r>
      <w:r w:rsidRPr="008943E1">
        <w:rPr>
          <w:rFonts w:ascii="Verdana" w:hAnsi="Verdana"/>
          <w:b/>
          <w:sz w:val="20"/>
          <w:szCs w:val="20"/>
        </w:rPr>
        <w:t xml:space="preserve"> EM POÇO TUBULAR PROFUNDO PARA CONSUMO HUMANO EM EMPRESA DE CAMPINAS/SP</w:t>
      </w:r>
    </w:p>
    <w:p w:rsidR="0010646B" w:rsidRPr="0010646B" w:rsidRDefault="0010646B" w:rsidP="0010646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10646B" w:rsidRDefault="0010646B" w:rsidP="0010646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8943E1">
        <w:rPr>
          <w:rFonts w:ascii="Verdana" w:hAnsi="Verdana"/>
          <w:b/>
          <w:sz w:val="20"/>
          <w:szCs w:val="20"/>
        </w:rPr>
        <w:t>RESUMO ESTRUTURADO:</w:t>
      </w:r>
      <w:r w:rsidRPr="008943E1">
        <w:rPr>
          <w:rFonts w:ascii="Verdana" w:hAnsi="Verdana"/>
          <w:sz w:val="20"/>
          <w:szCs w:val="20"/>
        </w:rPr>
        <w:t xml:space="preserve"> </w:t>
      </w:r>
    </w:p>
    <w:p w:rsidR="0010646B" w:rsidRPr="001E1630" w:rsidRDefault="0010646B" w:rsidP="0010646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943E1">
        <w:rPr>
          <w:rFonts w:ascii="Verdana" w:hAnsi="Verdana"/>
          <w:b/>
          <w:sz w:val="20"/>
          <w:szCs w:val="20"/>
        </w:rPr>
        <w:t>OBJETIVOS:</w:t>
      </w:r>
      <w:r>
        <w:rPr>
          <w:rFonts w:ascii="Verdana" w:hAnsi="Verdana"/>
          <w:sz w:val="20"/>
          <w:szCs w:val="20"/>
        </w:rPr>
        <w:t xml:space="preserve"> Descrever estratégias de investigação de surto de gastroenterite em empresa de Campinas/SP abastecida por Solução Alternativa Coletiva (SAC). </w:t>
      </w:r>
      <w:r w:rsidRPr="008943E1">
        <w:rPr>
          <w:rFonts w:ascii="Verdana" w:hAnsi="Verdana"/>
          <w:b/>
          <w:sz w:val="20"/>
          <w:szCs w:val="20"/>
        </w:rPr>
        <w:t>MÉTODOS:</w:t>
      </w:r>
      <w:r>
        <w:rPr>
          <w:rFonts w:ascii="Verdana" w:hAnsi="Verdana"/>
          <w:sz w:val="20"/>
          <w:szCs w:val="20"/>
        </w:rPr>
        <w:t xml:space="preserve"> Foram realizadas: entrevistas junto aos responsáveis dos setores; aplicação de inquérito por </w:t>
      </w:r>
      <w:r w:rsidRPr="00322A6A">
        <w:rPr>
          <w:rFonts w:ascii="Verdana" w:hAnsi="Verdana"/>
          <w:i/>
          <w:sz w:val="20"/>
          <w:szCs w:val="20"/>
        </w:rPr>
        <w:t xml:space="preserve">Google </w:t>
      </w:r>
      <w:proofErr w:type="spellStart"/>
      <w:r w:rsidRPr="00322A6A">
        <w:rPr>
          <w:rFonts w:ascii="Verdana" w:hAnsi="Verdana"/>
          <w:i/>
          <w:sz w:val="20"/>
          <w:szCs w:val="20"/>
        </w:rPr>
        <w:t>Forms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>aos</w:t>
      </w:r>
      <w:r>
        <w:rPr>
          <w:rFonts w:ascii="Verdana" w:hAnsi="Verdana"/>
          <w:sz w:val="20"/>
          <w:szCs w:val="20"/>
        </w:rPr>
        <w:t xml:space="preserve"> trabalhadores; inspeção para avaliação da dinâmica de trabalho e distribuição espaço-temporal dos casos; análises </w:t>
      </w:r>
      <w:proofErr w:type="spellStart"/>
      <w:r>
        <w:rPr>
          <w:rFonts w:ascii="Verdana" w:hAnsi="Verdana"/>
          <w:sz w:val="20"/>
          <w:szCs w:val="20"/>
        </w:rPr>
        <w:t>bromatológicas</w:t>
      </w:r>
      <w:proofErr w:type="spellEnd"/>
      <w:r>
        <w:rPr>
          <w:rFonts w:ascii="Verdana" w:hAnsi="Verdana"/>
          <w:sz w:val="20"/>
          <w:szCs w:val="20"/>
        </w:rPr>
        <w:t xml:space="preserve"> e biológicas (água e fezes), processadas pelo Instituto Adolfo Lutz de São Paulo e Campinas; </w:t>
      </w:r>
      <w:proofErr w:type="gramStart"/>
      <w:r>
        <w:rPr>
          <w:rFonts w:ascii="Verdana" w:hAnsi="Verdana"/>
          <w:sz w:val="20"/>
          <w:szCs w:val="20"/>
        </w:rPr>
        <w:t>implementação</w:t>
      </w:r>
      <w:proofErr w:type="gramEnd"/>
      <w:r>
        <w:rPr>
          <w:rFonts w:ascii="Verdana" w:hAnsi="Verdana"/>
          <w:sz w:val="20"/>
          <w:szCs w:val="20"/>
        </w:rPr>
        <w:t xml:space="preserve"> de intervenções ambientais, sanitárias e epidemiológicas para interrupção do surto. </w:t>
      </w:r>
      <w:r w:rsidRPr="008943E1">
        <w:rPr>
          <w:rFonts w:ascii="Verdana" w:hAnsi="Verdana"/>
          <w:b/>
          <w:sz w:val="20"/>
          <w:szCs w:val="20"/>
        </w:rPr>
        <w:t>RESULTADOS:</w:t>
      </w:r>
      <w:r>
        <w:rPr>
          <w:rFonts w:ascii="Verdana" w:hAnsi="Verdana"/>
          <w:sz w:val="20"/>
          <w:szCs w:val="20"/>
        </w:rPr>
        <w:t xml:space="preserve"> Após denúncia em junho de 2023, a Vigilância em Saúde iniciou investigação epidemiológica de surto de gastroenterite em empresa com 1537 colaboradores. Em inquérito aplicado e respondido por 1056 trabalhadores dos 03 turnos: 78% apresentaram diarreia média de 03 dias de sintoma; 98% dos sintomáticos relatavam consumo de água da empresa, dos quais 74% não consumiam refeição ofertada pelo local. A Vigilância inspecionou o restaurante e concluiu que os procedimentos eram satisfatórios com restrições. O abastecimento de água para consumo humano por poço tubular profundo era cadastrado como SAC no SISAGUA, com responsável técnico e análises de controle. Quanto às análises </w:t>
      </w:r>
      <w:proofErr w:type="spellStart"/>
      <w:r>
        <w:rPr>
          <w:rFonts w:ascii="Verdana" w:hAnsi="Verdana"/>
          <w:sz w:val="20"/>
          <w:szCs w:val="20"/>
        </w:rPr>
        <w:t>bromatológicas</w:t>
      </w:r>
      <w:proofErr w:type="spellEnd"/>
      <w:r>
        <w:rPr>
          <w:rFonts w:ascii="Verdana" w:hAnsi="Verdana"/>
          <w:sz w:val="20"/>
          <w:szCs w:val="20"/>
        </w:rPr>
        <w:t xml:space="preserve"> na água bruta do poço e na água tratada por cloração em torneira da cozinha, foi identificada a presença de oocistos e material genético de </w:t>
      </w:r>
      <w:proofErr w:type="spellStart"/>
      <w:r w:rsidRPr="00602D04">
        <w:rPr>
          <w:rFonts w:ascii="Verdana" w:hAnsi="Verdana"/>
          <w:i/>
          <w:sz w:val="20"/>
          <w:szCs w:val="20"/>
        </w:rPr>
        <w:t>Cryptosporidium</w:t>
      </w:r>
      <w:proofErr w:type="spellEnd"/>
      <w:r w:rsidRPr="00602D0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602D04">
        <w:rPr>
          <w:rFonts w:ascii="Verdana" w:hAnsi="Verdana"/>
          <w:i/>
          <w:sz w:val="20"/>
          <w:szCs w:val="20"/>
        </w:rPr>
        <w:t>spp</w:t>
      </w:r>
      <w:proofErr w:type="spellEnd"/>
      <w:r w:rsidRPr="007038E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em</w:t>
      </w:r>
      <w:proofErr w:type="gramEnd"/>
      <w:r>
        <w:rPr>
          <w:rFonts w:ascii="Verdana" w:hAnsi="Verdana"/>
          <w:sz w:val="20"/>
          <w:szCs w:val="20"/>
        </w:rPr>
        <w:t xml:space="preserve"> ambas amostragens, além de 04 cepas de </w:t>
      </w:r>
      <w:r w:rsidRPr="00602D04">
        <w:rPr>
          <w:rFonts w:ascii="Verdana" w:hAnsi="Verdana"/>
          <w:i/>
          <w:sz w:val="20"/>
          <w:szCs w:val="20"/>
        </w:rPr>
        <w:t xml:space="preserve">Aeromonas </w:t>
      </w:r>
      <w:proofErr w:type="spellStart"/>
      <w:r w:rsidRPr="00602D04">
        <w:rPr>
          <w:rFonts w:ascii="Verdana" w:hAnsi="Verdana"/>
          <w:i/>
          <w:sz w:val="20"/>
          <w:szCs w:val="20"/>
        </w:rPr>
        <w:t>hydrophilla</w:t>
      </w:r>
      <w:proofErr w:type="spellEnd"/>
      <w:r>
        <w:rPr>
          <w:rFonts w:ascii="Verdana" w:hAnsi="Verdana"/>
          <w:sz w:val="20"/>
          <w:szCs w:val="20"/>
        </w:rPr>
        <w:t xml:space="preserve"> na água bruta; resultando na  interdição pela Vigilância do poço para consumo humano, sendo o abastecimento substituído pela rede pública e transportador de água. Quanto às análises biológicas, foram realizadas 04 coletas, em que 01 amostra positivou para </w:t>
      </w:r>
      <w:r w:rsidRPr="00602D04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i/>
          <w:sz w:val="20"/>
          <w:szCs w:val="20"/>
        </w:rPr>
        <w:t>.</w:t>
      </w:r>
      <w:r w:rsidRPr="00602D0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602D04">
        <w:rPr>
          <w:rFonts w:ascii="Verdana" w:hAnsi="Verdana"/>
          <w:i/>
          <w:sz w:val="20"/>
          <w:szCs w:val="20"/>
        </w:rPr>
        <w:t>hominis</w:t>
      </w:r>
      <w:proofErr w:type="spellEnd"/>
      <w:r>
        <w:rPr>
          <w:rFonts w:ascii="Verdana" w:hAnsi="Verdana"/>
          <w:sz w:val="20"/>
          <w:szCs w:val="20"/>
        </w:rPr>
        <w:t xml:space="preserve"> e </w:t>
      </w:r>
      <w:r w:rsidRPr="00602D04">
        <w:rPr>
          <w:rFonts w:ascii="Verdana" w:hAnsi="Verdana"/>
          <w:i/>
          <w:sz w:val="20"/>
          <w:szCs w:val="20"/>
        </w:rPr>
        <w:t>C</w:t>
      </w:r>
      <w:r>
        <w:rPr>
          <w:rFonts w:ascii="Verdana" w:hAnsi="Verdana"/>
          <w:i/>
          <w:sz w:val="20"/>
          <w:szCs w:val="20"/>
        </w:rPr>
        <w:t>.</w:t>
      </w:r>
      <w:r w:rsidRPr="00602D0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602D04">
        <w:rPr>
          <w:rFonts w:ascii="Verdana" w:hAnsi="Verdana"/>
          <w:i/>
          <w:sz w:val="20"/>
          <w:szCs w:val="20"/>
        </w:rPr>
        <w:t>parvum</w:t>
      </w:r>
      <w:proofErr w:type="spellEnd"/>
      <w:r>
        <w:rPr>
          <w:rFonts w:ascii="Verdana" w:hAnsi="Verdana"/>
          <w:sz w:val="20"/>
          <w:szCs w:val="20"/>
        </w:rPr>
        <w:t xml:space="preserve"> e outra para </w:t>
      </w:r>
      <w:proofErr w:type="spellStart"/>
      <w:r w:rsidRPr="00602D04">
        <w:rPr>
          <w:rFonts w:ascii="Verdana" w:hAnsi="Verdana"/>
          <w:i/>
          <w:sz w:val="20"/>
          <w:szCs w:val="20"/>
        </w:rPr>
        <w:t>Escherichia</w:t>
      </w:r>
      <w:proofErr w:type="spellEnd"/>
      <w:r w:rsidRPr="00602D04">
        <w:rPr>
          <w:rFonts w:ascii="Verdana" w:hAnsi="Verdana"/>
          <w:i/>
          <w:sz w:val="20"/>
          <w:szCs w:val="20"/>
        </w:rPr>
        <w:t xml:space="preserve"> coli</w:t>
      </w:r>
      <w:r>
        <w:rPr>
          <w:rFonts w:ascii="Verdana" w:hAnsi="Verdana"/>
          <w:sz w:val="20"/>
          <w:szCs w:val="20"/>
        </w:rPr>
        <w:t xml:space="preserve"> e </w:t>
      </w:r>
      <w:proofErr w:type="spellStart"/>
      <w:r>
        <w:rPr>
          <w:rFonts w:ascii="Verdana" w:hAnsi="Verdana"/>
          <w:sz w:val="20"/>
          <w:szCs w:val="20"/>
        </w:rPr>
        <w:t>rotavírus</w:t>
      </w:r>
      <w:proofErr w:type="spellEnd"/>
      <w:r>
        <w:rPr>
          <w:rFonts w:ascii="Verdana" w:hAnsi="Verdana"/>
          <w:sz w:val="20"/>
          <w:szCs w:val="20"/>
        </w:rPr>
        <w:t xml:space="preserve">. A empresa </w:t>
      </w:r>
      <w:proofErr w:type="gramStart"/>
      <w:r>
        <w:rPr>
          <w:rFonts w:ascii="Verdana" w:hAnsi="Verdana"/>
          <w:sz w:val="20"/>
          <w:szCs w:val="20"/>
        </w:rPr>
        <w:t>implementou</w:t>
      </w:r>
      <w:proofErr w:type="gramEnd"/>
      <w:r>
        <w:rPr>
          <w:rFonts w:ascii="Verdana" w:hAnsi="Verdana"/>
          <w:sz w:val="20"/>
          <w:szCs w:val="20"/>
        </w:rPr>
        <w:t xml:space="preserve"> no plano de ação: avaliação de saúde,</w:t>
      </w:r>
      <w:r w:rsidRPr="00FC5B5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prescrição </w:t>
      </w:r>
      <w:r w:rsidRPr="00277D90">
        <w:rPr>
          <w:rFonts w:ascii="Verdana" w:hAnsi="Verdana"/>
          <w:sz w:val="20"/>
          <w:szCs w:val="20"/>
        </w:rPr>
        <w:t xml:space="preserve">e fornecimento do medicamento para tratamento específico </w:t>
      </w:r>
      <w:r>
        <w:rPr>
          <w:rFonts w:ascii="Verdana" w:hAnsi="Verdana"/>
          <w:sz w:val="20"/>
          <w:szCs w:val="20"/>
        </w:rPr>
        <w:t>ao</w:t>
      </w:r>
      <w:r w:rsidRPr="00277D90">
        <w:rPr>
          <w:rFonts w:ascii="Verdana" w:hAnsi="Verdana"/>
          <w:sz w:val="20"/>
          <w:szCs w:val="20"/>
        </w:rPr>
        <w:t xml:space="preserve"> agente etiológico e monitoramento de casos via </w:t>
      </w:r>
      <w:r>
        <w:rPr>
          <w:rFonts w:ascii="Verdana" w:hAnsi="Verdana"/>
          <w:sz w:val="20"/>
          <w:szCs w:val="20"/>
        </w:rPr>
        <w:t xml:space="preserve">Serviço de Medicina do Trabalho, comunicação de risco, campanha de conscientização para higienização adequada das mãos. </w:t>
      </w:r>
      <w:r w:rsidRPr="001E1630">
        <w:rPr>
          <w:rFonts w:ascii="Verdana" w:hAnsi="Verdana"/>
          <w:b/>
          <w:sz w:val="20"/>
          <w:szCs w:val="20"/>
        </w:rPr>
        <w:t>CONCLUSÕES: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O presente surto alertou o potencial risco à saúde em soluções alternativas de abastecimento e </w:t>
      </w:r>
      <w:r w:rsidRPr="001E1630">
        <w:rPr>
          <w:rFonts w:ascii="Verdana" w:hAnsi="Verdana"/>
          <w:sz w:val="20"/>
          <w:szCs w:val="20"/>
        </w:rPr>
        <w:t xml:space="preserve">as lacunas de legislação e </w:t>
      </w:r>
      <w:r>
        <w:rPr>
          <w:rFonts w:ascii="Verdana" w:hAnsi="Verdana"/>
          <w:sz w:val="20"/>
          <w:szCs w:val="20"/>
        </w:rPr>
        <w:t xml:space="preserve">diretrizes para prevenção e controle da transmissão hídrica do </w:t>
      </w:r>
      <w:proofErr w:type="spellStart"/>
      <w:r w:rsidRPr="00AA1D7B">
        <w:rPr>
          <w:rFonts w:ascii="Verdana" w:hAnsi="Verdana"/>
          <w:i/>
          <w:iCs/>
          <w:sz w:val="20"/>
          <w:szCs w:val="20"/>
        </w:rPr>
        <w:t>Crypstoridium</w:t>
      </w:r>
      <w:proofErr w:type="spellEnd"/>
      <w:r w:rsidRPr="001E1630">
        <w:rPr>
          <w:rFonts w:ascii="Verdana" w:hAnsi="Verdana"/>
          <w:sz w:val="20"/>
          <w:szCs w:val="20"/>
        </w:rPr>
        <w:t xml:space="preserve"> por água subterrânea</w:t>
      </w:r>
      <w:r>
        <w:rPr>
          <w:rFonts w:ascii="Verdana" w:hAnsi="Verdana"/>
          <w:sz w:val="20"/>
          <w:szCs w:val="20"/>
        </w:rPr>
        <w:t xml:space="preserve"> no âmbito d</w:t>
      </w:r>
      <w:r w:rsidRPr="001E1630">
        <w:rPr>
          <w:rFonts w:ascii="Verdana" w:hAnsi="Verdana"/>
          <w:sz w:val="20"/>
          <w:szCs w:val="20"/>
        </w:rPr>
        <w:t>as ações de vigilância em saúde</w:t>
      </w:r>
      <w:r>
        <w:rPr>
          <w:rFonts w:ascii="Verdana" w:hAnsi="Verdana"/>
          <w:sz w:val="20"/>
          <w:szCs w:val="20"/>
        </w:rPr>
        <w:t>.</w:t>
      </w:r>
    </w:p>
    <w:p w:rsidR="0010646B" w:rsidRDefault="0010646B" w:rsidP="0010646B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</w:p>
    <w:p w:rsidR="0010646B" w:rsidRPr="008943E1" w:rsidRDefault="0010646B" w:rsidP="0010646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FC5B51">
        <w:rPr>
          <w:rFonts w:ascii="Verdana" w:hAnsi="Verdana"/>
          <w:b/>
          <w:sz w:val="20"/>
          <w:szCs w:val="20"/>
        </w:rPr>
        <w:t>PALAVRAS-CHAVE:</w:t>
      </w:r>
      <w:r w:rsidRPr="008943E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surto; gastroenterite; </w:t>
      </w:r>
      <w:proofErr w:type="spellStart"/>
      <w:r>
        <w:rPr>
          <w:rFonts w:ascii="Verdana" w:hAnsi="Verdana"/>
          <w:i/>
          <w:sz w:val="20"/>
          <w:szCs w:val="20"/>
        </w:rPr>
        <w:t>Cryptosporidium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spp</w:t>
      </w:r>
      <w:proofErr w:type="spellEnd"/>
      <w:r>
        <w:rPr>
          <w:rFonts w:ascii="Verdana" w:hAnsi="Verdana"/>
          <w:sz w:val="20"/>
          <w:szCs w:val="20"/>
        </w:rPr>
        <w:t>; poço tubular profundo; solução alternativa coletiva; doença de transmissão hídrica.</w:t>
      </w:r>
    </w:p>
    <w:p w:rsidR="004F75EA" w:rsidRPr="00C677CC" w:rsidRDefault="004F75EA" w:rsidP="002660D4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4F75EA" w:rsidRPr="00C677CC" w:rsidRDefault="004F75EA" w:rsidP="002660D4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4F75EA" w:rsidRPr="00C677CC" w:rsidRDefault="004F75EA" w:rsidP="002660D4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4F75EA" w:rsidRPr="00C677CC" w:rsidRDefault="004F75EA">
      <w:pPr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</w:pPr>
    </w:p>
    <w:sectPr w:rsidR="004F75EA" w:rsidRPr="00C677CC" w:rsidSect="00FD1EB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BB" w:rsidRDefault="00020DBB" w:rsidP="001D6CF7">
      <w:pPr>
        <w:spacing w:after="0" w:line="240" w:lineRule="auto"/>
      </w:pPr>
      <w:r>
        <w:separator/>
      </w:r>
    </w:p>
  </w:endnote>
  <w:endnote w:type="continuationSeparator" w:id="0">
    <w:p w:rsidR="00020DBB" w:rsidRDefault="00020DBB" w:rsidP="001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F7" w:rsidRPr="00B07567" w:rsidRDefault="00D54155" w:rsidP="00B07567">
    <w:pPr>
      <w:pStyle w:val="Rodap"/>
      <w:jc w:val="center"/>
      <w:rPr>
        <w:rFonts w:ascii="Verdana" w:hAnsi="Verdana"/>
        <w:color w:val="808080" w:themeColor="background1" w:themeShade="80"/>
        <w:sz w:val="16"/>
        <w:szCs w:val="16"/>
      </w:rPr>
    </w:pPr>
    <w:r w:rsidRPr="00B07567">
      <w:rPr>
        <w:rFonts w:ascii="Verdana" w:hAnsi="Verdana"/>
        <w:color w:val="808080" w:themeColor="background1" w:themeShade="80"/>
        <w:sz w:val="16"/>
        <w:szCs w:val="16"/>
      </w:rPr>
      <w:t>Divisão de Doenças de Transmissão Hídrica e Alimentar – DDTHA/CVE/CCD/SES-SP</w:t>
    </w:r>
  </w:p>
  <w:p w:rsidR="00B07567" w:rsidRPr="00B07567" w:rsidRDefault="00D54155" w:rsidP="00B07567">
    <w:pPr>
      <w:pStyle w:val="Rodap"/>
      <w:jc w:val="center"/>
      <w:rPr>
        <w:rFonts w:ascii="Verdana" w:hAnsi="Verdana"/>
        <w:color w:val="808080" w:themeColor="background1" w:themeShade="80"/>
        <w:sz w:val="16"/>
        <w:szCs w:val="16"/>
      </w:rPr>
    </w:pPr>
    <w:r w:rsidRPr="00B07567">
      <w:rPr>
        <w:rFonts w:ascii="Verdana" w:hAnsi="Verdana"/>
        <w:color w:val="808080" w:themeColor="background1" w:themeShade="80"/>
        <w:sz w:val="16"/>
        <w:szCs w:val="16"/>
      </w:rPr>
      <w:t>Av. Doutor Arnaldo, nº 351</w:t>
    </w:r>
    <w:r w:rsidR="007017BD" w:rsidRPr="00B07567">
      <w:rPr>
        <w:rFonts w:ascii="Verdana" w:hAnsi="Verdana"/>
        <w:color w:val="808080" w:themeColor="background1" w:themeShade="80"/>
        <w:sz w:val="16"/>
        <w:szCs w:val="16"/>
      </w:rPr>
      <w:t>, 6º andar, sala 614</w:t>
    </w:r>
    <w:r w:rsidRPr="00B07567">
      <w:rPr>
        <w:rFonts w:ascii="Verdana" w:hAnsi="Verdana"/>
        <w:color w:val="808080" w:themeColor="background1" w:themeShade="80"/>
        <w:sz w:val="16"/>
        <w:szCs w:val="16"/>
      </w:rPr>
      <w:t xml:space="preserve"> – Pacaembu, São Paulo/SP</w:t>
    </w:r>
    <w:r w:rsidR="007017BD" w:rsidRPr="00B07567">
      <w:rPr>
        <w:rFonts w:ascii="Verdana" w:hAnsi="Verdana"/>
        <w:color w:val="808080" w:themeColor="background1" w:themeShade="80"/>
        <w:sz w:val="16"/>
        <w:szCs w:val="16"/>
      </w:rPr>
      <w:t xml:space="preserve"> - CEP 01246-000 </w:t>
    </w:r>
  </w:p>
  <w:p w:rsidR="00D54155" w:rsidRPr="00B07567" w:rsidRDefault="007017BD" w:rsidP="00B07567">
    <w:pPr>
      <w:pStyle w:val="Rodap"/>
      <w:jc w:val="center"/>
      <w:rPr>
        <w:rFonts w:ascii="Verdana" w:hAnsi="Verdana"/>
        <w:color w:val="808080" w:themeColor="background1" w:themeShade="80"/>
        <w:sz w:val="16"/>
        <w:szCs w:val="16"/>
      </w:rPr>
    </w:pPr>
    <w:r w:rsidRPr="00B07567">
      <w:rPr>
        <w:rFonts w:ascii="Verdana" w:hAnsi="Verdana"/>
        <w:color w:val="808080" w:themeColor="background1" w:themeShade="80"/>
        <w:sz w:val="16"/>
        <w:szCs w:val="16"/>
      </w:rPr>
      <w:t xml:space="preserve">(11) 3066-8258/8234 </w:t>
    </w:r>
    <w:r w:rsidR="00B07567" w:rsidRPr="00B07567">
      <w:rPr>
        <w:rFonts w:ascii="Verdana" w:hAnsi="Verdana"/>
        <w:color w:val="808080" w:themeColor="background1" w:themeShade="80"/>
        <w:sz w:val="16"/>
        <w:szCs w:val="16"/>
      </w:rPr>
      <w:t>| dvhidri@saude.sp.gov.br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BB" w:rsidRDefault="00020DBB" w:rsidP="001D6CF7">
      <w:pPr>
        <w:spacing w:after="0" w:line="240" w:lineRule="auto"/>
      </w:pPr>
      <w:r>
        <w:separator/>
      </w:r>
    </w:p>
  </w:footnote>
  <w:footnote w:type="continuationSeparator" w:id="0">
    <w:p w:rsidR="00020DBB" w:rsidRDefault="00020DBB" w:rsidP="001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D0" w:rsidRDefault="000F69D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1520190</wp:posOffset>
          </wp:positionH>
          <wp:positionV relativeFrom="paragraph">
            <wp:posOffset>-203835</wp:posOffset>
          </wp:positionV>
          <wp:extent cx="447675" cy="447675"/>
          <wp:effectExtent l="0" t="0" r="9525" b="9525"/>
          <wp:wrapNone/>
          <wp:docPr id="2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2978785</wp:posOffset>
          </wp:positionH>
          <wp:positionV relativeFrom="paragraph">
            <wp:posOffset>-384810</wp:posOffset>
          </wp:positionV>
          <wp:extent cx="4572009" cy="826010"/>
          <wp:effectExtent l="0" t="0" r="0" b="0"/>
          <wp:wrapNone/>
          <wp:docPr id="1" name="Imagem 1" descr="Fundo preto com letras vermelh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vermelh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9" cy="826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69D0" w:rsidRDefault="000F69D0">
    <w:pPr>
      <w:pStyle w:val="Cabealho"/>
    </w:pPr>
  </w:p>
  <w:p w:rsidR="000F69D0" w:rsidRDefault="000F69D0" w:rsidP="000F69D0">
    <w:pPr>
      <w:jc w:val="center"/>
      <w:rPr>
        <w:rFonts w:ascii="Verdana" w:hAnsi="Verdana"/>
        <w:b/>
        <w:bCs/>
        <w:sz w:val="20"/>
        <w:szCs w:val="20"/>
      </w:rPr>
    </w:pPr>
    <w:r w:rsidRPr="00C677CC">
      <w:rPr>
        <w:rFonts w:ascii="Verdana" w:hAnsi="Verdana"/>
        <w:b/>
        <w:bCs/>
        <w:sz w:val="20"/>
        <w:szCs w:val="20"/>
      </w:rPr>
      <w:t>IV SIMPÓSIO ESTADUAL DE DOENÇAS DE TRANSMISSÃO HÍDRICA E ALIMENTAR: SUSPEIÇÃO E IDENTIFICAÇÃO COMO PILAR FUNDAMENTAL DA VIGILÂNCIA EM SAÚDE</w:t>
    </w:r>
    <w:r>
      <w:rPr>
        <w:rFonts w:ascii="Verdana" w:hAnsi="Verdana"/>
        <w:b/>
        <w:bCs/>
        <w:sz w:val="20"/>
        <w:szCs w:val="20"/>
      </w:rPr>
      <w:t xml:space="preserve"> </w:t>
    </w:r>
  </w:p>
  <w:p w:rsidR="000F69D0" w:rsidRDefault="000F69D0" w:rsidP="000F69D0">
    <w:pPr>
      <w:jc w:val="center"/>
      <w:rPr>
        <w:rFonts w:ascii="Verdana" w:hAnsi="Verdana"/>
        <w:b/>
        <w:bCs/>
        <w:color w:val="FF0000"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 xml:space="preserve"> </w:t>
    </w:r>
    <w:r w:rsidRPr="00C677CC">
      <w:rPr>
        <w:rFonts w:ascii="Verdana" w:hAnsi="Verdana"/>
        <w:b/>
        <w:bCs/>
        <w:sz w:val="20"/>
        <w:szCs w:val="20"/>
      </w:rPr>
      <w:t>III MOSTRA ESTADUAL EM EXPERIÊNCIAS BEM-SUCEDIDAS EM VIGILÂNCIA DAS DOENÇAS DE TRANSMISSÃO HÍDRICA E ALIMENTAR</w:t>
    </w:r>
    <w:r w:rsidRPr="00EC1E6F">
      <w:rPr>
        <w:rFonts w:ascii="Verdana" w:hAnsi="Verdana"/>
        <w:b/>
        <w:bCs/>
        <w:color w:val="FF0000"/>
        <w:sz w:val="20"/>
        <w:szCs w:val="20"/>
      </w:rPr>
      <w:t xml:space="preserve"> </w:t>
    </w:r>
  </w:p>
  <w:p w:rsidR="001D6CF7" w:rsidRDefault="001D6C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B1AA9"/>
    <w:multiLevelType w:val="hybridMultilevel"/>
    <w:tmpl w:val="D2BCF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B0FB3"/>
    <w:multiLevelType w:val="hybridMultilevel"/>
    <w:tmpl w:val="F8708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C01CC"/>
    <w:multiLevelType w:val="hybridMultilevel"/>
    <w:tmpl w:val="5F4AF57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B83905"/>
    <w:multiLevelType w:val="hybridMultilevel"/>
    <w:tmpl w:val="7C44D5F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9B2431"/>
    <w:multiLevelType w:val="hybridMultilevel"/>
    <w:tmpl w:val="597C6D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85A15"/>
    <w:multiLevelType w:val="multilevel"/>
    <w:tmpl w:val="103AD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71367"/>
    <w:rsid w:val="00020DBB"/>
    <w:rsid w:val="00031D40"/>
    <w:rsid w:val="00036828"/>
    <w:rsid w:val="00060371"/>
    <w:rsid w:val="00064498"/>
    <w:rsid w:val="00077A65"/>
    <w:rsid w:val="00077D4B"/>
    <w:rsid w:val="00080DA5"/>
    <w:rsid w:val="000B5DD3"/>
    <w:rsid w:val="000F69D0"/>
    <w:rsid w:val="0010646B"/>
    <w:rsid w:val="00162C7D"/>
    <w:rsid w:val="00171774"/>
    <w:rsid w:val="00184000"/>
    <w:rsid w:val="001A363B"/>
    <w:rsid w:val="001B1F4A"/>
    <w:rsid w:val="001C378B"/>
    <w:rsid w:val="001C5ABE"/>
    <w:rsid w:val="001D6CF7"/>
    <w:rsid w:val="00231C40"/>
    <w:rsid w:val="00232FA2"/>
    <w:rsid w:val="00246E9B"/>
    <w:rsid w:val="002660D4"/>
    <w:rsid w:val="00277927"/>
    <w:rsid w:val="002A1FDB"/>
    <w:rsid w:val="002A3324"/>
    <w:rsid w:val="00304F4E"/>
    <w:rsid w:val="00304FFD"/>
    <w:rsid w:val="00314A1C"/>
    <w:rsid w:val="00341A2F"/>
    <w:rsid w:val="00342A0E"/>
    <w:rsid w:val="00360F65"/>
    <w:rsid w:val="00365E0E"/>
    <w:rsid w:val="00370D67"/>
    <w:rsid w:val="003A4467"/>
    <w:rsid w:val="003B49E6"/>
    <w:rsid w:val="003E3D2B"/>
    <w:rsid w:val="003E7F82"/>
    <w:rsid w:val="003F2B17"/>
    <w:rsid w:val="00401728"/>
    <w:rsid w:val="00404247"/>
    <w:rsid w:val="00421194"/>
    <w:rsid w:val="00424490"/>
    <w:rsid w:val="00471367"/>
    <w:rsid w:val="00480C56"/>
    <w:rsid w:val="004E3EB8"/>
    <w:rsid w:val="004F13EC"/>
    <w:rsid w:val="004F29D8"/>
    <w:rsid w:val="004F75EA"/>
    <w:rsid w:val="005021F9"/>
    <w:rsid w:val="005270AF"/>
    <w:rsid w:val="005426BD"/>
    <w:rsid w:val="00545755"/>
    <w:rsid w:val="005615F7"/>
    <w:rsid w:val="00565101"/>
    <w:rsid w:val="005761BB"/>
    <w:rsid w:val="00586299"/>
    <w:rsid w:val="005900B0"/>
    <w:rsid w:val="005A1A05"/>
    <w:rsid w:val="005A3A13"/>
    <w:rsid w:val="005C75B4"/>
    <w:rsid w:val="005D0B01"/>
    <w:rsid w:val="005F655F"/>
    <w:rsid w:val="00646811"/>
    <w:rsid w:val="00650510"/>
    <w:rsid w:val="0068675E"/>
    <w:rsid w:val="006962DB"/>
    <w:rsid w:val="006A2006"/>
    <w:rsid w:val="006A78A5"/>
    <w:rsid w:val="006B7CAD"/>
    <w:rsid w:val="006C7D40"/>
    <w:rsid w:val="007017BD"/>
    <w:rsid w:val="00756C72"/>
    <w:rsid w:val="00757857"/>
    <w:rsid w:val="00757FE6"/>
    <w:rsid w:val="00783B8F"/>
    <w:rsid w:val="00786AA1"/>
    <w:rsid w:val="007A1769"/>
    <w:rsid w:val="007E190A"/>
    <w:rsid w:val="007F15F4"/>
    <w:rsid w:val="00803813"/>
    <w:rsid w:val="00831CF2"/>
    <w:rsid w:val="00840C9F"/>
    <w:rsid w:val="00880AC1"/>
    <w:rsid w:val="008842FC"/>
    <w:rsid w:val="008962DB"/>
    <w:rsid w:val="008E777C"/>
    <w:rsid w:val="00902243"/>
    <w:rsid w:val="0092797F"/>
    <w:rsid w:val="00937D4A"/>
    <w:rsid w:val="00975E23"/>
    <w:rsid w:val="009808AD"/>
    <w:rsid w:val="009D0254"/>
    <w:rsid w:val="009F02C4"/>
    <w:rsid w:val="009F36F4"/>
    <w:rsid w:val="009F7BE5"/>
    <w:rsid w:val="00A127C5"/>
    <w:rsid w:val="00A668D9"/>
    <w:rsid w:val="00A72F3C"/>
    <w:rsid w:val="00A74788"/>
    <w:rsid w:val="00A763CF"/>
    <w:rsid w:val="00A96FC4"/>
    <w:rsid w:val="00AA0B27"/>
    <w:rsid w:val="00AA2F95"/>
    <w:rsid w:val="00AA5682"/>
    <w:rsid w:val="00AC53B0"/>
    <w:rsid w:val="00B00492"/>
    <w:rsid w:val="00B06F1F"/>
    <w:rsid w:val="00B07567"/>
    <w:rsid w:val="00B22570"/>
    <w:rsid w:val="00B406AA"/>
    <w:rsid w:val="00BE73CA"/>
    <w:rsid w:val="00C31E8A"/>
    <w:rsid w:val="00C64584"/>
    <w:rsid w:val="00C660DF"/>
    <w:rsid w:val="00C677CC"/>
    <w:rsid w:val="00C843E5"/>
    <w:rsid w:val="00CA4E34"/>
    <w:rsid w:val="00CB2F64"/>
    <w:rsid w:val="00CC600A"/>
    <w:rsid w:val="00CD7293"/>
    <w:rsid w:val="00D15E58"/>
    <w:rsid w:val="00D17463"/>
    <w:rsid w:val="00D360CE"/>
    <w:rsid w:val="00D4162F"/>
    <w:rsid w:val="00D437B8"/>
    <w:rsid w:val="00D54155"/>
    <w:rsid w:val="00D7386B"/>
    <w:rsid w:val="00DA1140"/>
    <w:rsid w:val="00DD4205"/>
    <w:rsid w:val="00DD6042"/>
    <w:rsid w:val="00DE3DE5"/>
    <w:rsid w:val="00E04185"/>
    <w:rsid w:val="00E17B00"/>
    <w:rsid w:val="00E27350"/>
    <w:rsid w:val="00E50D64"/>
    <w:rsid w:val="00E53586"/>
    <w:rsid w:val="00E62CE0"/>
    <w:rsid w:val="00E74FAA"/>
    <w:rsid w:val="00E84A0D"/>
    <w:rsid w:val="00E85266"/>
    <w:rsid w:val="00EB007C"/>
    <w:rsid w:val="00EB03DF"/>
    <w:rsid w:val="00EC1E6F"/>
    <w:rsid w:val="00EC6FF5"/>
    <w:rsid w:val="00F0090A"/>
    <w:rsid w:val="00F21591"/>
    <w:rsid w:val="00F53DD4"/>
    <w:rsid w:val="00F7192C"/>
    <w:rsid w:val="00F80BAE"/>
    <w:rsid w:val="00F93802"/>
    <w:rsid w:val="00F961F3"/>
    <w:rsid w:val="00FD0DB7"/>
    <w:rsid w:val="00FD1EB0"/>
    <w:rsid w:val="00FD294E"/>
    <w:rsid w:val="00FD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367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2F4F4F"/>
      <w:sz w:val="10"/>
      <w:szCs w:val="10"/>
      <w:lang w:eastAsia="pt-BR"/>
    </w:rPr>
  </w:style>
  <w:style w:type="character" w:styleId="Hyperlink">
    <w:name w:val="Hyperlink"/>
    <w:basedOn w:val="Fontepargpadro"/>
    <w:uiPriority w:val="99"/>
    <w:unhideWhenUsed/>
    <w:rsid w:val="003E3D2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D4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7BE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EC1E6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D6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CF7"/>
  </w:style>
  <w:style w:type="paragraph" w:styleId="Rodap">
    <w:name w:val="footer"/>
    <w:basedOn w:val="Normal"/>
    <w:link w:val="RodapChar"/>
    <w:uiPriority w:val="99"/>
    <w:unhideWhenUsed/>
    <w:rsid w:val="001D6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Bernadete</dc:creator>
  <cp:lastModifiedBy>35392955851</cp:lastModifiedBy>
  <cp:revision>2</cp:revision>
  <dcterms:created xsi:type="dcterms:W3CDTF">2023-10-27T13:13:00Z</dcterms:created>
  <dcterms:modified xsi:type="dcterms:W3CDTF">2023-10-27T13:13:00Z</dcterms:modified>
</cp:coreProperties>
</file>