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D22C5" w14:textId="77777777" w:rsidR="00275EEB" w:rsidRDefault="00AA11D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3660B91" wp14:editId="2CD6AB0B">
            <wp:extent cx="5400040" cy="135001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5BCB2A" w14:textId="77777777" w:rsidR="00275EEB" w:rsidRDefault="00AA1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INCLUSÃO DIGITAL E ACESSIBILIDADE TECNOLÓGICA: UMA ANÁLISE E ESTRATÉGIAS PARA A FORMAÇÃO DOCENTE</w:t>
      </w:r>
    </w:p>
    <w:p w14:paraId="418DDDCE" w14:textId="77777777" w:rsidR="00275EEB" w:rsidRDefault="00275E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A82EF9D" w14:textId="77777777" w:rsidR="00275EEB" w:rsidRPr="00A11212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Rosiele Gomes Ferreira</w:t>
      </w:r>
    </w:p>
    <w:p w14:paraId="2B00225E" w14:textId="77777777" w:rsidR="00423F07" w:rsidRPr="00A11212" w:rsidRDefault="00423F07" w:rsidP="00423F0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Universidade Estadual de Montes Claros – Unimontes</w:t>
      </w:r>
    </w:p>
    <w:p w14:paraId="0FB6E722" w14:textId="77777777" w:rsidR="00275EEB" w:rsidRPr="00A11212" w:rsidRDefault="00275E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5">
        <w:r w:rsidRPr="00A112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rosielegomesferreira05@gmail.com</w:t>
        </w:r>
      </w:hyperlink>
      <w:r w:rsidR="00AA11DF"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918507D" w14:textId="77777777" w:rsidR="00A11212" w:rsidRDefault="00A1121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CDCAFB" w14:textId="4E0FDB3D" w:rsidR="00275EEB" w:rsidRPr="00A11212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Daniela </w:t>
      </w:r>
      <w:r w:rsidR="00CA2A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 Santos Araujo</w:t>
      </w:r>
    </w:p>
    <w:p w14:paraId="0F672440" w14:textId="77777777" w:rsidR="00423F07" w:rsidRPr="00A11212" w:rsidRDefault="00423F07" w:rsidP="00423F0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Universidade Estadual de Montes Claros – Unimontes</w:t>
      </w:r>
    </w:p>
    <w:p w14:paraId="697CE1FD" w14:textId="77777777" w:rsidR="00275EEB" w:rsidRPr="00A11212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">
        <w:r w:rsidR="00275EEB" w:rsidRPr="00A112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danielados556@gmail.com</w:t>
        </w:r>
      </w:hyperlink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CA93BDD" w14:textId="77777777" w:rsidR="00A11212" w:rsidRDefault="00A1121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F69427" w14:textId="74D4A41F" w:rsidR="00275EEB" w:rsidRPr="00A11212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Ione Rodrigues dos Santos </w:t>
      </w:r>
    </w:p>
    <w:p w14:paraId="4C05438B" w14:textId="77777777" w:rsidR="00423F07" w:rsidRPr="00A11212" w:rsidRDefault="00423F07" w:rsidP="00423F0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Universidade Estadual de Montes Claros – Unimontes</w:t>
      </w:r>
    </w:p>
    <w:p w14:paraId="1AEA8562" w14:textId="77777777" w:rsidR="00275EEB" w:rsidRPr="00A11212" w:rsidRDefault="00275E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7">
        <w:r w:rsidRPr="00A112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ionerodriguess2019@gmail.com</w:t>
        </w:r>
      </w:hyperlink>
    </w:p>
    <w:p w14:paraId="41B8A2AE" w14:textId="77777777" w:rsidR="00A11212" w:rsidRDefault="00A1121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20BC3D0" w14:textId="236A57D7" w:rsidR="00275EEB" w:rsidRPr="00A11212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Ivaneide Almeida Souza de Jesus </w:t>
      </w:r>
    </w:p>
    <w:p w14:paraId="7E9A69E7" w14:textId="77777777" w:rsidR="00423F07" w:rsidRPr="00A11212" w:rsidRDefault="00423F07" w:rsidP="00423F0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Universidade Estadual de Montes Claros – Unimontes</w:t>
      </w:r>
    </w:p>
    <w:p w14:paraId="79A6919D" w14:textId="77777777" w:rsidR="00275EEB" w:rsidRPr="00A11212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Ivaneidealmeida35@gmail.com</w:t>
      </w:r>
    </w:p>
    <w:p w14:paraId="066255DD" w14:textId="77777777" w:rsidR="00A11212" w:rsidRDefault="00A1121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2D2A93" w14:textId="1B305B8B" w:rsidR="00275EEB" w:rsidRPr="00A11212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Katiane Alves </w:t>
      </w:r>
      <w:r w:rsidR="00CA2A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Silva</w:t>
      </w:r>
    </w:p>
    <w:p w14:paraId="0DC70AAB" w14:textId="77777777" w:rsidR="00275EEB" w:rsidRPr="00A11212" w:rsidRDefault="00275E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8">
        <w:r w:rsidRPr="00A112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katy2017olhos@gmail.com</w:t>
        </w:r>
      </w:hyperlink>
    </w:p>
    <w:p w14:paraId="6D1CCCCD" w14:textId="77777777" w:rsidR="00423F07" w:rsidRPr="00A11212" w:rsidRDefault="00423F07" w:rsidP="00423F0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Universidade Estadual de Montes Claros – Unimontes</w:t>
      </w:r>
    </w:p>
    <w:p w14:paraId="50DB9CB7" w14:textId="77777777" w:rsidR="00A11212" w:rsidRDefault="00A1121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3E526A" w14:textId="0584C08D" w:rsidR="00275EEB" w:rsidRPr="00A11212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Ludmila Rodrigues da Silva</w:t>
      </w:r>
    </w:p>
    <w:p w14:paraId="7545B8DB" w14:textId="77777777" w:rsidR="00423F07" w:rsidRPr="00A11212" w:rsidRDefault="00423F07" w:rsidP="00423F0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Universidade Estadual de Montes Claros – Unimontes</w:t>
      </w:r>
    </w:p>
    <w:p w14:paraId="57C21549" w14:textId="77777777" w:rsidR="00275EEB" w:rsidRPr="00A11212" w:rsidRDefault="00275E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9">
        <w:r w:rsidRPr="00A112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ludmilarosilva@gmail.com</w:t>
        </w:r>
      </w:hyperlink>
    </w:p>
    <w:p w14:paraId="76FFB6B7" w14:textId="77777777" w:rsidR="00A11212" w:rsidRDefault="00A11212" w:rsidP="00A1121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20AF11" w14:textId="1417FADD" w:rsidR="00A11212" w:rsidRPr="00A11212" w:rsidRDefault="00A11212" w:rsidP="00A1121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Júnea Tatiane Damasceno Oliveira</w:t>
      </w:r>
    </w:p>
    <w:p w14:paraId="6DE90D05" w14:textId="77777777" w:rsidR="00A11212" w:rsidRPr="00A11212" w:rsidRDefault="00A11212" w:rsidP="00A1121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Universidade Estadual de Montes Claros – Unimontes</w:t>
      </w:r>
    </w:p>
    <w:p w14:paraId="20A55D99" w14:textId="77777777" w:rsidR="00A11212" w:rsidRPr="00A11212" w:rsidRDefault="00A11212" w:rsidP="00A1121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12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junea.oliveira@unimontes.br</w:t>
      </w:r>
    </w:p>
    <w:p w14:paraId="4BB76417" w14:textId="77777777" w:rsidR="00275EEB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87A6A3" w14:textId="77777777" w:rsidR="00275EEB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Eixo 1 – Educação Inclusiva, Acessibilidade e Tecnologias Assistivas</w:t>
      </w:r>
    </w:p>
    <w:p w14:paraId="460AC669" w14:textId="77777777" w:rsidR="007E1A78" w:rsidRDefault="007E1A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10A4B7" w14:textId="31B69F51" w:rsidR="00275EEB" w:rsidRDefault="00AA11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 Inclusão Digital. Acessibilidade Tecnológica. Tecnologia Assistiva. Deficiência Visual. Leitores de Tela.</w:t>
      </w:r>
    </w:p>
    <w:p w14:paraId="73D35E03" w14:textId="77777777" w:rsidR="00275EEB" w:rsidRDefault="00275EE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CA8F41" w14:textId="77777777" w:rsidR="00275EEB" w:rsidRDefault="00AA11D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01119D7A" w14:textId="1E014599" w:rsidR="007E1A78" w:rsidRPr="007E1A78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A78">
        <w:rPr>
          <w:rFonts w:ascii="Times New Roman" w:eastAsia="Times New Roman" w:hAnsi="Times New Roman" w:cs="Times New Roman"/>
          <w:sz w:val="24"/>
          <w:szCs w:val="24"/>
        </w:rPr>
        <w:t xml:space="preserve">A inclusão digital e a acessibilidade tecnológica tornaram-se elementos indispensáveis para a promoção de práticas educacionais verdadeiramente democráticas. No contexto da formação de professores, essas dimensões assumem relevância ainda maior quando se considera a atuação junto a alunos com deficiência visual, grupo que historicamente </w:t>
      </w:r>
      <w:r w:rsidRPr="007E1A78">
        <w:rPr>
          <w:rFonts w:ascii="Times New Roman" w:eastAsia="Times New Roman" w:hAnsi="Times New Roman" w:cs="Times New Roman"/>
          <w:sz w:val="24"/>
          <w:szCs w:val="24"/>
        </w:rPr>
        <w:lastRenderedPageBreak/>
        <w:t>enfrenta barreiras no acesso ao conhecimento. Este estudo tem como objetivo discutir estratégias de formação docente que incorporem a acessibilidade tecnológica, evidenciando como recursos digitais e tecnologias assistivas podem transformar práticas pedagógicas e favorecer a equidade educacional.</w:t>
      </w:r>
    </w:p>
    <w:p w14:paraId="08DC1E41" w14:textId="31D7BB0D" w:rsidR="007E1A78" w:rsidRPr="007E1A78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A78">
        <w:rPr>
          <w:rFonts w:ascii="Times New Roman" w:eastAsia="Times New Roman" w:hAnsi="Times New Roman" w:cs="Times New Roman"/>
          <w:sz w:val="24"/>
          <w:szCs w:val="24"/>
        </w:rPr>
        <w:t>A problemática norteadora é: como as formações inicial e continuada de professores podem ser aprimoradas para garantir a inclusão digital e a acessibilidade tecnológica de alunos com deficiência visual?</w:t>
      </w:r>
    </w:p>
    <w:p w14:paraId="7DAF5E84" w14:textId="66D5AA39" w:rsidR="00275EEB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A78">
        <w:rPr>
          <w:rFonts w:ascii="Times New Roman" w:eastAsia="Times New Roman" w:hAnsi="Times New Roman" w:cs="Times New Roman"/>
          <w:sz w:val="24"/>
          <w:szCs w:val="24"/>
        </w:rPr>
        <w:t>O objetivo geral consiste em discutir estratégias de formação docente voltadas à promoção da inclusão digital e da acessibilidade tecnológica. Entre os objetivos específicos, destacam-se: (i) identificar os principais desafios enfrentados por professores e alunos com deficiência visual no uso de tecnologias digitais, (ii) avaliar o impacto das tecnologias assistivas na aprendizagem e na autonomia desses alunos, e (iii) propor estratégias de formação docente que contemplem o uso pedagógico de recursos acessíveis.</w:t>
      </w:r>
    </w:p>
    <w:p w14:paraId="54A20639" w14:textId="77777777" w:rsidR="007E1A78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C9F5CC" w14:textId="77777777" w:rsidR="00275EEB" w:rsidRDefault="00AA11DF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 Teóricos</w:t>
      </w:r>
    </w:p>
    <w:p w14:paraId="475C9675" w14:textId="77777777" w:rsidR="007E1A78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586E52" w14:textId="7EA76BC5" w:rsidR="007E1A78" w:rsidRPr="007E1A78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A78">
        <w:rPr>
          <w:rFonts w:ascii="Times New Roman" w:eastAsia="Times New Roman" w:hAnsi="Times New Roman" w:cs="Times New Roman"/>
          <w:sz w:val="24"/>
          <w:szCs w:val="24"/>
        </w:rPr>
        <w:t>A base teórica deste estudo sobre inclusão digital e acessibilidade tecnológica está fundamentada nos conceitos de sociedade em rede e sociedade da informação. A Política Nacional de Educação Especial na Perspectiva da Educação Inclusiva (Brasil, 2008) representou um avanço significativo, ao propor o Atendimento Educacional Especializado (AEE) como modalidade complementar ou suplementar à formação de estudantes com deficiência. O Decreto nº 7.611 (Brasil, 2011b) define o AEE como um “conjunto de atividades, recursos de acessibilidade e pedagógicos organizados de forma institucional e contínua”. Nesse contexto, a Tecnologia Assistiva (TA) é destacada como instrumento para promover a funcionalidade nas atividades e a participação das pessoas com deficiência, contribuindo para sua autonomia, independência, qualidade de vida e inclusão social.</w:t>
      </w:r>
    </w:p>
    <w:p w14:paraId="7D99A6A8" w14:textId="77DE6D88" w:rsidR="007E1A78" w:rsidRPr="007E1A78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A78">
        <w:rPr>
          <w:rFonts w:ascii="Times New Roman" w:eastAsia="Times New Roman" w:hAnsi="Times New Roman" w:cs="Times New Roman"/>
          <w:sz w:val="24"/>
          <w:szCs w:val="24"/>
        </w:rPr>
        <w:t>A Lei Brasileira de Inclusão (Brasil, 2015) ratifica a Convenção sobre os Direitos das Pessoas com Deficiência (Brasil, 2008b), compreendendo a deficiência como um impedimento de longo prazo que, em interação com barreiras, pode comprometer a participação plena e efetiva na sociedade.</w:t>
      </w:r>
    </w:p>
    <w:p w14:paraId="0849B057" w14:textId="2B1CFC1C" w:rsidR="007E1A78" w:rsidRPr="007E1A78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A78">
        <w:rPr>
          <w:rFonts w:ascii="Times New Roman" w:eastAsia="Times New Roman" w:hAnsi="Times New Roman" w:cs="Times New Roman"/>
          <w:sz w:val="24"/>
          <w:szCs w:val="24"/>
        </w:rPr>
        <w:t>Estudos sobre acessibilidade fundamentam-se, principalmente, nas diretrizes do W3C (World Wide Web Consortium) e em pesquisas acadêmicas voltadas à criação de soluções inovadoras. A acessibilidade é compreendida como a capacidade de produtos, serviços e recursos digitais atenderem às necessidades e preferências das pessoas, sendo compatíveis com tecnologias assistivas. Um software é considerado acessível quando possibilita que todos, com ou sem deficiência, realizem as mesmas funções e alcancem os mesmos resultados.</w:t>
      </w:r>
    </w:p>
    <w:p w14:paraId="541D22FF" w14:textId="7F5B82A3" w:rsidR="00275EEB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A78">
        <w:rPr>
          <w:rFonts w:ascii="Times New Roman" w:eastAsia="Times New Roman" w:hAnsi="Times New Roman" w:cs="Times New Roman"/>
          <w:sz w:val="24"/>
          <w:szCs w:val="24"/>
        </w:rPr>
        <w:t xml:space="preserve">Entre os maiores desafios para a acessibilidade digital, destaca-se a deficiência visual, que demanda o uso de TAs como leitores de tela, monitores braille, sintetizadores de voz e ampliadores de tela. A ausência de acessibilidade pode gerar dificuldades como a interação com dispositivos alternativos ao teclado ou a navegação por </w:t>
      </w:r>
      <w:r w:rsidR="00F44276" w:rsidRPr="007E1A78">
        <w:rPr>
          <w:rFonts w:ascii="Times New Roman" w:eastAsia="Times New Roman" w:hAnsi="Times New Roman" w:cs="Times New Roman"/>
          <w:sz w:val="24"/>
          <w:szCs w:val="24"/>
        </w:rPr>
        <w:t>conteúdo</w:t>
      </w:r>
      <w:r w:rsidRPr="007E1A78">
        <w:rPr>
          <w:rFonts w:ascii="Times New Roman" w:eastAsia="Times New Roman" w:hAnsi="Times New Roman" w:cs="Times New Roman"/>
          <w:sz w:val="24"/>
          <w:szCs w:val="24"/>
        </w:rPr>
        <w:t xml:space="preserve"> que envolvam conceitos espaciais complexos.</w:t>
      </w:r>
    </w:p>
    <w:p w14:paraId="7CD480F3" w14:textId="77777777" w:rsidR="00275EEB" w:rsidRDefault="00275EEB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63F531" w14:textId="77777777" w:rsidR="00275EEB" w:rsidRDefault="00AA11DF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</w:p>
    <w:p w14:paraId="42257867" w14:textId="77777777" w:rsidR="007E1A78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9B9D8A" w14:textId="1439F9E3" w:rsidR="007E1A78" w:rsidRPr="007E1A78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A78">
        <w:rPr>
          <w:rFonts w:ascii="Times New Roman" w:eastAsia="Times New Roman" w:hAnsi="Times New Roman" w:cs="Times New Roman"/>
          <w:sz w:val="24"/>
          <w:szCs w:val="24"/>
        </w:rPr>
        <w:t xml:space="preserve">A metodologia adotada envolveu entrevistas com pessoas com deficiência visual e profissionais que atuam com esse público, permitindo a triangulação dos dados. Essa abordagem possibilitou investigar as necessidades e prioridades relacionadas à </w:t>
      </w:r>
      <w:r w:rsidRPr="007E1A78">
        <w:rPr>
          <w:rFonts w:ascii="Times New Roman" w:eastAsia="Times New Roman" w:hAnsi="Times New Roman" w:cs="Times New Roman"/>
          <w:sz w:val="24"/>
          <w:szCs w:val="24"/>
        </w:rPr>
        <w:lastRenderedPageBreak/>
        <w:t>acessibilidade em tecnologias da informação, bem como analisar iniciativas nacionais e internacionais existentes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845CA2" w14:textId="6151987C" w:rsidR="00275EEB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A78">
        <w:rPr>
          <w:rFonts w:ascii="Times New Roman" w:eastAsia="Times New Roman" w:hAnsi="Times New Roman" w:cs="Times New Roman"/>
          <w:sz w:val="24"/>
          <w:szCs w:val="24"/>
        </w:rPr>
        <w:t>O estudo segue uma abordagem qualitativa e utiliza a Revisão Sistemática da Literatura como método de coleta de dados. Inicialmente, foi elaborado um protocolo de busca com os seguintes critérios: (i) seleção de artigos científicos, (ii) pesquisa no Google Acadêmico, (iii) delimitação temporal entre 2011 e 2024, e (iv) uso de descritores relacionados aos temas “tecnologia assistiva, acessibilidade digital, deficiência visual e formação docente”. Após triagem e leitura criteriosa, três estudos centrais foram selecionados para análise, apresentados n</w:t>
      </w:r>
      <w:r w:rsidR="00F44276">
        <w:rPr>
          <w:rFonts w:ascii="Times New Roman" w:eastAsia="Times New Roman" w:hAnsi="Times New Roman" w:cs="Times New Roman"/>
          <w:sz w:val="24"/>
          <w:szCs w:val="24"/>
        </w:rPr>
        <w:t xml:space="preserve">a tabela 01 </w:t>
      </w:r>
      <w:r w:rsidRPr="007E1A78">
        <w:rPr>
          <w:rFonts w:ascii="Times New Roman" w:eastAsia="Times New Roman" w:hAnsi="Times New Roman" w:cs="Times New Roman"/>
          <w:sz w:val="24"/>
          <w:szCs w:val="24"/>
        </w:rPr>
        <w:t>a seguir:</w:t>
      </w:r>
    </w:p>
    <w:p w14:paraId="5F429002" w14:textId="77777777" w:rsidR="007E1A78" w:rsidRDefault="007E1A78" w:rsidP="007E1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E268A7" w14:textId="6E00AD58" w:rsidR="00275EEB" w:rsidRDefault="00F44276" w:rsidP="007E1A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Tabela 01: Trabalhos selecionados para análise</w:t>
      </w:r>
    </w:p>
    <w:tbl>
      <w:tblPr>
        <w:tblStyle w:val="a"/>
        <w:tblpPr w:leftFromText="141" w:rightFromText="141" w:bottomFromText="200" w:vertAnchor="text" w:tblpY="169"/>
        <w:tblW w:w="8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2410"/>
        <w:gridCol w:w="3543"/>
        <w:gridCol w:w="1701"/>
      </w:tblGrid>
      <w:tr w:rsidR="00275EEB" w14:paraId="70947B04" w14:textId="77777777" w:rsidTr="007E1A78">
        <w:trPr>
          <w:trHeight w:val="2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1D5922E" w14:textId="5CA719FE" w:rsidR="00275EEB" w:rsidRDefault="00AA11DF" w:rsidP="007E1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955BB70" w14:textId="77777777" w:rsidR="00275EEB" w:rsidRDefault="00AA11DF" w:rsidP="007E1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Título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9049186" w14:textId="3E0C1A65" w:rsidR="00275EEB" w:rsidRDefault="00AA11DF" w:rsidP="007E1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 (s) e instituiç</w:t>
            </w:r>
            <w:r w:rsidR="007E1A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ões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vínculo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F4FB9B7" w14:textId="67EBD068" w:rsidR="00275EEB" w:rsidRDefault="00AA11DF" w:rsidP="007E1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Revis</w:t>
            </w:r>
            <w:r w:rsidR="007E1A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de publicação</w:t>
            </w:r>
          </w:p>
        </w:tc>
      </w:tr>
      <w:tr w:rsidR="00275EEB" w14:paraId="692E3B07" w14:textId="77777777" w:rsidTr="007E1A78">
        <w:trPr>
          <w:trHeight w:val="114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4AFB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42D8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Política de Acessibilidade: o que dizem as pessoas com deficiência visual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3321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Marilda Moraes Garcia Bruno</w:t>
            </w:r>
          </w:p>
          <w:p w14:paraId="4C7470F3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(Universidade Federal de Grande Dourado (UFGD), Dourados/MS – Brasil)</w:t>
            </w:r>
          </w:p>
          <w:p w14:paraId="2A1DECC6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Ricardo Augusto Lins do Nascimento</w:t>
            </w:r>
          </w:p>
          <w:p w14:paraId="0600D526" w14:textId="715D5E45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(Instituto Federal de Mato Grosso do Sul (IFMS), Dourados/MS – Brasil)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BC50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Realidade</w:t>
            </w:r>
          </w:p>
        </w:tc>
      </w:tr>
      <w:tr w:rsidR="00275EEB" w14:paraId="50FBA857" w14:textId="77777777" w:rsidTr="007E1A78">
        <w:trPr>
          <w:trHeight w:val="2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5FF3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B00A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Acessibilidade para pessoas com deficiência visual como fator de inclusão digital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4367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Letícia Ramos Reinaldi</w:t>
            </w:r>
          </w:p>
          <w:p w14:paraId="5DB8A31A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(UniCEUB)</w:t>
            </w:r>
          </w:p>
          <w:p w14:paraId="0F5610BD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Cláudio Rosa de Camargo Júnior</w:t>
            </w:r>
          </w:p>
          <w:p w14:paraId="73CCD289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(UniCEUB)</w:t>
            </w:r>
          </w:p>
          <w:p w14:paraId="13B5D499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Angélica Toffano Seidel Calazans</w:t>
            </w:r>
          </w:p>
          <w:p w14:paraId="41A9AAC1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(UniCEUB)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784B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Revista   Universitas Gestão e TI</w:t>
            </w:r>
          </w:p>
        </w:tc>
      </w:tr>
      <w:tr w:rsidR="00275EEB" w14:paraId="233F329A" w14:textId="77777777" w:rsidTr="007E1A78">
        <w:trPr>
          <w:trHeight w:val="2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FC4D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08FE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inclusão digital na palma da mão: o uso do talkback e voiceover para pessoas com deficiência visual em dispositivos móveis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A4C8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Jorge José Klauch     </w:t>
            </w:r>
          </w:p>
          <w:p w14:paraId="2A746273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(Universidade Candido Mendes)          </w:t>
            </w:r>
          </w:p>
          <w:p w14:paraId="4DF1AECB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Antonio Guilherme da Cruz Lima Maria </w:t>
            </w:r>
          </w:p>
          <w:p w14:paraId="4BCB737E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(Universidade de Fortaleza)</w:t>
            </w:r>
          </w:p>
          <w:p w14:paraId="571A8921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Cleonice Santos de Melo Penha</w:t>
            </w:r>
          </w:p>
          <w:p w14:paraId="300BA775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(Universidade Estadual Vale Do Acaraú)</w:t>
            </w:r>
          </w:p>
          <w:p w14:paraId="4A23FFA1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Mauri Alves da Silva </w:t>
            </w:r>
          </w:p>
          <w:p w14:paraId="6212B24E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(Logos University International)</w:t>
            </w:r>
          </w:p>
          <w:p w14:paraId="024F4CFB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Paula Welliana Araujo Martins</w:t>
            </w:r>
          </w:p>
          <w:p w14:paraId="3748E937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(Universidade de Fortaleza)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A706" w14:textId="77777777" w:rsidR="00275EEB" w:rsidRDefault="00AA11DF" w:rsidP="007E1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Revista Ilustração</w:t>
            </w:r>
          </w:p>
        </w:tc>
      </w:tr>
    </w:tbl>
    <w:p w14:paraId="4A84F1DF" w14:textId="77777777" w:rsidR="00275EEB" w:rsidRDefault="00AA11DF" w:rsidP="007E1A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Fonte</w:t>
      </w:r>
      <w:r>
        <w:rPr>
          <w:rFonts w:ascii="Times New Roman" w:eastAsia="Times New Roman" w:hAnsi="Times New Roman" w:cs="Times New Roman"/>
          <w:sz w:val="24"/>
          <w:szCs w:val="24"/>
        </w:rPr>
        <w:t>: Elaboração dos autores, 2024.</w:t>
      </w:r>
    </w:p>
    <w:p w14:paraId="04A3EFFF" w14:textId="77777777" w:rsidR="00F44276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3FE422" w14:textId="4D27A2F8" w:rsidR="00275EEB" w:rsidRDefault="00AA11DF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276">
        <w:rPr>
          <w:rFonts w:ascii="Times New Roman" w:eastAsia="Times New Roman" w:hAnsi="Times New Roman" w:cs="Times New Roman"/>
          <w:b/>
          <w:sz w:val="24"/>
          <w:szCs w:val="24"/>
        </w:rPr>
        <w:t>Análise de dados</w:t>
      </w:r>
    </w:p>
    <w:p w14:paraId="05F1F02E" w14:textId="77777777" w:rsidR="00F44276" w:rsidRPr="00F44276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D9A801" w14:textId="77777777" w:rsidR="00F44276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276">
        <w:rPr>
          <w:rFonts w:ascii="Times New Roman" w:eastAsia="Times New Roman" w:hAnsi="Times New Roman" w:cs="Times New Roman"/>
          <w:sz w:val="24"/>
          <w:szCs w:val="24"/>
        </w:rPr>
        <w:t xml:space="preserve">Os resultados das pesquisas evidenciam tanto os avanços quanto os desafios persistentes na inclusão digital de pessoas com deficiência visual. As interfaces TalkBack e VoiceOver, por exemplo, foram identificadas como elementos cruciais que promovem a acessibilidade em dispositivos móveis. O uso dessas ferramentas não apenas facilita a interação, mas também capacita os usuários a explorarem aplicativos e serviços online, </w:t>
      </w:r>
      <w:r w:rsidRPr="00F4427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proporcionando uma experiência enriquecedora e comparável à de pessoas sem deficiência visual. </w:t>
      </w:r>
    </w:p>
    <w:p w14:paraId="41002F80" w14:textId="77777777" w:rsidR="00F44276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276">
        <w:rPr>
          <w:rFonts w:ascii="Times New Roman" w:eastAsia="Times New Roman" w:hAnsi="Times New Roman" w:cs="Times New Roman"/>
          <w:sz w:val="24"/>
          <w:szCs w:val="24"/>
        </w:rPr>
        <w:t xml:space="preserve">As análises baseadas na opinião de pessoas com deficiência visual indicaram que, embora existam avanços na política nacional de inclusão digital e no uso da Tecnologia Assistiva, ainda há desafios na melhoria dos recursos e na adaptação de aplicativos de TA para garantir o acesso efetivo ao conhecimento. Estudos de Ribeiro (2012) e Petri (2012), mencionados em um dos documentos, apontaram dificuldades para os professores em ter acesso a informações sobre tecnologias em ambiente computacional, a ineficiência na formação para atuar com estudantes com deficiência visual, e a pouca comunicação entre professores de salas regulares e de recursos. </w:t>
      </w:r>
    </w:p>
    <w:p w14:paraId="13C91656" w14:textId="3F2B0E27" w:rsidR="00275EEB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276">
        <w:rPr>
          <w:rFonts w:ascii="Times New Roman" w:eastAsia="Times New Roman" w:hAnsi="Times New Roman" w:cs="Times New Roman"/>
          <w:sz w:val="24"/>
          <w:szCs w:val="24"/>
        </w:rPr>
        <w:t>Outra pesquisa constatou que, apesar das iniciativas existentes, a inclusão digital dos deficientes visuais está aquém do ideal. A pesquisa revelou que as iniciativas para aumentar a acessibilidade estão apoiadas principalmente no W3C e em estudos universitários, mas a falta de iniciativas efetivas para o aumento da empregabilidade tecnológica para esses usuários é uma realidade. Um dos documentos aponta que o conceito de inclusão digital envolve o acesso de todas as pessoas ao mundo virtual, mas que o processo de inclusão para indivíduos com deficiência é complexo e enfrenta uma série de obstáculos.</w:t>
      </w:r>
    </w:p>
    <w:p w14:paraId="24E65503" w14:textId="77777777" w:rsidR="00F44276" w:rsidRPr="00F44276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6A9DB6" w14:textId="77777777" w:rsidR="00275EEB" w:rsidRDefault="00AA11DF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276">
        <w:rPr>
          <w:rFonts w:ascii="Times New Roman" w:eastAsia="Times New Roman" w:hAnsi="Times New Roman" w:cs="Times New Roman"/>
          <w:b/>
          <w:sz w:val="24"/>
          <w:szCs w:val="24"/>
        </w:rPr>
        <w:t>Conclusões</w:t>
      </w:r>
      <w:r w:rsidRPr="00F442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C1F958" w14:textId="77777777" w:rsidR="00F44276" w:rsidRPr="00F44276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98CC39" w14:textId="692CF390" w:rsidR="00275EEB" w:rsidRPr="00F44276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276">
        <w:rPr>
          <w:rFonts w:ascii="Times New Roman" w:eastAsia="Times New Roman" w:hAnsi="Times New Roman" w:cs="Times New Roman"/>
          <w:sz w:val="24"/>
          <w:szCs w:val="24"/>
        </w:rPr>
        <w:t>Os estudos mostram que a inclusão digital e a acessibilidade tecnológica estão em evolução. Políticas públicas e tecnologias assistivas como TalkBack e VoiceOver têm promovido autonomia, participação social e educacional. A legislação brasileira, como a Lei Brasileira de Inclusão, oferece suporte legal, mas barreiras como a incompatibilidade de aplicativos, a necessidade de capacitação docente e a escassez de iniciativas de empregabilidade tecnológica limitam a inclusão plena.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4276">
        <w:rPr>
          <w:rFonts w:ascii="Times New Roman" w:eastAsia="Times New Roman" w:hAnsi="Times New Roman" w:cs="Times New Roman"/>
          <w:sz w:val="24"/>
          <w:szCs w:val="24"/>
        </w:rPr>
        <w:t>A inclusão digital requer não apenas tecnologias, mas um ecossistema completo: conteúdos acessíveis na web, acesso a computadores e dispositivos móveis, e superação de barreiras sociais e atitudinais. O futuro é promissor, mas a efetivação da educação e da inclusão social exige aprimoramento contínuo de recursos, adaptação de aplicativos e colaboração entre usuários, desenvolvedores e educadores para criar um ambiente digital acessível e igualitário.</w:t>
      </w:r>
    </w:p>
    <w:p w14:paraId="0FDF7B87" w14:textId="77777777" w:rsidR="00275EEB" w:rsidRPr="00F44276" w:rsidRDefault="00275EEB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92B533" w14:textId="77777777" w:rsidR="00275EEB" w:rsidRDefault="00AA11DF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276"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5C433972" w14:textId="77777777" w:rsidR="00F44276" w:rsidRPr="00F44276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3E2020" w14:textId="77777777" w:rsidR="00275EEB" w:rsidRPr="00F44276" w:rsidRDefault="00AA11DF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BRUNO, M. M. G.; NASCIMENTO, R. A. L. </w:t>
      </w:r>
      <w:r w:rsidRPr="00F442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Política de Acessibilidade</w:t>
      </w:r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: o que dizem as pessoas com deficiência visual. </w:t>
      </w:r>
      <w:r w:rsidRPr="00F44276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Realidade</w:t>
      </w:r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2016. Disponível em: </w:t>
      </w:r>
      <w:hyperlink r:id="rId10">
        <w:r w:rsidR="00275EEB" w:rsidRPr="00F44276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</w:rPr>
          <w:t>http://educa.fcc.org.br/pdf/rer/v44n1/2175-6236-edreal-44-01-e84848.pdf</w:t>
        </w:r>
      </w:hyperlink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 Acesso em: 21 ago. 2025.</w:t>
      </w:r>
    </w:p>
    <w:p w14:paraId="0A5C726E" w14:textId="77777777" w:rsidR="00F44276" w:rsidRPr="00F44276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86320BF" w14:textId="77777777" w:rsidR="00275EEB" w:rsidRPr="00F44276" w:rsidRDefault="00AA11DF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KLAUCH, J. J. et al. </w:t>
      </w:r>
      <w:r w:rsidRPr="00F442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 INCLUSÃO DIGITAL NA PALMA DA MÃO</w:t>
      </w:r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: O USO DO TALKBACK E VOICEOVER PARA PESSOAS COM DEFICIÊNCIA VISUAL EM DISPOSITIVOS MÓVEIS. </w:t>
      </w:r>
      <w:r w:rsidRPr="00F44276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REVISTA ILUSTRAÇÃO</w:t>
      </w:r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2024. Disponível em: </w:t>
      </w:r>
      <w:hyperlink r:id="rId11">
        <w:r w:rsidR="00275EEB" w:rsidRPr="00F44276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</w:rPr>
          <w:t>65-78</w:t>
        </w:r>
      </w:hyperlink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Acesso em: 21 ago. 2025.</w:t>
      </w:r>
    </w:p>
    <w:p w14:paraId="3A5470A7" w14:textId="77777777" w:rsidR="00F44276" w:rsidRPr="00F44276" w:rsidRDefault="00F44276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A1143E2" w14:textId="547292E7" w:rsidR="00275EEB" w:rsidRPr="00F44276" w:rsidRDefault="00AA11DF" w:rsidP="00F442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REINALDI, L. R.; CAMARGO JÚNIOR, C. R. de; CALAZANS, A. T. S. </w:t>
      </w:r>
      <w:r w:rsidRPr="00F442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Acessibilidade para pessoas com deficiência visual como fator de inclusão digital</w:t>
      </w:r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Pr="00F44276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Revista Gestão e Tecnologia de Projetos</w:t>
      </w:r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v. 1, n. 2, 2014. Disponível em: </w:t>
      </w:r>
      <w:hyperlink r:id="rId12">
        <w:r w:rsidR="00275EEB" w:rsidRPr="00F44276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</w:rPr>
          <w:t>1292-7987-2-PB</w:t>
        </w:r>
      </w:hyperlink>
      <w:r w:rsidRPr="00F442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. Acesso em: 21 ago. 2025.</w:t>
      </w:r>
    </w:p>
    <w:sectPr w:rsidR="00275EEB" w:rsidRPr="00F44276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EEB"/>
    <w:rsid w:val="00275EEB"/>
    <w:rsid w:val="003C483D"/>
    <w:rsid w:val="00423F07"/>
    <w:rsid w:val="00447524"/>
    <w:rsid w:val="00461B18"/>
    <w:rsid w:val="007E1A78"/>
    <w:rsid w:val="00950ABE"/>
    <w:rsid w:val="00A11212"/>
    <w:rsid w:val="00AA11DF"/>
    <w:rsid w:val="00B63A90"/>
    <w:rsid w:val="00BC42DB"/>
    <w:rsid w:val="00CA2A7D"/>
    <w:rsid w:val="00F4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3950D"/>
  <w15:docId w15:val="{328D42A1-7FDF-4A53-AE67-55410BD4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F07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5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y2017olhos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onerodriguess2019@gmail.com" TargetMode="External"/><Relationship Id="rId12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elados556@gmail.com" TargetMode="External"/><Relationship Id="rId11" Type="http://schemas.openxmlformats.org/officeDocument/2006/relationships/hyperlink" Target="about:blank" TargetMode="External"/><Relationship Id="rId5" Type="http://schemas.openxmlformats.org/officeDocument/2006/relationships/hyperlink" Target="mailto:rosielegomesferreira05@gmail.com" TargetMode="External"/><Relationship Id="rId10" Type="http://schemas.openxmlformats.org/officeDocument/2006/relationships/hyperlink" Target="http://educa.fcc.org.br/pdf/rer/v44n1/2175-6236-edreal-44-01-e84848.pdf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ludmilarosilva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1637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Rosiele Gomes Ferreira</dc:creator>
  <cp:lastModifiedBy>Rosiele Gomes Ferreira</cp:lastModifiedBy>
  <cp:revision>2</cp:revision>
  <dcterms:created xsi:type="dcterms:W3CDTF">2025-09-15T14:58:00Z</dcterms:created>
  <dcterms:modified xsi:type="dcterms:W3CDTF">2025-09-15T14:58:00Z</dcterms:modified>
</cp:coreProperties>
</file>