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Uso de expansores de couro cabeludo no pré-operatório de ressecção de nevus melanocítico cerebriforme congênito: um relato de caso.</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vertAlign w:val="superscript"/>
        </w:rPr>
      </w:pPr>
      <w:r w:rsidDel="00000000" w:rsidR="00000000" w:rsidRPr="00000000">
        <w:rPr>
          <w:b w:val="1"/>
          <w:sz w:val="24"/>
          <w:szCs w:val="24"/>
          <w:rtl w:val="0"/>
        </w:rPr>
        <w:t xml:space="preserve">Tércia O. Sampaio¹</w:t>
      </w:r>
      <w:r w:rsidDel="00000000" w:rsidR="00000000" w:rsidRPr="00000000">
        <w:rPr>
          <w:sz w:val="24"/>
          <w:szCs w:val="24"/>
          <w:rtl w:val="0"/>
        </w:rPr>
        <w:t xml:space="preserve">; Nícolas M. de Oliveira²; João M. A. Soares</w:t>
      </w:r>
      <w:r w:rsidDel="00000000" w:rsidR="00000000" w:rsidRPr="00000000">
        <w:rPr>
          <w:sz w:val="24"/>
          <w:szCs w:val="24"/>
          <w:vertAlign w:val="superscript"/>
          <w:rtl w:val="0"/>
        </w:rPr>
        <w:t xml:space="preserve">3*</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¹Curso de Medicina da Universidade Federal de São João Del-Rei, Brasil, 2025.</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²Curso de Medicina da Universidade de Itaúna, Brasil, 2025.</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vertAlign w:val="superscript"/>
          <w:rtl w:val="0"/>
        </w:rPr>
        <w:t xml:space="preserve">3</w:t>
      </w:r>
      <w:r w:rsidDel="00000000" w:rsidR="00000000" w:rsidRPr="00000000">
        <w:rPr>
          <w:sz w:val="24"/>
          <w:szCs w:val="24"/>
          <w:rtl w:val="0"/>
        </w:rPr>
        <w:t xml:space="preserve">Professor associado do Curso de Medicina da Universidade Federal de São João Del-Rei Campus Centro Oeste, Brasil, 2025.</w:t>
      </w:r>
    </w:p>
    <w:p w:rsidR="00000000" w:rsidDel="00000000" w:rsidP="00000000" w:rsidRDefault="00000000" w:rsidRPr="00000000" w14:paraId="00000008">
      <w:pPr>
        <w:spacing w:line="360" w:lineRule="auto"/>
        <w:jc w:val="both"/>
        <w:rPr>
          <w:sz w:val="24"/>
          <w:szCs w:val="24"/>
          <w:vertAlign w:val="superscript"/>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Descritores: </w:t>
      </w:r>
      <w:r w:rsidDel="00000000" w:rsidR="00000000" w:rsidRPr="00000000">
        <w:rPr>
          <w:sz w:val="24"/>
          <w:szCs w:val="24"/>
          <w:rtl w:val="0"/>
        </w:rPr>
        <w:t xml:space="preserve">couro cabeludo, expansão de tecido. </w:t>
      </w:r>
      <w:r w:rsidDel="00000000" w:rsidR="00000000" w:rsidRPr="00000000">
        <w:rPr>
          <w:b w:val="1"/>
          <w:sz w:val="24"/>
          <w:szCs w:val="24"/>
          <w:rtl w:val="0"/>
        </w:rPr>
        <w:t xml:space="preserve">Introdução: </w:t>
      </w:r>
      <w:r w:rsidDel="00000000" w:rsidR="00000000" w:rsidRPr="00000000">
        <w:rPr>
          <w:sz w:val="24"/>
          <w:szCs w:val="24"/>
          <w:rtl w:val="0"/>
        </w:rPr>
        <w:t xml:space="preserve">O nevo melanocítico cerebriforme congênito (NMCC) é uma rara malformação cutânea que demanda abordagem cirúrgica cuidadosa, especialmente quando localizado no couro cabeludo, onde há pouca disponibilidade de tecido para reconstrução. A utilização de expansores teciduais é eficaz para obter cobertura adequada para a ressecção da lesão. </w:t>
      </w:r>
      <w:r w:rsidDel="00000000" w:rsidR="00000000" w:rsidRPr="00000000">
        <w:rPr>
          <w:b w:val="1"/>
          <w:sz w:val="24"/>
          <w:szCs w:val="24"/>
          <w:rtl w:val="0"/>
        </w:rPr>
        <w:t xml:space="preserve">Objetivo: </w:t>
      </w:r>
      <w:r w:rsidDel="00000000" w:rsidR="00000000" w:rsidRPr="00000000">
        <w:rPr>
          <w:sz w:val="24"/>
          <w:szCs w:val="24"/>
          <w:rtl w:val="0"/>
        </w:rPr>
        <w:t xml:space="preserve">Relatar o manejo cirúrgico de um NMCC no couro cabeludo com uso de expansores teciduais para reconstrução. </w:t>
      </w:r>
      <w:r w:rsidDel="00000000" w:rsidR="00000000" w:rsidRPr="00000000">
        <w:rPr>
          <w:b w:val="1"/>
          <w:sz w:val="24"/>
          <w:szCs w:val="24"/>
          <w:rtl w:val="0"/>
        </w:rPr>
        <w:t xml:space="preserve">Método: </w:t>
      </w:r>
      <w:r w:rsidDel="00000000" w:rsidR="00000000" w:rsidRPr="00000000">
        <w:rPr>
          <w:sz w:val="24"/>
          <w:szCs w:val="24"/>
          <w:rtl w:val="0"/>
        </w:rPr>
        <w:t xml:space="preserve">Revisão</w:t>
      </w:r>
      <w:r w:rsidDel="00000000" w:rsidR="00000000" w:rsidRPr="00000000">
        <w:rPr>
          <w:color w:val="0d101b"/>
          <w:sz w:val="24"/>
          <w:szCs w:val="24"/>
          <w:rtl w:val="0"/>
        </w:rPr>
        <w:t xml:space="preserve"> de literatura nas bases Pubmed e Scielo com 3 artigos selecionados e relato de caso baseado em prontuários e exames.</w:t>
      </w:r>
      <w:r w:rsidDel="00000000" w:rsidR="00000000" w:rsidRPr="00000000">
        <w:rPr>
          <w:sz w:val="24"/>
          <w:szCs w:val="24"/>
          <w:rtl w:val="0"/>
        </w:rPr>
        <w:t xml:space="preserve"> </w:t>
      </w:r>
      <w:r w:rsidDel="00000000" w:rsidR="00000000" w:rsidRPr="00000000">
        <w:rPr>
          <w:b w:val="1"/>
          <w:sz w:val="24"/>
          <w:szCs w:val="24"/>
          <w:rtl w:val="0"/>
        </w:rPr>
        <w:t xml:space="preserve">Resultados e discussão: </w:t>
      </w:r>
      <w:r w:rsidDel="00000000" w:rsidR="00000000" w:rsidRPr="00000000">
        <w:rPr>
          <w:sz w:val="24"/>
          <w:szCs w:val="24"/>
          <w:rtl w:val="0"/>
        </w:rPr>
        <w:t xml:space="preserve">Paciente masculino de 11 anos de idade, encaminhado para ressecção, pela cirurgia de cabeça e pescoço, de NMCC em couro cabeludo occipitoparietal, com aproximadamente 15x12cm. Devido à extensão da lesão, foram inseridos cirurgicamente dois expansores de couro cabeludo, objetivando promover melhor cobertura da área que seria removida após a exérese. Ao longo de 180 dias, os expansores foram periodicamente preenchidos com soro fisiológico. Ao fim do processo de expansão do tecido, foi realizada exérese do nevus, juntamente com remoção dos dois expansores, e realizada reconstrução com retalho do próprio couro cabeludo. O material anatomopalógico foi encaminhado para análise, evidenciando nevo celular intradérmico do tipo neural. O paciente evoluiu com pós-operatório sem intercorrências, e o resultado final foi considerado satisfatório. </w:t>
      </w:r>
      <w:r w:rsidDel="00000000" w:rsidR="00000000" w:rsidRPr="00000000">
        <w:rPr>
          <w:b w:val="1"/>
          <w:sz w:val="24"/>
          <w:szCs w:val="24"/>
          <w:rtl w:val="0"/>
        </w:rPr>
        <w:t xml:space="preserve">Conclusão:</w:t>
      </w:r>
      <w:r w:rsidDel="00000000" w:rsidR="00000000" w:rsidRPr="00000000">
        <w:rPr>
          <w:sz w:val="24"/>
          <w:szCs w:val="24"/>
          <w:rtl w:val="0"/>
        </w:rPr>
        <w:t xml:space="preserve"> O caso clínico relatado evidencia os benefícios do uso dos expansores de couro cabeludo, que permitiu a adequada cobertura da região onde foi realizada a ressecção do NMCC, permitindo cicatrização satisfatória da área lesada e manutenção da estética e função do couro cabeludo.</w:t>
      </w:r>
    </w:p>
    <w:p w:rsidR="00000000" w:rsidDel="00000000" w:rsidP="00000000" w:rsidRDefault="00000000" w:rsidRPr="00000000" w14:paraId="0000000A">
      <w:pPr>
        <w:spacing w:line="360" w:lineRule="auto"/>
        <w:jc w:val="both"/>
        <w:rPr>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jc w:val="both"/>
        <w:rPr>
          <w:sz w:val="24"/>
          <w:szCs w:val="24"/>
        </w:rPr>
      </w:pPr>
      <w:r w:rsidDel="00000000" w:rsidR="00000000" w:rsidRPr="00000000">
        <w:rPr>
          <w:sz w:val="24"/>
          <w:szCs w:val="24"/>
          <w:rtl w:val="0"/>
        </w:rPr>
        <w:t xml:space="preserve">Mahipathy SRRV. Large Congenital Nevus Scalp Managed by Tissue Expansion– A Case Report. JOURNAL OF CLINICAL AND DIAGNOSTIC RESEARCH. 2015;</w:t>
      </w:r>
    </w:p>
    <w:p w:rsidR="00000000" w:rsidDel="00000000" w:rsidP="00000000" w:rsidRDefault="00000000" w:rsidRPr="00000000" w14:paraId="0000000C">
      <w:pPr>
        <w:numPr>
          <w:ilvl w:val="0"/>
          <w:numId w:val="1"/>
        </w:numPr>
        <w:spacing w:after="0" w:line="360" w:lineRule="auto"/>
        <w:ind w:left="720" w:hanging="360"/>
        <w:jc w:val="both"/>
        <w:rPr>
          <w:sz w:val="24"/>
          <w:szCs w:val="24"/>
        </w:rPr>
      </w:pPr>
      <w:r w:rsidDel="00000000" w:rsidR="00000000" w:rsidRPr="00000000">
        <w:rPr>
          <w:sz w:val="24"/>
          <w:szCs w:val="24"/>
          <w:rtl w:val="0"/>
        </w:rPr>
        <w:t xml:space="preserve">Xie F, Qin J, Fang B, Zhou S, Huang RL, Li Q, et al. Novel strategies in scalp expansion: improvements and applications of tissue expanders. Burns &amp; Trauma [Internet]. 2024 Jan 1 [cited 2025 Mar 26];12. Available from: https://pmc.ncbi.nlm.nih.gov/articles/PMC11002457/</w:t>
      </w:r>
    </w:p>
    <w:p w:rsidR="00000000" w:rsidDel="00000000" w:rsidP="00000000" w:rsidRDefault="00000000" w:rsidRPr="00000000" w14:paraId="0000000D">
      <w:pPr>
        <w:numPr>
          <w:ilvl w:val="0"/>
          <w:numId w:val="1"/>
        </w:numPr>
        <w:spacing w:after="240" w:before="0" w:line="360" w:lineRule="auto"/>
        <w:ind w:left="720" w:hanging="360"/>
        <w:jc w:val="both"/>
        <w:rPr>
          <w:sz w:val="24"/>
          <w:szCs w:val="24"/>
        </w:rPr>
      </w:pPr>
      <w:r w:rsidDel="00000000" w:rsidR="00000000" w:rsidRPr="00000000">
        <w:rPr>
          <w:sz w:val="24"/>
          <w:szCs w:val="24"/>
          <w:rtl w:val="0"/>
        </w:rPr>
        <w:t xml:space="preserve">‌1.Raposio E. Scalp expansion: Surgical considerations and possible future directions. Indian Journal of Plastic Surgery [Internet]. 2018 Jan [cited 2025 Mar 26];51(01):084–8. Available from: </w:t>
      </w:r>
      <w:hyperlink r:id="rId7">
        <w:r w:rsidDel="00000000" w:rsidR="00000000" w:rsidRPr="00000000">
          <w:rPr>
            <w:color w:val="1155cc"/>
            <w:sz w:val="24"/>
            <w:szCs w:val="24"/>
            <w:u w:val="single"/>
            <w:rtl w:val="0"/>
          </w:rPr>
          <w:t xml:space="preserve">https://pmc.ncbi.nlm.nih.gov/articles/PMC5992950/</w:t>
        </w:r>
      </w:hyperlink>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mc.ncbi.nlm.nih.gov/articles/PMC5992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c/2k7j9n55soXvQ0IBT8+A36Q==">CgMxLjA4AHIhMUY3VGJmWkFXdzh4bm5feTQ1Sm4tNGJ0SXNaYlBuQU1x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