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EFA4F" w14:textId="1FC200E8" w:rsidR="00166EDA" w:rsidRDefault="007F311A">
      <w:pPr>
        <w:tabs>
          <w:tab w:val="right" w:pos="8307"/>
        </w:tabs>
        <w:spacing w:line="276" w:lineRule="auto"/>
        <w:ind w:left="2" w:hanging="4"/>
        <w:jc w:val="center"/>
        <w:rPr>
          <w:rFonts w:ascii="Open Sans" w:eastAsia="Open Sans" w:hAnsi="Open Sans" w:cs="Open Sans"/>
          <w:b/>
          <w:color w:val="000000"/>
          <w:sz w:val="20"/>
          <w:szCs w:val="20"/>
        </w:rPr>
      </w:pPr>
      <w:r>
        <w:rPr>
          <w:rFonts w:ascii="Open Sans" w:eastAsia="Open Sans" w:hAnsi="Open Sans" w:cs="Open Sans"/>
          <w:b/>
          <w:sz w:val="40"/>
          <w:szCs w:val="40"/>
        </w:rPr>
        <w:t xml:space="preserve">Relato de </w:t>
      </w:r>
      <w:r w:rsidR="003D7210">
        <w:rPr>
          <w:rFonts w:ascii="Open Sans" w:eastAsia="Open Sans" w:hAnsi="Open Sans" w:cs="Open Sans"/>
          <w:b/>
          <w:sz w:val="40"/>
          <w:szCs w:val="40"/>
        </w:rPr>
        <w:t>caso</w:t>
      </w:r>
      <w:r>
        <w:rPr>
          <w:rFonts w:ascii="Open Sans" w:eastAsia="Open Sans" w:hAnsi="Open Sans" w:cs="Open Sans"/>
          <w:b/>
          <w:sz w:val="40"/>
          <w:szCs w:val="40"/>
        </w:rPr>
        <w:t>: monitoria de Cálculo I, Química Geral e Histologia e Embriologia no curso de Zootecnia</w:t>
      </w:r>
    </w:p>
    <w:p w14:paraId="34758ED4" w14:textId="77777777" w:rsidR="00166EDA" w:rsidRDefault="007F311A">
      <w:pP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4"/>
          <w:szCs w:val="24"/>
        </w:rPr>
        <w:t xml:space="preserve">Área Temática: </w:t>
      </w:r>
      <w:r>
        <w:rPr>
          <w:rFonts w:ascii="Times New Roman" w:eastAsia="Times New Roman" w:hAnsi="Times New Roman" w:cs="Times New Roman"/>
          <w:color w:val="000000"/>
          <w:sz w:val="24"/>
          <w:szCs w:val="24"/>
        </w:rPr>
        <w:t>Ciências Agrárias.</w:t>
      </w:r>
    </w:p>
    <w:p w14:paraId="1CF524AC" w14:textId="77777777" w:rsidR="00166EDA" w:rsidRPr="00631E92" w:rsidRDefault="007F311A" w:rsidP="00631E92">
      <w:pPr>
        <w:spacing w:line="240" w:lineRule="auto"/>
        <w:ind w:left="1" w:hanging="3"/>
        <w:jc w:val="both"/>
        <w:rPr>
          <w:rFonts w:ascii="Open Sans" w:eastAsia="Open Sans" w:hAnsi="Open Sans" w:cs="Open Sans"/>
          <w:sz w:val="20"/>
          <w:szCs w:val="20"/>
        </w:rPr>
      </w:pPr>
      <w:r w:rsidRPr="00631E92">
        <w:rPr>
          <w:rFonts w:ascii="Open Sans" w:eastAsia="Open Sans" w:hAnsi="Open Sans" w:cs="Open Sans"/>
          <w:sz w:val="20"/>
          <w:szCs w:val="20"/>
        </w:rPr>
        <w:t xml:space="preserve">MATOS, M. M., </w:t>
      </w:r>
      <w:hyperlink r:id="rId8">
        <w:r w:rsidRPr="00631E92">
          <w:rPr>
            <w:rFonts w:ascii="Open Sans" w:eastAsia="Open Sans" w:hAnsi="Open Sans" w:cs="Open Sans"/>
            <w:color w:val="1155CC"/>
            <w:sz w:val="20"/>
            <w:szCs w:val="20"/>
            <w:u w:val="single"/>
          </w:rPr>
          <w:t>marianne.matos@ufnt.edu.br</w:t>
        </w:r>
      </w:hyperlink>
      <w:r w:rsidRPr="00631E92">
        <w:rPr>
          <w:rFonts w:ascii="Open Sans" w:eastAsia="Open Sans" w:hAnsi="Open Sans" w:cs="Open Sans"/>
          <w:sz w:val="20"/>
          <w:szCs w:val="20"/>
        </w:rPr>
        <w:t xml:space="preserve">¹; NOLETO, A. B, </w:t>
      </w:r>
      <w:hyperlink r:id="rId9">
        <w:r w:rsidRPr="00631E92">
          <w:rPr>
            <w:rFonts w:ascii="Open Sans" w:eastAsia="Open Sans" w:hAnsi="Open Sans" w:cs="Open Sans"/>
            <w:color w:val="1155CC"/>
            <w:sz w:val="20"/>
            <w:szCs w:val="20"/>
            <w:u w:val="single"/>
          </w:rPr>
          <w:t>agata.noleto@ufnt.edu.br</w:t>
        </w:r>
      </w:hyperlink>
      <w:r w:rsidRPr="00631E92">
        <w:rPr>
          <w:rFonts w:ascii="Open Sans" w:eastAsia="Open Sans" w:hAnsi="Open Sans" w:cs="Open Sans"/>
          <w:sz w:val="20"/>
          <w:szCs w:val="20"/>
        </w:rPr>
        <w:t xml:space="preserve">¹; RIBEIRO, J. L, </w:t>
      </w:r>
      <w:hyperlink r:id="rId10">
        <w:r w:rsidRPr="00631E92">
          <w:rPr>
            <w:rFonts w:ascii="Open Sans" w:eastAsia="Open Sans" w:hAnsi="Open Sans" w:cs="Open Sans"/>
            <w:color w:val="1155CC"/>
            <w:sz w:val="20"/>
            <w:szCs w:val="20"/>
            <w:u w:val="single"/>
          </w:rPr>
          <w:t>jessica.ribeiro@ufnt.edu.br</w:t>
        </w:r>
      </w:hyperlink>
      <w:r w:rsidRPr="00631E92">
        <w:rPr>
          <w:rFonts w:ascii="Open Sans" w:eastAsia="Open Sans" w:hAnsi="Open Sans" w:cs="Open Sans"/>
          <w:sz w:val="20"/>
          <w:szCs w:val="20"/>
        </w:rPr>
        <w:t xml:space="preserve">¹; CONTI, A. C. M, </w:t>
      </w:r>
      <w:hyperlink r:id="rId11">
        <w:r w:rsidRPr="00631E92">
          <w:rPr>
            <w:rFonts w:ascii="Open Sans" w:eastAsia="Open Sans" w:hAnsi="Open Sans" w:cs="Open Sans"/>
            <w:color w:val="1155CC"/>
            <w:sz w:val="20"/>
            <w:szCs w:val="20"/>
            <w:u w:val="single"/>
          </w:rPr>
          <w:t>ana.conti@ufnt.edu.br</w:t>
        </w:r>
      </w:hyperlink>
      <w:r w:rsidRPr="00631E92">
        <w:rPr>
          <w:rFonts w:ascii="Open Sans" w:eastAsia="Open Sans" w:hAnsi="Open Sans" w:cs="Open Sans"/>
          <w:sz w:val="20"/>
          <w:szCs w:val="20"/>
        </w:rPr>
        <w:t xml:space="preserve">²; ARAÚJO, C. C, </w:t>
      </w:r>
      <w:hyperlink r:id="rId12">
        <w:r w:rsidRPr="00631E92">
          <w:rPr>
            <w:rFonts w:ascii="Open Sans" w:eastAsia="Open Sans" w:hAnsi="Open Sans" w:cs="Open Sans"/>
            <w:color w:val="0000FF"/>
            <w:sz w:val="20"/>
            <w:szCs w:val="20"/>
            <w:u w:val="single"/>
          </w:rPr>
          <w:t>caroliny.araujo@iescfag.edu.br</w:t>
        </w:r>
      </w:hyperlink>
      <w:r w:rsidRPr="00631E92">
        <w:rPr>
          <w:rFonts w:ascii="Open Sans" w:eastAsia="Open Sans" w:hAnsi="Open Sans" w:cs="Open Sans"/>
          <w:sz w:val="20"/>
          <w:szCs w:val="20"/>
        </w:rPr>
        <w:t>³.</w:t>
      </w:r>
    </w:p>
    <w:p w14:paraId="038CA32B" w14:textId="77777777" w:rsidR="00166EDA" w:rsidRDefault="007F311A" w:rsidP="00631E92">
      <w:pPr>
        <w:spacing w:line="240" w:lineRule="auto"/>
        <w:ind w:left="1" w:hanging="3"/>
        <w:jc w:val="both"/>
        <w:rPr>
          <w:rFonts w:ascii="Open Sans" w:eastAsia="Open Sans" w:hAnsi="Open Sans" w:cs="Open Sans"/>
          <w:sz w:val="20"/>
          <w:szCs w:val="20"/>
        </w:rPr>
      </w:pPr>
      <w:r>
        <w:rPr>
          <w:rFonts w:ascii="Open Sans" w:eastAsia="Open Sans" w:hAnsi="Open Sans" w:cs="Open Sans"/>
          <w:sz w:val="20"/>
          <w:szCs w:val="20"/>
        </w:rPr>
        <w:t>1- Discente do curso de Zootecnia e bolsista do Projeto Alvorecer - Universidade Federal do Norte do Tocantins (UFNT)</w:t>
      </w:r>
    </w:p>
    <w:p w14:paraId="455C6371" w14:textId="77777777" w:rsidR="00166EDA" w:rsidRDefault="007F311A" w:rsidP="00631E92">
      <w:pPr>
        <w:spacing w:line="240" w:lineRule="auto"/>
        <w:ind w:left="1" w:hanging="3"/>
        <w:jc w:val="both"/>
        <w:rPr>
          <w:rFonts w:ascii="Open Sans" w:eastAsia="Open Sans" w:hAnsi="Open Sans" w:cs="Open Sans"/>
          <w:sz w:val="20"/>
          <w:szCs w:val="20"/>
        </w:rPr>
      </w:pPr>
      <w:r>
        <w:rPr>
          <w:rFonts w:ascii="Open Sans" w:eastAsia="Open Sans" w:hAnsi="Open Sans" w:cs="Open Sans"/>
          <w:sz w:val="20"/>
          <w:szCs w:val="20"/>
        </w:rPr>
        <w:t>2- Docente do curso de Zootecnia e coordenadora do projeto - Universidade Federal do Norte do Tocantins (UFNT)</w:t>
      </w:r>
    </w:p>
    <w:p w14:paraId="045FB015" w14:textId="3C094CC4" w:rsidR="00166EDA" w:rsidRDefault="007F311A" w:rsidP="00631E92">
      <w:pPr>
        <w:spacing w:line="240" w:lineRule="auto"/>
        <w:ind w:left="1" w:hanging="3"/>
        <w:jc w:val="both"/>
        <w:rPr>
          <w:rFonts w:ascii="Open Sans" w:eastAsia="Open Sans" w:hAnsi="Open Sans" w:cs="Open Sans"/>
          <w:sz w:val="20"/>
          <w:szCs w:val="20"/>
        </w:rPr>
      </w:pPr>
      <w:r>
        <w:rPr>
          <w:rFonts w:ascii="Open Sans" w:eastAsia="Open Sans" w:hAnsi="Open Sans" w:cs="Open Sans"/>
          <w:sz w:val="20"/>
          <w:szCs w:val="20"/>
        </w:rPr>
        <w:t xml:space="preserve">3- Bolsista tutora do Projeto </w:t>
      </w:r>
      <w:r w:rsidR="00631E92">
        <w:rPr>
          <w:rFonts w:ascii="Open Sans" w:eastAsia="Open Sans" w:hAnsi="Open Sans" w:cs="Open Sans"/>
          <w:sz w:val="20"/>
          <w:szCs w:val="20"/>
        </w:rPr>
        <w:t>Alvorecer -</w:t>
      </w:r>
      <w:r>
        <w:rPr>
          <w:rFonts w:ascii="Open Sans" w:eastAsia="Open Sans" w:hAnsi="Open Sans" w:cs="Open Sans"/>
          <w:sz w:val="20"/>
          <w:szCs w:val="20"/>
        </w:rPr>
        <w:t xml:space="preserve"> Universidade Federal do Norte do Tocantins (UFNT)</w:t>
      </w:r>
    </w:p>
    <w:p w14:paraId="65F2DAC9" w14:textId="77777777" w:rsidR="00166EDA" w:rsidRDefault="007F311A">
      <w:pPr>
        <w:pStyle w:val="Ttulo1"/>
        <w:numPr>
          <w:ilvl w:val="0"/>
          <w:numId w:val="1"/>
        </w:numPr>
        <w:spacing w:line="360" w:lineRule="auto"/>
        <w:ind w:left="1" w:hanging="3"/>
        <w:rPr>
          <w:rFonts w:ascii="Open Sans" w:eastAsia="Open Sans" w:hAnsi="Open Sans" w:cs="Open Sans"/>
          <w:b/>
          <w:sz w:val="28"/>
          <w:szCs w:val="28"/>
        </w:rPr>
      </w:pPr>
      <w:bookmarkStart w:id="0" w:name="_heading=h.gjdgxs" w:colFirst="0" w:colLast="0"/>
      <w:bookmarkEnd w:id="0"/>
      <w:r>
        <w:rPr>
          <w:rFonts w:ascii="Open Sans" w:eastAsia="Open Sans" w:hAnsi="Open Sans" w:cs="Open Sans"/>
          <w:b/>
          <w:sz w:val="28"/>
          <w:szCs w:val="28"/>
        </w:rPr>
        <w:t>Resumo</w:t>
      </w:r>
    </w:p>
    <w:p w14:paraId="30C043F6" w14:textId="6EA08291" w:rsidR="00166EDA" w:rsidRDefault="007F311A" w:rsidP="00631E92">
      <w:pPr>
        <w:spacing w:after="0" w:line="240" w:lineRule="auto"/>
        <w:ind w:hanging="2"/>
        <w:jc w:val="both"/>
        <w:rPr>
          <w:rFonts w:ascii="Open Sans" w:eastAsia="Open Sans" w:hAnsi="Open Sans" w:cs="Open Sans"/>
          <w:sz w:val="20"/>
          <w:szCs w:val="20"/>
        </w:rPr>
      </w:pPr>
      <w:r>
        <w:rPr>
          <w:rFonts w:ascii="Open Sans" w:eastAsia="Open Sans" w:hAnsi="Open Sans" w:cs="Open Sans"/>
          <w:sz w:val="20"/>
          <w:szCs w:val="20"/>
        </w:rPr>
        <w:t>As monitorias são uma categoria de ensino que a universidade criou para contribuir na formação dos estudantes, tanto pelo monitor como por aquele que recebe o ensino. Neste relato de experiência é detalhado as atividades desenvolvidas para as monitorias de Cálculo I, Química Geral e Histologia e Embriologia no curso de Zootecnia, desenvolvidas acerca do projeto integrado ao ensino, pesquisa e extensão, denominado Do Campus para o campo – do alvorecer à plenitude da luz, da Universidade Federal do Norte do Tocantins. Neste contexto, foram utilizados objetos e atividades virtuais de aprendizado (</w:t>
      </w:r>
      <w:proofErr w:type="spellStart"/>
      <w:r>
        <w:rPr>
          <w:rFonts w:ascii="Open Sans" w:eastAsia="Open Sans" w:hAnsi="Open Sans" w:cs="Open Sans"/>
          <w:sz w:val="20"/>
          <w:szCs w:val="20"/>
        </w:rPr>
        <w:t>OVAs</w:t>
      </w:r>
      <w:proofErr w:type="spellEnd"/>
      <w:r>
        <w:rPr>
          <w:rFonts w:ascii="Open Sans" w:eastAsia="Open Sans" w:hAnsi="Open Sans" w:cs="Open Sans"/>
          <w:sz w:val="20"/>
          <w:szCs w:val="20"/>
        </w:rPr>
        <w:t>), além das monitorias presenciais, objetivando aplicar esta metodologia de apoio aos acadêmicos de forma que estes consigam perceber ao longo do curso a importância das disciplinas básicas para seu melhor desempenho nas disciplinas profissionalizantes. Com base nessa experiência, conclui-se que as monitorias desempenham um papel essencial para os discentes que estão ingressando na universidade e enfrentando o processo de adaptação, contribuindo, assim, para a redução dos índices de retenção e evasão. Além disso, as monitorias permitem o desenvolvimento das habilidades de análise e crítica do monitor, incentivando-</w:t>
      </w:r>
      <w:r w:rsidR="00631E92">
        <w:rPr>
          <w:rFonts w:ascii="Open Sans" w:eastAsia="Open Sans" w:hAnsi="Open Sans" w:cs="Open Sans"/>
          <w:sz w:val="20"/>
          <w:szCs w:val="20"/>
        </w:rPr>
        <w:t>o a</w:t>
      </w:r>
      <w:r>
        <w:rPr>
          <w:rFonts w:ascii="Open Sans" w:eastAsia="Open Sans" w:hAnsi="Open Sans" w:cs="Open Sans"/>
          <w:sz w:val="20"/>
          <w:szCs w:val="20"/>
        </w:rPr>
        <w:t xml:space="preserve"> cultivar hábitos de estudo, interesse e competências essenciais para sua carreira profissional.</w:t>
      </w:r>
    </w:p>
    <w:p w14:paraId="5AFC0045" w14:textId="77777777" w:rsidR="00166EDA" w:rsidRDefault="00166EDA">
      <w:pPr>
        <w:spacing w:after="0" w:line="240" w:lineRule="auto"/>
        <w:ind w:hanging="2"/>
        <w:jc w:val="both"/>
        <w:rPr>
          <w:rFonts w:ascii="Open Sans" w:eastAsia="Open Sans" w:hAnsi="Open Sans" w:cs="Open Sans"/>
          <w:sz w:val="20"/>
          <w:szCs w:val="20"/>
        </w:rPr>
      </w:pPr>
    </w:p>
    <w:p w14:paraId="10A330FC" w14:textId="77777777" w:rsidR="00166EDA" w:rsidRDefault="007F311A">
      <w:pPr>
        <w:spacing w:after="0" w:line="360" w:lineRule="auto"/>
        <w:ind w:hanging="2"/>
        <w:jc w:val="both"/>
        <w:rPr>
          <w:rFonts w:ascii="Open Sans" w:eastAsia="Open Sans" w:hAnsi="Open Sans" w:cs="Open Sans"/>
          <w:sz w:val="20"/>
          <w:szCs w:val="20"/>
        </w:rPr>
      </w:pPr>
      <w:r>
        <w:rPr>
          <w:rFonts w:ascii="Open Sans" w:eastAsia="Open Sans" w:hAnsi="Open Sans" w:cs="Open Sans"/>
          <w:b/>
          <w:sz w:val="20"/>
          <w:szCs w:val="20"/>
        </w:rPr>
        <w:t>Palavras-chave:</w:t>
      </w:r>
      <w:r>
        <w:rPr>
          <w:rFonts w:ascii="Open Sans" w:eastAsia="Open Sans" w:hAnsi="Open Sans" w:cs="Open Sans"/>
          <w:sz w:val="20"/>
          <w:szCs w:val="20"/>
        </w:rPr>
        <w:t xml:space="preserve"> monitorias, ensino, disciplinas básicas, evasão, retenção.</w:t>
      </w:r>
    </w:p>
    <w:p w14:paraId="5F9AE5D2" w14:textId="77777777" w:rsidR="00166EDA" w:rsidRDefault="007F311A">
      <w:pPr>
        <w:pStyle w:val="Ttulo1"/>
        <w:numPr>
          <w:ilvl w:val="0"/>
          <w:numId w:val="1"/>
        </w:numPr>
        <w:spacing w:line="360" w:lineRule="auto"/>
        <w:ind w:left="1" w:hanging="3"/>
        <w:rPr>
          <w:rFonts w:ascii="Open Sans" w:eastAsia="Open Sans" w:hAnsi="Open Sans" w:cs="Open Sans"/>
          <w:b/>
          <w:sz w:val="28"/>
          <w:szCs w:val="28"/>
        </w:rPr>
      </w:pPr>
      <w:bookmarkStart w:id="1" w:name="_heading=h.30j0zll" w:colFirst="0" w:colLast="0"/>
      <w:bookmarkEnd w:id="1"/>
      <w:r>
        <w:rPr>
          <w:rFonts w:ascii="Open Sans" w:eastAsia="Open Sans" w:hAnsi="Open Sans" w:cs="Open Sans"/>
          <w:b/>
          <w:sz w:val="28"/>
          <w:szCs w:val="28"/>
        </w:rPr>
        <w:lastRenderedPageBreak/>
        <w:t>Introdução</w:t>
      </w:r>
    </w:p>
    <w:p w14:paraId="546FA4EB" w14:textId="77777777" w:rsidR="00166EDA" w:rsidRDefault="007F311A">
      <w:pPr>
        <w:spacing w:after="0" w:line="360" w:lineRule="auto"/>
        <w:ind w:firstLine="708"/>
        <w:jc w:val="both"/>
        <w:rPr>
          <w:rFonts w:ascii="Open Sans" w:eastAsia="Open Sans" w:hAnsi="Open Sans" w:cs="Open Sans"/>
          <w:sz w:val="20"/>
          <w:szCs w:val="20"/>
        </w:rPr>
      </w:pPr>
      <w:r>
        <w:rPr>
          <w:rFonts w:ascii="Open Sans" w:eastAsia="Open Sans" w:hAnsi="Open Sans" w:cs="Open Sans"/>
          <w:sz w:val="20"/>
          <w:szCs w:val="20"/>
        </w:rPr>
        <w:t>“A monitoria é uma categoria de ensino e aprendizagem que contribui para a formação integrada dos estudantes em atividades de ensino, pesquisa e extensão nos cursos de graduação” (</w:t>
      </w:r>
      <w:proofErr w:type="spellStart"/>
      <w:r>
        <w:rPr>
          <w:rFonts w:ascii="Open Sans" w:eastAsia="Open Sans" w:hAnsi="Open Sans" w:cs="Open Sans"/>
          <w:sz w:val="20"/>
          <w:szCs w:val="20"/>
        </w:rPr>
        <w:t>Vicenzi</w:t>
      </w:r>
      <w:proofErr w:type="spellEnd"/>
      <w:r>
        <w:rPr>
          <w:rFonts w:ascii="Open Sans" w:eastAsia="Open Sans" w:hAnsi="Open Sans" w:cs="Open Sans"/>
          <w:sz w:val="20"/>
          <w:szCs w:val="20"/>
        </w:rPr>
        <w:t xml:space="preserve"> et. al.,</w:t>
      </w:r>
      <w:proofErr w:type="gramStart"/>
      <w:r>
        <w:rPr>
          <w:rFonts w:ascii="Open Sans" w:eastAsia="Open Sans" w:hAnsi="Open Sans" w:cs="Open Sans"/>
          <w:sz w:val="20"/>
          <w:szCs w:val="20"/>
        </w:rPr>
        <w:t>2016 )</w:t>
      </w:r>
      <w:proofErr w:type="gramEnd"/>
      <w:r>
        <w:rPr>
          <w:rFonts w:ascii="Open Sans" w:eastAsia="Open Sans" w:hAnsi="Open Sans" w:cs="Open Sans"/>
          <w:sz w:val="20"/>
          <w:szCs w:val="20"/>
        </w:rPr>
        <w:t>.</w:t>
      </w:r>
    </w:p>
    <w:p w14:paraId="5A16C055" w14:textId="77777777" w:rsidR="00166EDA" w:rsidRDefault="007F311A">
      <w:pPr>
        <w:tabs>
          <w:tab w:val="left" w:pos="2268"/>
        </w:tabs>
        <w:spacing w:after="0" w:line="240" w:lineRule="auto"/>
        <w:ind w:left="2268"/>
        <w:jc w:val="both"/>
        <w:rPr>
          <w:rFonts w:ascii="Open Sans" w:eastAsia="Open Sans" w:hAnsi="Open Sans" w:cs="Open Sans"/>
          <w:sz w:val="18"/>
          <w:szCs w:val="18"/>
        </w:rPr>
      </w:pPr>
      <w:r>
        <w:rPr>
          <w:rFonts w:ascii="Open Sans" w:eastAsia="Open Sans" w:hAnsi="Open Sans" w:cs="Open Sans"/>
          <w:sz w:val="18"/>
          <w:szCs w:val="18"/>
        </w:rPr>
        <w:t>Ao contrário dos outros aprendizados que temos ao longo da vida, o ensino superior apresenta uma complexidade maior. Assim, estudantes recém-chegados do ensino médio necessitam de um período maior de adaptação, já que enfrentam uma mudança significativa na metodologia de ensino. Neste cenário, a monitoria ajuda aqueles com maiores desafios ou aqueles que buscam aprimorar o desempenho, tornando-se acessível para todos (Neves et. al., 2022).</w:t>
      </w:r>
    </w:p>
    <w:p w14:paraId="35DD6B79" w14:textId="51985BAF" w:rsidR="00166EDA" w:rsidRDefault="007F311A">
      <w:pPr>
        <w:spacing w:after="0" w:line="360" w:lineRule="auto"/>
        <w:ind w:firstLine="708"/>
        <w:jc w:val="both"/>
        <w:rPr>
          <w:rFonts w:ascii="Open Sans" w:eastAsia="Open Sans" w:hAnsi="Open Sans" w:cs="Open Sans"/>
          <w:sz w:val="20"/>
          <w:szCs w:val="20"/>
        </w:rPr>
      </w:pPr>
      <w:r>
        <w:rPr>
          <w:rFonts w:ascii="Open Sans" w:eastAsia="Open Sans" w:hAnsi="Open Sans" w:cs="Open Sans"/>
          <w:sz w:val="20"/>
          <w:szCs w:val="20"/>
        </w:rPr>
        <w:t xml:space="preserve">Objetivando facilitar e aprimorar o desempenho dos estudantes com certos graus de dificuldade, o projeto Do Campus para o </w:t>
      </w:r>
      <w:r w:rsidR="00631E92">
        <w:rPr>
          <w:rFonts w:ascii="Open Sans" w:eastAsia="Open Sans" w:hAnsi="Open Sans" w:cs="Open Sans"/>
          <w:sz w:val="20"/>
          <w:szCs w:val="20"/>
        </w:rPr>
        <w:t>c</w:t>
      </w:r>
      <w:r>
        <w:rPr>
          <w:rFonts w:ascii="Open Sans" w:eastAsia="Open Sans" w:hAnsi="Open Sans" w:cs="Open Sans"/>
          <w:sz w:val="20"/>
          <w:szCs w:val="20"/>
        </w:rPr>
        <w:t xml:space="preserve">ampo – do </w:t>
      </w:r>
      <w:r w:rsidR="00631E92">
        <w:rPr>
          <w:rFonts w:ascii="Open Sans" w:eastAsia="Open Sans" w:hAnsi="Open Sans" w:cs="Open Sans"/>
          <w:sz w:val="20"/>
          <w:szCs w:val="20"/>
        </w:rPr>
        <w:t>a</w:t>
      </w:r>
      <w:r>
        <w:rPr>
          <w:rFonts w:ascii="Open Sans" w:eastAsia="Open Sans" w:hAnsi="Open Sans" w:cs="Open Sans"/>
          <w:sz w:val="20"/>
          <w:szCs w:val="20"/>
        </w:rPr>
        <w:t xml:space="preserve">lvorecer à </w:t>
      </w:r>
      <w:r w:rsidR="00631E92">
        <w:rPr>
          <w:rFonts w:ascii="Open Sans" w:eastAsia="Open Sans" w:hAnsi="Open Sans" w:cs="Open Sans"/>
          <w:sz w:val="20"/>
          <w:szCs w:val="20"/>
        </w:rPr>
        <w:t>p</w:t>
      </w:r>
      <w:r>
        <w:rPr>
          <w:rFonts w:ascii="Open Sans" w:eastAsia="Open Sans" w:hAnsi="Open Sans" w:cs="Open Sans"/>
          <w:sz w:val="20"/>
          <w:szCs w:val="20"/>
        </w:rPr>
        <w:t xml:space="preserve">lenitude da </w:t>
      </w:r>
      <w:r w:rsidR="00631E92">
        <w:rPr>
          <w:rFonts w:ascii="Open Sans" w:eastAsia="Open Sans" w:hAnsi="Open Sans" w:cs="Open Sans"/>
          <w:sz w:val="20"/>
          <w:szCs w:val="20"/>
        </w:rPr>
        <w:t>l</w:t>
      </w:r>
      <w:r>
        <w:rPr>
          <w:rFonts w:ascii="Open Sans" w:eastAsia="Open Sans" w:hAnsi="Open Sans" w:cs="Open Sans"/>
          <w:sz w:val="20"/>
          <w:szCs w:val="20"/>
        </w:rPr>
        <w:t xml:space="preserve">uz, surgiu como um apelo à demanda de oferecer apoio aos estudantes que passam pela dificuldade de se adaptarem a nova forma de ensino que a universidade oferece, pretendendo diminuir as altas taxas de retenção e desistências das disciplinas básicas da graduação. </w:t>
      </w:r>
    </w:p>
    <w:p w14:paraId="0A70DEB2" w14:textId="77777777" w:rsidR="00166EDA" w:rsidRDefault="007F311A">
      <w:pPr>
        <w:spacing w:after="0" w:line="240" w:lineRule="auto"/>
        <w:ind w:left="2268"/>
        <w:jc w:val="both"/>
        <w:rPr>
          <w:rFonts w:ascii="Open Sans" w:eastAsia="Open Sans" w:hAnsi="Open Sans" w:cs="Open Sans"/>
          <w:sz w:val="18"/>
          <w:szCs w:val="18"/>
        </w:rPr>
      </w:pPr>
      <w:r>
        <w:rPr>
          <w:rFonts w:ascii="Open Sans" w:eastAsia="Open Sans" w:hAnsi="Open Sans" w:cs="Open Sans"/>
          <w:sz w:val="18"/>
          <w:szCs w:val="18"/>
        </w:rPr>
        <w:t xml:space="preserve">Conforme destaca </w:t>
      </w:r>
      <w:proofErr w:type="spellStart"/>
      <w:r>
        <w:rPr>
          <w:rFonts w:ascii="Open Sans" w:eastAsia="Open Sans" w:hAnsi="Open Sans" w:cs="Open Sans"/>
          <w:sz w:val="18"/>
          <w:szCs w:val="18"/>
        </w:rPr>
        <w:t>Friedlander</w:t>
      </w:r>
      <w:proofErr w:type="spellEnd"/>
      <w:r>
        <w:rPr>
          <w:rFonts w:ascii="Open Sans" w:eastAsia="Open Sans" w:hAnsi="Open Sans" w:cs="Open Sans"/>
          <w:sz w:val="18"/>
          <w:szCs w:val="18"/>
        </w:rPr>
        <w:t xml:space="preserve"> (citado por Lins et. al., 2009), o aluno-monitor ou simplesmente monitor é o discente que, estimulado a progredir aproxima-se de uma disciplina ou área de conhecimento e junto a ela realiza pequenos deveres ou funções que contribuem para o ensino, a pesquisa ou extensão para a comunidade dessa disciplina. </w:t>
      </w:r>
    </w:p>
    <w:p w14:paraId="271C0F0F" w14:textId="77777777" w:rsidR="00166EDA" w:rsidRDefault="007F311A">
      <w:pPr>
        <w:spacing w:after="0" w:line="360" w:lineRule="auto"/>
        <w:ind w:firstLine="708"/>
        <w:jc w:val="both"/>
        <w:rPr>
          <w:rFonts w:ascii="Open Sans" w:eastAsia="Open Sans" w:hAnsi="Open Sans" w:cs="Open Sans"/>
          <w:sz w:val="20"/>
          <w:szCs w:val="20"/>
        </w:rPr>
      </w:pPr>
      <w:r>
        <w:rPr>
          <w:rFonts w:ascii="Open Sans" w:eastAsia="Open Sans" w:hAnsi="Open Sans" w:cs="Open Sans"/>
          <w:sz w:val="20"/>
          <w:szCs w:val="20"/>
        </w:rPr>
        <w:t xml:space="preserve">Portanto, as atividades desenvolvidas por monitores com o auxílio dos docentes da disciplina dizem respeito a uma iniciativa fora da sala de aula, visando propor parâmetros capazes de conter as dificuldades enfrentadas pelos ingressantes. Pensando nisso, os alunos monitores desenvolvem materiais didáticos, como por exemplo mapas mentais, exercícios de fixação, </w:t>
      </w:r>
      <w:r w:rsidRPr="00982C5E">
        <w:rPr>
          <w:rFonts w:ascii="Open Sans" w:eastAsia="Open Sans" w:hAnsi="Open Sans" w:cs="Open Sans"/>
          <w:i/>
          <w:iCs/>
          <w:sz w:val="20"/>
          <w:szCs w:val="20"/>
        </w:rPr>
        <w:t>posts</w:t>
      </w:r>
      <w:r>
        <w:rPr>
          <w:rFonts w:ascii="Open Sans" w:eastAsia="Open Sans" w:hAnsi="Open Sans" w:cs="Open Sans"/>
          <w:sz w:val="20"/>
          <w:szCs w:val="20"/>
        </w:rPr>
        <w:t xml:space="preserve"> interativos, resumo, entre outros materiais de apoio, para oferecer um apoio mais significativo e incentivar os estudantes que estão começando o curso de Zootecnia.</w:t>
      </w:r>
    </w:p>
    <w:p w14:paraId="7A7A755B" w14:textId="77777777" w:rsidR="00166EDA" w:rsidRDefault="007F311A">
      <w:pPr>
        <w:spacing w:after="0" w:line="360" w:lineRule="auto"/>
        <w:ind w:firstLine="708"/>
        <w:jc w:val="both"/>
        <w:rPr>
          <w:rFonts w:ascii="Open Sans" w:eastAsia="Open Sans" w:hAnsi="Open Sans" w:cs="Open Sans"/>
          <w:sz w:val="20"/>
          <w:szCs w:val="20"/>
        </w:rPr>
      </w:pPr>
      <w:r>
        <w:rPr>
          <w:rFonts w:ascii="Open Sans" w:eastAsia="Open Sans" w:hAnsi="Open Sans" w:cs="Open Sans"/>
          <w:sz w:val="20"/>
          <w:szCs w:val="20"/>
        </w:rPr>
        <w:t xml:space="preserve">Nesse âmbito, o objetivo deste presente trabalho é relatar a experiência vivenciada nas monitorias de Cálculo I, Química Geral e Histologia e Embriologia durante os semestres 2023/2 e 2024/1 no curso de Zootecnia, do projeto Do Campus para o campo – do alvorecer </w:t>
      </w:r>
      <w:r>
        <w:rPr>
          <w:rFonts w:ascii="Open Sans" w:eastAsia="Open Sans" w:hAnsi="Open Sans" w:cs="Open Sans"/>
          <w:sz w:val="20"/>
          <w:szCs w:val="20"/>
        </w:rPr>
        <w:lastRenderedPageBreak/>
        <w:t>à plenitude da luz, projeto que tem como foco realizar ações que visem reduzir a evasão e retenção dos acadêmicos nos primeiros períodos do curso.</w:t>
      </w:r>
    </w:p>
    <w:p w14:paraId="46F52C21" w14:textId="77777777" w:rsidR="00166EDA" w:rsidRDefault="007F311A">
      <w:pPr>
        <w:pStyle w:val="Ttulo1"/>
        <w:numPr>
          <w:ilvl w:val="0"/>
          <w:numId w:val="1"/>
        </w:numPr>
        <w:spacing w:line="360" w:lineRule="auto"/>
        <w:ind w:left="1" w:hanging="3"/>
        <w:rPr>
          <w:rFonts w:ascii="Open Sans" w:eastAsia="Open Sans" w:hAnsi="Open Sans" w:cs="Open Sans"/>
          <w:b/>
          <w:sz w:val="28"/>
          <w:szCs w:val="28"/>
        </w:rPr>
      </w:pPr>
      <w:bookmarkStart w:id="2" w:name="_heading=h.1fob9te" w:colFirst="0" w:colLast="0"/>
      <w:bookmarkEnd w:id="2"/>
      <w:r>
        <w:rPr>
          <w:rFonts w:ascii="Open Sans" w:eastAsia="Open Sans" w:hAnsi="Open Sans" w:cs="Open Sans"/>
          <w:b/>
          <w:sz w:val="28"/>
          <w:szCs w:val="28"/>
        </w:rPr>
        <w:t>Objetivos</w:t>
      </w:r>
    </w:p>
    <w:p w14:paraId="46AAC26F" w14:textId="77777777" w:rsidR="00166EDA" w:rsidRDefault="007F311A">
      <w:pPr>
        <w:pStyle w:val="Ttulo1"/>
        <w:spacing w:line="360" w:lineRule="auto"/>
        <w:rPr>
          <w:rFonts w:ascii="Open Sans" w:eastAsia="Open Sans" w:hAnsi="Open Sans" w:cs="Open Sans"/>
          <w:b/>
          <w:sz w:val="28"/>
          <w:szCs w:val="28"/>
        </w:rPr>
      </w:pPr>
      <w:bookmarkStart w:id="3" w:name="_heading=h.3znysh7" w:colFirst="0" w:colLast="0"/>
      <w:bookmarkEnd w:id="3"/>
      <w:r>
        <w:rPr>
          <w:rFonts w:ascii="Open Sans" w:eastAsia="Open Sans" w:hAnsi="Open Sans" w:cs="Open Sans"/>
          <w:b/>
          <w:sz w:val="28"/>
          <w:szCs w:val="28"/>
        </w:rPr>
        <w:t>III.I Objetivo geral</w:t>
      </w:r>
    </w:p>
    <w:p w14:paraId="1FF1EB00" w14:textId="77777777" w:rsidR="00166EDA" w:rsidRDefault="007F311A">
      <w:pPr>
        <w:spacing w:line="360" w:lineRule="auto"/>
        <w:ind w:firstLine="708"/>
        <w:jc w:val="both"/>
        <w:rPr>
          <w:rFonts w:ascii="Open Sans" w:eastAsia="Open Sans" w:hAnsi="Open Sans" w:cs="Open Sans"/>
          <w:b/>
          <w:color w:val="000000"/>
          <w:sz w:val="28"/>
          <w:szCs w:val="28"/>
        </w:rPr>
      </w:pPr>
      <w:r>
        <w:rPr>
          <w:rFonts w:ascii="Open Sans" w:eastAsia="Open Sans" w:hAnsi="Open Sans" w:cs="Open Sans"/>
          <w:sz w:val="20"/>
          <w:szCs w:val="20"/>
        </w:rPr>
        <w:t>Relatar as atividades desenvolvidas durante o período de monitorias, envolvendo o ensino, a pesquisa e serviços de extensão, buscando diminuir a retenção e evasão dos discentes nas disciplinas declaradas e, consequentemente, em disciplinas profissionalizantes.</w:t>
      </w:r>
    </w:p>
    <w:p w14:paraId="1ED12E34" w14:textId="77777777" w:rsidR="00166EDA" w:rsidRDefault="007F311A">
      <w:pPr>
        <w:pStyle w:val="Ttulo1"/>
        <w:spacing w:line="360" w:lineRule="auto"/>
        <w:ind w:left="1" w:firstLine="0"/>
        <w:rPr>
          <w:rFonts w:ascii="Open Sans" w:eastAsia="Open Sans" w:hAnsi="Open Sans" w:cs="Open Sans"/>
          <w:sz w:val="20"/>
          <w:szCs w:val="20"/>
        </w:rPr>
      </w:pPr>
      <w:bookmarkStart w:id="4" w:name="_heading=h.2et92p0" w:colFirst="0" w:colLast="0"/>
      <w:bookmarkEnd w:id="4"/>
      <w:r>
        <w:rPr>
          <w:rFonts w:ascii="Open Sans" w:eastAsia="Open Sans" w:hAnsi="Open Sans" w:cs="Open Sans"/>
          <w:b/>
          <w:sz w:val="28"/>
          <w:szCs w:val="28"/>
        </w:rPr>
        <w:t>III.II Objetivos específicos</w:t>
      </w:r>
    </w:p>
    <w:p w14:paraId="59E63424" w14:textId="77777777" w:rsidR="00166EDA" w:rsidRDefault="007F311A">
      <w:pPr>
        <w:numPr>
          <w:ilvl w:val="0"/>
          <w:numId w:val="2"/>
        </w:numPr>
        <w:pBdr>
          <w:top w:val="nil"/>
          <w:left w:val="nil"/>
          <w:bottom w:val="nil"/>
          <w:right w:val="nil"/>
          <w:between w:val="nil"/>
        </w:pBdr>
        <w:spacing w:after="0" w:line="360" w:lineRule="auto"/>
        <w:jc w:val="both"/>
        <w:rPr>
          <w:rFonts w:ascii="Open Sans" w:eastAsia="Open Sans" w:hAnsi="Open Sans" w:cs="Open Sans"/>
          <w:color w:val="000000"/>
          <w:sz w:val="20"/>
          <w:szCs w:val="20"/>
        </w:rPr>
      </w:pPr>
      <w:r>
        <w:rPr>
          <w:rFonts w:ascii="Open Sans" w:eastAsia="Open Sans" w:hAnsi="Open Sans" w:cs="Open Sans"/>
          <w:sz w:val="20"/>
          <w:szCs w:val="20"/>
        </w:rPr>
        <w:t>Analisar o impacto da monitoria na aprendizagem dos discentes;</w:t>
      </w:r>
    </w:p>
    <w:p w14:paraId="6F6B2C35" w14:textId="77777777" w:rsidR="00166EDA" w:rsidRDefault="007F311A">
      <w:pPr>
        <w:numPr>
          <w:ilvl w:val="0"/>
          <w:numId w:val="2"/>
        </w:numPr>
        <w:pBdr>
          <w:top w:val="nil"/>
          <w:left w:val="nil"/>
          <w:bottom w:val="nil"/>
          <w:right w:val="nil"/>
          <w:between w:val="nil"/>
        </w:pBdr>
        <w:spacing w:after="0" w:line="360" w:lineRule="auto"/>
        <w:jc w:val="both"/>
        <w:rPr>
          <w:rFonts w:ascii="Open Sans" w:eastAsia="Open Sans" w:hAnsi="Open Sans" w:cs="Open Sans"/>
          <w:sz w:val="20"/>
          <w:szCs w:val="20"/>
        </w:rPr>
      </w:pPr>
      <w:r>
        <w:rPr>
          <w:rFonts w:ascii="Open Sans" w:eastAsia="Open Sans" w:hAnsi="Open Sans" w:cs="Open Sans"/>
          <w:sz w:val="20"/>
          <w:szCs w:val="20"/>
        </w:rPr>
        <w:t>Descrever as estratégias utilizadas para facilitar o ensino;</w:t>
      </w:r>
    </w:p>
    <w:p w14:paraId="7D8BD301" w14:textId="77777777" w:rsidR="00166EDA" w:rsidRDefault="007F311A">
      <w:pPr>
        <w:numPr>
          <w:ilvl w:val="0"/>
          <w:numId w:val="2"/>
        </w:numPr>
        <w:pBdr>
          <w:top w:val="nil"/>
          <w:left w:val="nil"/>
          <w:bottom w:val="nil"/>
          <w:right w:val="nil"/>
          <w:between w:val="nil"/>
        </w:pBdr>
        <w:spacing w:after="0" w:line="360" w:lineRule="auto"/>
        <w:jc w:val="both"/>
        <w:rPr>
          <w:rFonts w:ascii="Open Sans" w:eastAsia="Open Sans" w:hAnsi="Open Sans" w:cs="Open Sans"/>
          <w:sz w:val="20"/>
          <w:szCs w:val="20"/>
        </w:rPr>
      </w:pPr>
      <w:r>
        <w:rPr>
          <w:rFonts w:ascii="Open Sans" w:eastAsia="Open Sans" w:hAnsi="Open Sans" w:cs="Open Sans"/>
          <w:sz w:val="20"/>
          <w:szCs w:val="20"/>
        </w:rPr>
        <w:t>Refletir sobre o desenvolvimento dos discentes e monitor.</w:t>
      </w:r>
    </w:p>
    <w:p w14:paraId="782AC0F9" w14:textId="77777777" w:rsidR="00166EDA" w:rsidRDefault="007F311A">
      <w:pPr>
        <w:pStyle w:val="Ttulo1"/>
        <w:numPr>
          <w:ilvl w:val="0"/>
          <w:numId w:val="1"/>
        </w:numPr>
        <w:spacing w:line="360" w:lineRule="auto"/>
        <w:ind w:left="1" w:hanging="3"/>
        <w:rPr>
          <w:rFonts w:ascii="Open Sans" w:eastAsia="Open Sans" w:hAnsi="Open Sans" w:cs="Open Sans"/>
          <w:b/>
          <w:sz w:val="28"/>
          <w:szCs w:val="28"/>
        </w:rPr>
      </w:pPr>
      <w:bookmarkStart w:id="5" w:name="_heading=h.tyjcwt" w:colFirst="0" w:colLast="0"/>
      <w:bookmarkEnd w:id="5"/>
      <w:r>
        <w:rPr>
          <w:rFonts w:ascii="Open Sans" w:eastAsia="Open Sans" w:hAnsi="Open Sans" w:cs="Open Sans"/>
          <w:b/>
          <w:sz w:val="28"/>
          <w:szCs w:val="28"/>
        </w:rPr>
        <w:t>Material e Métodos</w:t>
      </w:r>
    </w:p>
    <w:p w14:paraId="1B3A1B27" w14:textId="358D5294" w:rsidR="00166EDA" w:rsidRDefault="007F311A">
      <w:pPr>
        <w:spacing w:after="0" w:line="360" w:lineRule="auto"/>
        <w:ind w:firstLine="708"/>
        <w:jc w:val="both"/>
        <w:rPr>
          <w:rFonts w:ascii="Open Sans" w:eastAsia="Open Sans" w:hAnsi="Open Sans" w:cs="Open Sans"/>
          <w:sz w:val="20"/>
          <w:szCs w:val="20"/>
        </w:rPr>
      </w:pPr>
      <w:r>
        <w:rPr>
          <w:rFonts w:ascii="Open Sans" w:eastAsia="Open Sans" w:hAnsi="Open Sans" w:cs="Open Sans"/>
          <w:sz w:val="20"/>
          <w:szCs w:val="20"/>
        </w:rPr>
        <w:t xml:space="preserve">As atividades de monitoria das disciplinas de Cálculo I, Química Geral e Histologia e Embriologia, contava, cada uma, com a participação de em média 20 estudantes, pertencentes ao 1º e 2º período do curso de Zootecnia, </w:t>
      </w:r>
      <w:r w:rsidR="00631E92">
        <w:rPr>
          <w:rFonts w:ascii="Open Sans" w:eastAsia="Open Sans" w:hAnsi="Open Sans" w:cs="Open Sans"/>
          <w:sz w:val="20"/>
          <w:szCs w:val="20"/>
        </w:rPr>
        <w:t>d</w:t>
      </w:r>
      <w:r>
        <w:rPr>
          <w:rFonts w:ascii="Open Sans" w:eastAsia="Open Sans" w:hAnsi="Open Sans" w:cs="Open Sans"/>
          <w:sz w:val="20"/>
          <w:szCs w:val="20"/>
        </w:rPr>
        <w:t xml:space="preserve">o Centro de Ciências Agrárias (CCA), da UFNT (Figura 1). </w:t>
      </w:r>
    </w:p>
    <w:p w14:paraId="1F30630A" w14:textId="77777777" w:rsidR="00166EDA" w:rsidRDefault="007F311A">
      <w:pPr>
        <w:spacing w:after="0" w:line="360" w:lineRule="auto"/>
        <w:ind w:hanging="2"/>
        <w:jc w:val="both"/>
        <w:rPr>
          <w:rFonts w:ascii="Open Sans" w:eastAsia="Open Sans" w:hAnsi="Open Sans" w:cs="Open Sans"/>
          <w:sz w:val="20"/>
          <w:szCs w:val="20"/>
        </w:rPr>
      </w:pPr>
      <w:r>
        <w:rPr>
          <w:rFonts w:ascii="Open Sans" w:eastAsia="Open Sans" w:hAnsi="Open Sans" w:cs="Open Sans"/>
          <w:b/>
          <w:sz w:val="20"/>
          <w:szCs w:val="20"/>
        </w:rPr>
        <w:t xml:space="preserve">Figura 1. </w:t>
      </w:r>
      <w:r>
        <w:rPr>
          <w:rFonts w:ascii="Open Sans" w:eastAsia="Open Sans" w:hAnsi="Open Sans" w:cs="Open Sans"/>
          <w:sz w:val="20"/>
          <w:szCs w:val="20"/>
        </w:rPr>
        <w:t>(a) Monitoria de Histologia e Embriologia; (b) Monitoria de Química Geral; (c) Monitoria de Cálculo I.</w:t>
      </w:r>
    </w:p>
    <w:p w14:paraId="1E542F22" w14:textId="77777777" w:rsidR="00166EDA" w:rsidRDefault="007F311A">
      <w:pPr>
        <w:spacing w:after="0" w:line="240" w:lineRule="auto"/>
        <w:ind w:hanging="2"/>
        <w:jc w:val="center"/>
        <w:rPr>
          <w:rFonts w:ascii="Open Sans" w:eastAsia="Open Sans" w:hAnsi="Open Sans" w:cs="Open Sans"/>
          <w:sz w:val="20"/>
          <w:szCs w:val="20"/>
        </w:rPr>
      </w:pPr>
      <w:r>
        <w:rPr>
          <w:rFonts w:ascii="Open Sans" w:eastAsia="Open Sans" w:hAnsi="Open Sans" w:cs="Open Sans"/>
          <w:noProof/>
          <w:sz w:val="20"/>
          <w:szCs w:val="20"/>
        </w:rPr>
        <w:lastRenderedPageBreak/>
        <w:drawing>
          <wp:inline distT="114300" distB="114300" distL="114300" distR="114300" wp14:anchorId="4ACBC448" wp14:editId="0635E988">
            <wp:extent cx="2594532" cy="1257655"/>
            <wp:effectExtent l="25400" t="25400" r="25400" b="2540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594532" cy="1257655"/>
                    </a:xfrm>
                    <a:prstGeom prst="rect">
                      <a:avLst/>
                    </a:prstGeom>
                    <a:ln w="25400">
                      <a:solidFill>
                        <a:srgbClr val="000000"/>
                      </a:solidFill>
                      <a:prstDash val="solid"/>
                    </a:ln>
                  </pic:spPr>
                </pic:pic>
              </a:graphicData>
            </a:graphic>
          </wp:inline>
        </w:drawing>
      </w:r>
      <w:r>
        <w:rPr>
          <w:rFonts w:ascii="Open Sans" w:eastAsia="Open Sans" w:hAnsi="Open Sans" w:cs="Open Sans"/>
          <w:noProof/>
          <w:sz w:val="20"/>
          <w:szCs w:val="20"/>
        </w:rPr>
        <w:drawing>
          <wp:inline distT="114300" distB="114300" distL="114300" distR="114300" wp14:anchorId="5D4CC50B" wp14:editId="65303180">
            <wp:extent cx="2514864" cy="1267180"/>
            <wp:effectExtent l="25400" t="25400" r="25400" b="2540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514864" cy="1267180"/>
                    </a:xfrm>
                    <a:prstGeom prst="rect">
                      <a:avLst/>
                    </a:prstGeom>
                    <a:ln w="25400">
                      <a:solidFill>
                        <a:srgbClr val="000000"/>
                      </a:solidFill>
                      <a:prstDash val="solid"/>
                    </a:ln>
                  </pic:spPr>
                </pic:pic>
              </a:graphicData>
            </a:graphic>
          </wp:inline>
        </w:drawing>
      </w:r>
      <w:r>
        <w:rPr>
          <w:rFonts w:ascii="Open Sans" w:eastAsia="Open Sans" w:hAnsi="Open Sans" w:cs="Open Sans"/>
          <w:noProof/>
          <w:sz w:val="20"/>
          <w:szCs w:val="20"/>
        </w:rPr>
        <w:drawing>
          <wp:inline distT="114300" distB="114300" distL="114300" distR="114300" wp14:anchorId="04E7FB08" wp14:editId="52961B3A">
            <wp:extent cx="2344103" cy="1327084"/>
            <wp:effectExtent l="25400" t="25400" r="25400" b="2540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344103" cy="1327084"/>
                    </a:xfrm>
                    <a:prstGeom prst="rect">
                      <a:avLst/>
                    </a:prstGeom>
                    <a:ln w="25400">
                      <a:solidFill>
                        <a:srgbClr val="000000"/>
                      </a:solidFill>
                      <a:prstDash val="solid"/>
                    </a:ln>
                  </pic:spPr>
                </pic:pic>
              </a:graphicData>
            </a:graphic>
          </wp:inline>
        </w:drawing>
      </w:r>
    </w:p>
    <w:p w14:paraId="1EA0DD2E" w14:textId="77777777" w:rsidR="00166EDA" w:rsidRDefault="00166EDA">
      <w:pPr>
        <w:spacing w:after="0" w:line="240" w:lineRule="auto"/>
        <w:ind w:hanging="2"/>
        <w:jc w:val="center"/>
        <w:rPr>
          <w:rFonts w:ascii="Open Sans" w:eastAsia="Open Sans" w:hAnsi="Open Sans" w:cs="Open Sans"/>
          <w:sz w:val="20"/>
          <w:szCs w:val="20"/>
        </w:rPr>
      </w:pPr>
    </w:p>
    <w:p w14:paraId="1C51FF89" w14:textId="77777777" w:rsidR="00166EDA" w:rsidRDefault="007F311A">
      <w:pPr>
        <w:spacing w:after="0" w:line="360" w:lineRule="auto"/>
        <w:ind w:firstLine="708"/>
        <w:jc w:val="both"/>
        <w:rPr>
          <w:rFonts w:ascii="Open Sans" w:eastAsia="Open Sans" w:hAnsi="Open Sans" w:cs="Open Sans"/>
        </w:rPr>
      </w:pPr>
      <w:r>
        <w:rPr>
          <w:rFonts w:ascii="Open Sans" w:eastAsia="Open Sans" w:hAnsi="Open Sans" w:cs="Open Sans"/>
          <w:sz w:val="20"/>
          <w:szCs w:val="20"/>
        </w:rPr>
        <w:t>As atribuições ocorriam ao decorrer da semana com dias e horários fixos, realizadas em dias úteis durante o intervalo de almoço dos discentes (Quadro 1)</w:t>
      </w:r>
      <w:r>
        <w:t>.</w:t>
      </w:r>
    </w:p>
    <w:p w14:paraId="10C4EBBC" w14:textId="77777777" w:rsidR="00166EDA" w:rsidRDefault="007F311A">
      <w:pPr>
        <w:spacing w:after="0" w:line="360" w:lineRule="auto"/>
        <w:ind w:hanging="2"/>
        <w:jc w:val="both"/>
        <w:rPr>
          <w:rFonts w:ascii="Open Sans" w:eastAsia="Open Sans" w:hAnsi="Open Sans" w:cs="Open Sans"/>
          <w:sz w:val="20"/>
          <w:szCs w:val="20"/>
        </w:rPr>
      </w:pPr>
      <w:r>
        <w:rPr>
          <w:rFonts w:ascii="Open Sans" w:eastAsia="Open Sans" w:hAnsi="Open Sans" w:cs="Open Sans"/>
          <w:b/>
          <w:sz w:val="20"/>
          <w:szCs w:val="20"/>
        </w:rPr>
        <w:t>Quadro 1.</w:t>
      </w:r>
      <w:r>
        <w:rPr>
          <w:rFonts w:ascii="Open Sans" w:eastAsia="Open Sans" w:hAnsi="Open Sans" w:cs="Open Sans"/>
          <w:sz w:val="20"/>
          <w:szCs w:val="20"/>
        </w:rPr>
        <w:t xml:space="preserve"> Horários das monitorias.</w:t>
      </w:r>
    </w:p>
    <w:tbl>
      <w:tblPr>
        <w:tblStyle w:val="a0"/>
        <w:tblW w:w="85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4"/>
        <w:gridCol w:w="2835"/>
        <w:gridCol w:w="2835"/>
      </w:tblGrid>
      <w:tr w:rsidR="00166EDA" w14:paraId="7EF3677E" w14:textId="77777777">
        <w:tc>
          <w:tcPr>
            <w:tcW w:w="2834" w:type="dxa"/>
            <w:shd w:val="clear" w:color="auto" w:fill="auto"/>
            <w:tcMar>
              <w:top w:w="100" w:type="dxa"/>
              <w:left w:w="100" w:type="dxa"/>
              <w:bottom w:w="100" w:type="dxa"/>
              <w:right w:w="100" w:type="dxa"/>
            </w:tcMar>
          </w:tcPr>
          <w:p w14:paraId="6D945147" w14:textId="77777777" w:rsidR="00166EDA" w:rsidRDefault="007F311A">
            <w:pPr>
              <w:widowControl w:val="0"/>
              <w:pBdr>
                <w:top w:val="nil"/>
                <w:left w:val="nil"/>
                <w:bottom w:val="nil"/>
                <w:right w:val="nil"/>
                <w:between w:val="nil"/>
              </w:pBdr>
              <w:spacing w:after="0" w:line="240" w:lineRule="auto"/>
              <w:jc w:val="both"/>
              <w:rPr>
                <w:rFonts w:ascii="Open Sans" w:eastAsia="Open Sans" w:hAnsi="Open Sans" w:cs="Open Sans"/>
                <w:b/>
                <w:sz w:val="20"/>
                <w:szCs w:val="20"/>
              </w:rPr>
            </w:pPr>
            <w:r>
              <w:rPr>
                <w:rFonts w:ascii="Open Sans" w:eastAsia="Open Sans" w:hAnsi="Open Sans" w:cs="Open Sans"/>
                <w:b/>
                <w:sz w:val="20"/>
                <w:szCs w:val="20"/>
              </w:rPr>
              <w:t>Disciplina</w:t>
            </w:r>
          </w:p>
        </w:tc>
        <w:tc>
          <w:tcPr>
            <w:tcW w:w="2835" w:type="dxa"/>
            <w:shd w:val="clear" w:color="auto" w:fill="auto"/>
            <w:tcMar>
              <w:top w:w="100" w:type="dxa"/>
              <w:left w:w="100" w:type="dxa"/>
              <w:bottom w:w="100" w:type="dxa"/>
              <w:right w:w="100" w:type="dxa"/>
            </w:tcMar>
          </w:tcPr>
          <w:p w14:paraId="6DFF03A8" w14:textId="77777777" w:rsidR="00166EDA" w:rsidRDefault="007F311A">
            <w:pPr>
              <w:widowControl w:val="0"/>
              <w:pBdr>
                <w:top w:val="nil"/>
                <w:left w:val="nil"/>
                <w:bottom w:val="nil"/>
                <w:right w:val="nil"/>
                <w:between w:val="nil"/>
              </w:pBdr>
              <w:spacing w:after="0" w:line="240" w:lineRule="auto"/>
              <w:jc w:val="both"/>
              <w:rPr>
                <w:rFonts w:ascii="Open Sans" w:eastAsia="Open Sans" w:hAnsi="Open Sans" w:cs="Open Sans"/>
                <w:b/>
                <w:sz w:val="20"/>
                <w:szCs w:val="20"/>
              </w:rPr>
            </w:pPr>
            <w:r>
              <w:rPr>
                <w:rFonts w:ascii="Open Sans" w:eastAsia="Open Sans" w:hAnsi="Open Sans" w:cs="Open Sans"/>
                <w:b/>
                <w:sz w:val="20"/>
                <w:szCs w:val="20"/>
              </w:rPr>
              <w:t>Dia</w:t>
            </w:r>
          </w:p>
        </w:tc>
        <w:tc>
          <w:tcPr>
            <w:tcW w:w="2835" w:type="dxa"/>
            <w:shd w:val="clear" w:color="auto" w:fill="auto"/>
            <w:tcMar>
              <w:top w:w="100" w:type="dxa"/>
              <w:left w:w="100" w:type="dxa"/>
              <w:bottom w:w="100" w:type="dxa"/>
              <w:right w:w="100" w:type="dxa"/>
            </w:tcMar>
          </w:tcPr>
          <w:p w14:paraId="6B3C2F67" w14:textId="77777777" w:rsidR="00166EDA" w:rsidRDefault="007F311A">
            <w:pPr>
              <w:widowControl w:val="0"/>
              <w:pBdr>
                <w:top w:val="nil"/>
                <w:left w:val="nil"/>
                <w:bottom w:val="nil"/>
                <w:right w:val="nil"/>
                <w:between w:val="nil"/>
              </w:pBdr>
              <w:spacing w:after="0" w:line="240" w:lineRule="auto"/>
              <w:jc w:val="both"/>
              <w:rPr>
                <w:rFonts w:ascii="Open Sans" w:eastAsia="Open Sans" w:hAnsi="Open Sans" w:cs="Open Sans"/>
                <w:b/>
                <w:sz w:val="20"/>
                <w:szCs w:val="20"/>
              </w:rPr>
            </w:pPr>
            <w:r>
              <w:rPr>
                <w:rFonts w:ascii="Open Sans" w:eastAsia="Open Sans" w:hAnsi="Open Sans" w:cs="Open Sans"/>
                <w:b/>
                <w:sz w:val="20"/>
                <w:szCs w:val="20"/>
              </w:rPr>
              <w:t>Horário</w:t>
            </w:r>
          </w:p>
        </w:tc>
      </w:tr>
      <w:tr w:rsidR="00166EDA" w14:paraId="5C321A06" w14:textId="77777777">
        <w:tc>
          <w:tcPr>
            <w:tcW w:w="2834" w:type="dxa"/>
            <w:shd w:val="clear" w:color="auto" w:fill="auto"/>
            <w:tcMar>
              <w:top w:w="100" w:type="dxa"/>
              <w:left w:w="100" w:type="dxa"/>
              <w:bottom w:w="100" w:type="dxa"/>
              <w:right w:w="100" w:type="dxa"/>
            </w:tcMar>
          </w:tcPr>
          <w:p w14:paraId="5AD64E53" w14:textId="77777777" w:rsidR="00166EDA" w:rsidRDefault="007F311A">
            <w:pPr>
              <w:widowControl w:val="0"/>
              <w:pBdr>
                <w:top w:val="nil"/>
                <w:left w:val="nil"/>
                <w:bottom w:val="nil"/>
                <w:right w:val="nil"/>
                <w:between w:val="nil"/>
              </w:pBdr>
              <w:spacing w:after="0" w:line="240" w:lineRule="auto"/>
              <w:jc w:val="both"/>
              <w:rPr>
                <w:rFonts w:ascii="Open Sans" w:eastAsia="Open Sans" w:hAnsi="Open Sans" w:cs="Open Sans"/>
                <w:sz w:val="20"/>
                <w:szCs w:val="20"/>
              </w:rPr>
            </w:pPr>
            <w:r>
              <w:rPr>
                <w:rFonts w:ascii="Open Sans" w:eastAsia="Open Sans" w:hAnsi="Open Sans" w:cs="Open Sans"/>
                <w:sz w:val="20"/>
                <w:szCs w:val="20"/>
              </w:rPr>
              <w:t>Cálculo I</w:t>
            </w:r>
          </w:p>
        </w:tc>
        <w:tc>
          <w:tcPr>
            <w:tcW w:w="2835" w:type="dxa"/>
            <w:shd w:val="clear" w:color="auto" w:fill="auto"/>
            <w:tcMar>
              <w:top w:w="100" w:type="dxa"/>
              <w:left w:w="100" w:type="dxa"/>
              <w:bottom w:w="100" w:type="dxa"/>
              <w:right w:w="100" w:type="dxa"/>
            </w:tcMar>
          </w:tcPr>
          <w:p w14:paraId="6A87A23D" w14:textId="77777777" w:rsidR="00166EDA" w:rsidRDefault="007F311A">
            <w:pPr>
              <w:widowControl w:val="0"/>
              <w:pBdr>
                <w:top w:val="nil"/>
                <w:left w:val="nil"/>
                <w:bottom w:val="nil"/>
                <w:right w:val="nil"/>
                <w:between w:val="nil"/>
              </w:pBdr>
              <w:spacing w:after="0" w:line="240" w:lineRule="auto"/>
              <w:jc w:val="both"/>
              <w:rPr>
                <w:rFonts w:ascii="Open Sans" w:eastAsia="Open Sans" w:hAnsi="Open Sans" w:cs="Open Sans"/>
                <w:sz w:val="20"/>
                <w:szCs w:val="20"/>
              </w:rPr>
            </w:pPr>
            <w:r>
              <w:rPr>
                <w:rFonts w:ascii="Open Sans" w:eastAsia="Open Sans" w:hAnsi="Open Sans" w:cs="Open Sans"/>
                <w:sz w:val="20"/>
                <w:szCs w:val="20"/>
              </w:rPr>
              <w:t>Segunda - feira</w:t>
            </w:r>
          </w:p>
        </w:tc>
        <w:tc>
          <w:tcPr>
            <w:tcW w:w="2835" w:type="dxa"/>
            <w:shd w:val="clear" w:color="auto" w:fill="auto"/>
            <w:tcMar>
              <w:top w:w="100" w:type="dxa"/>
              <w:left w:w="100" w:type="dxa"/>
              <w:bottom w:w="100" w:type="dxa"/>
              <w:right w:w="100" w:type="dxa"/>
            </w:tcMar>
          </w:tcPr>
          <w:p w14:paraId="7067E110" w14:textId="77777777" w:rsidR="00166EDA" w:rsidRDefault="007F311A">
            <w:pPr>
              <w:widowControl w:val="0"/>
              <w:pBdr>
                <w:top w:val="nil"/>
                <w:left w:val="nil"/>
                <w:bottom w:val="nil"/>
                <w:right w:val="nil"/>
                <w:between w:val="nil"/>
              </w:pBdr>
              <w:spacing w:after="0" w:line="240" w:lineRule="auto"/>
              <w:jc w:val="both"/>
              <w:rPr>
                <w:rFonts w:ascii="Open Sans" w:eastAsia="Open Sans" w:hAnsi="Open Sans" w:cs="Open Sans"/>
                <w:sz w:val="20"/>
                <w:szCs w:val="20"/>
              </w:rPr>
            </w:pPr>
            <w:r>
              <w:rPr>
                <w:rFonts w:ascii="Open Sans" w:eastAsia="Open Sans" w:hAnsi="Open Sans" w:cs="Open Sans"/>
                <w:sz w:val="20"/>
                <w:szCs w:val="20"/>
              </w:rPr>
              <w:t>12:00 às 14:00 horas</w:t>
            </w:r>
          </w:p>
        </w:tc>
      </w:tr>
      <w:tr w:rsidR="00166EDA" w14:paraId="3BC0DCE3" w14:textId="77777777">
        <w:tc>
          <w:tcPr>
            <w:tcW w:w="2834" w:type="dxa"/>
            <w:shd w:val="clear" w:color="auto" w:fill="auto"/>
            <w:tcMar>
              <w:top w:w="100" w:type="dxa"/>
              <w:left w:w="100" w:type="dxa"/>
              <w:bottom w:w="100" w:type="dxa"/>
              <w:right w:w="100" w:type="dxa"/>
            </w:tcMar>
          </w:tcPr>
          <w:p w14:paraId="091D31B9" w14:textId="77777777" w:rsidR="00166EDA" w:rsidRDefault="007F311A">
            <w:pPr>
              <w:widowControl w:val="0"/>
              <w:pBdr>
                <w:top w:val="nil"/>
                <w:left w:val="nil"/>
                <w:bottom w:val="nil"/>
                <w:right w:val="nil"/>
                <w:between w:val="nil"/>
              </w:pBdr>
              <w:spacing w:after="0" w:line="240" w:lineRule="auto"/>
              <w:jc w:val="both"/>
              <w:rPr>
                <w:rFonts w:ascii="Open Sans" w:eastAsia="Open Sans" w:hAnsi="Open Sans" w:cs="Open Sans"/>
                <w:sz w:val="20"/>
                <w:szCs w:val="20"/>
              </w:rPr>
            </w:pPr>
            <w:r>
              <w:rPr>
                <w:rFonts w:ascii="Open Sans" w:eastAsia="Open Sans" w:hAnsi="Open Sans" w:cs="Open Sans"/>
                <w:sz w:val="20"/>
                <w:szCs w:val="20"/>
              </w:rPr>
              <w:t>Química Geral</w:t>
            </w:r>
          </w:p>
        </w:tc>
        <w:tc>
          <w:tcPr>
            <w:tcW w:w="2835" w:type="dxa"/>
            <w:shd w:val="clear" w:color="auto" w:fill="auto"/>
            <w:tcMar>
              <w:top w:w="100" w:type="dxa"/>
              <w:left w:w="100" w:type="dxa"/>
              <w:bottom w:w="100" w:type="dxa"/>
              <w:right w:w="100" w:type="dxa"/>
            </w:tcMar>
          </w:tcPr>
          <w:p w14:paraId="40093C02" w14:textId="77777777" w:rsidR="00166EDA" w:rsidRDefault="007F311A">
            <w:pPr>
              <w:widowControl w:val="0"/>
              <w:pBdr>
                <w:top w:val="nil"/>
                <w:left w:val="nil"/>
                <w:bottom w:val="nil"/>
                <w:right w:val="nil"/>
                <w:between w:val="nil"/>
              </w:pBdr>
              <w:spacing w:after="0" w:line="240" w:lineRule="auto"/>
              <w:jc w:val="both"/>
              <w:rPr>
                <w:rFonts w:ascii="Open Sans" w:eastAsia="Open Sans" w:hAnsi="Open Sans" w:cs="Open Sans"/>
                <w:sz w:val="20"/>
                <w:szCs w:val="20"/>
              </w:rPr>
            </w:pPr>
            <w:r>
              <w:rPr>
                <w:rFonts w:ascii="Open Sans" w:eastAsia="Open Sans" w:hAnsi="Open Sans" w:cs="Open Sans"/>
                <w:sz w:val="20"/>
                <w:szCs w:val="20"/>
              </w:rPr>
              <w:t xml:space="preserve">Quinta-feira </w:t>
            </w:r>
          </w:p>
        </w:tc>
        <w:tc>
          <w:tcPr>
            <w:tcW w:w="2835" w:type="dxa"/>
            <w:shd w:val="clear" w:color="auto" w:fill="auto"/>
            <w:tcMar>
              <w:top w:w="100" w:type="dxa"/>
              <w:left w:w="100" w:type="dxa"/>
              <w:bottom w:w="100" w:type="dxa"/>
              <w:right w:w="100" w:type="dxa"/>
            </w:tcMar>
          </w:tcPr>
          <w:p w14:paraId="3D4FDC3D" w14:textId="77777777" w:rsidR="00166EDA" w:rsidRDefault="007F311A">
            <w:pPr>
              <w:widowControl w:val="0"/>
              <w:pBdr>
                <w:top w:val="nil"/>
                <w:left w:val="nil"/>
                <w:bottom w:val="nil"/>
                <w:right w:val="nil"/>
                <w:between w:val="nil"/>
              </w:pBdr>
              <w:spacing w:after="0" w:line="240" w:lineRule="auto"/>
              <w:jc w:val="both"/>
              <w:rPr>
                <w:rFonts w:ascii="Open Sans" w:eastAsia="Open Sans" w:hAnsi="Open Sans" w:cs="Open Sans"/>
                <w:sz w:val="20"/>
                <w:szCs w:val="20"/>
              </w:rPr>
            </w:pPr>
            <w:r>
              <w:rPr>
                <w:rFonts w:ascii="Open Sans" w:eastAsia="Open Sans" w:hAnsi="Open Sans" w:cs="Open Sans"/>
                <w:sz w:val="20"/>
                <w:szCs w:val="20"/>
              </w:rPr>
              <w:t>12:30 às 14:00 horas</w:t>
            </w:r>
          </w:p>
        </w:tc>
      </w:tr>
      <w:tr w:rsidR="00166EDA" w14:paraId="3F0BDEDE" w14:textId="77777777">
        <w:tc>
          <w:tcPr>
            <w:tcW w:w="2834" w:type="dxa"/>
            <w:shd w:val="clear" w:color="auto" w:fill="auto"/>
            <w:tcMar>
              <w:top w:w="100" w:type="dxa"/>
              <w:left w:w="100" w:type="dxa"/>
              <w:bottom w:w="100" w:type="dxa"/>
              <w:right w:w="100" w:type="dxa"/>
            </w:tcMar>
          </w:tcPr>
          <w:p w14:paraId="70E6CA4D" w14:textId="77777777" w:rsidR="00166EDA" w:rsidRDefault="007F311A">
            <w:pPr>
              <w:widowControl w:val="0"/>
              <w:pBdr>
                <w:top w:val="nil"/>
                <w:left w:val="nil"/>
                <w:bottom w:val="nil"/>
                <w:right w:val="nil"/>
                <w:between w:val="nil"/>
              </w:pBdr>
              <w:spacing w:after="0" w:line="240" w:lineRule="auto"/>
              <w:jc w:val="both"/>
              <w:rPr>
                <w:rFonts w:ascii="Open Sans" w:eastAsia="Open Sans" w:hAnsi="Open Sans" w:cs="Open Sans"/>
                <w:sz w:val="20"/>
                <w:szCs w:val="20"/>
              </w:rPr>
            </w:pPr>
            <w:r>
              <w:rPr>
                <w:rFonts w:ascii="Open Sans" w:eastAsia="Open Sans" w:hAnsi="Open Sans" w:cs="Open Sans"/>
                <w:sz w:val="20"/>
                <w:szCs w:val="20"/>
              </w:rPr>
              <w:t>Histologia e Embriologia</w:t>
            </w:r>
          </w:p>
        </w:tc>
        <w:tc>
          <w:tcPr>
            <w:tcW w:w="2835" w:type="dxa"/>
            <w:shd w:val="clear" w:color="auto" w:fill="auto"/>
            <w:tcMar>
              <w:top w:w="100" w:type="dxa"/>
              <w:left w:w="100" w:type="dxa"/>
              <w:bottom w:w="100" w:type="dxa"/>
              <w:right w:w="100" w:type="dxa"/>
            </w:tcMar>
          </w:tcPr>
          <w:p w14:paraId="60EBE402" w14:textId="77777777" w:rsidR="00166EDA" w:rsidRDefault="007F311A">
            <w:pPr>
              <w:widowControl w:val="0"/>
              <w:pBdr>
                <w:top w:val="nil"/>
                <w:left w:val="nil"/>
                <w:bottom w:val="nil"/>
                <w:right w:val="nil"/>
                <w:between w:val="nil"/>
              </w:pBdr>
              <w:spacing w:after="0" w:line="240" w:lineRule="auto"/>
              <w:jc w:val="both"/>
              <w:rPr>
                <w:rFonts w:ascii="Open Sans" w:eastAsia="Open Sans" w:hAnsi="Open Sans" w:cs="Open Sans"/>
                <w:sz w:val="20"/>
                <w:szCs w:val="20"/>
              </w:rPr>
            </w:pPr>
            <w:r>
              <w:rPr>
                <w:rFonts w:ascii="Open Sans" w:eastAsia="Open Sans" w:hAnsi="Open Sans" w:cs="Open Sans"/>
                <w:sz w:val="20"/>
                <w:szCs w:val="20"/>
              </w:rPr>
              <w:t>Segunda - feira</w:t>
            </w:r>
          </w:p>
        </w:tc>
        <w:tc>
          <w:tcPr>
            <w:tcW w:w="2835" w:type="dxa"/>
            <w:shd w:val="clear" w:color="auto" w:fill="auto"/>
            <w:tcMar>
              <w:top w:w="100" w:type="dxa"/>
              <w:left w:w="100" w:type="dxa"/>
              <w:bottom w:w="100" w:type="dxa"/>
              <w:right w:w="100" w:type="dxa"/>
            </w:tcMar>
          </w:tcPr>
          <w:p w14:paraId="5496FA44" w14:textId="77777777" w:rsidR="00166EDA" w:rsidRDefault="007F311A">
            <w:pPr>
              <w:widowControl w:val="0"/>
              <w:pBdr>
                <w:top w:val="nil"/>
                <w:left w:val="nil"/>
                <w:bottom w:val="nil"/>
                <w:right w:val="nil"/>
                <w:between w:val="nil"/>
              </w:pBdr>
              <w:spacing w:after="0" w:line="240" w:lineRule="auto"/>
              <w:jc w:val="both"/>
              <w:rPr>
                <w:rFonts w:ascii="Open Sans" w:eastAsia="Open Sans" w:hAnsi="Open Sans" w:cs="Open Sans"/>
                <w:sz w:val="20"/>
                <w:szCs w:val="20"/>
              </w:rPr>
            </w:pPr>
            <w:r>
              <w:rPr>
                <w:rFonts w:ascii="Open Sans" w:eastAsia="Open Sans" w:hAnsi="Open Sans" w:cs="Open Sans"/>
                <w:sz w:val="20"/>
                <w:szCs w:val="20"/>
              </w:rPr>
              <w:t>12:30 às 14:00 horas</w:t>
            </w:r>
          </w:p>
        </w:tc>
      </w:tr>
    </w:tbl>
    <w:p w14:paraId="4571AE29" w14:textId="77777777" w:rsidR="00166EDA" w:rsidRDefault="00166EDA">
      <w:pPr>
        <w:spacing w:after="0" w:line="360" w:lineRule="auto"/>
        <w:jc w:val="both"/>
        <w:rPr>
          <w:rFonts w:ascii="Open Sans" w:eastAsia="Open Sans" w:hAnsi="Open Sans" w:cs="Open Sans"/>
          <w:sz w:val="20"/>
          <w:szCs w:val="20"/>
        </w:rPr>
      </w:pPr>
    </w:p>
    <w:p w14:paraId="3533279F" w14:textId="77777777" w:rsidR="00166EDA" w:rsidRDefault="007F311A">
      <w:pPr>
        <w:spacing w:after="0" w:line="360" w:lineRule="auto"/>
        <w:ind w:firstLine="708"/>
        <w:jc w:val="both"/>
        <w:rPr>
          <w:rFonts w:ascii="Open Sans" w:eastAsia="Open Sans" w:hAnsi="Open Sans" w:cs="Open Sans"/>
          <w:sz w:val="20"/>
          <w:szCs w:val="20"/>
        </w:rPr>
      </w:pPr>
      <w:r>
        <w:rPr>
          <w:rFonts w:ascii="Open Sans" w:eastAsia="Open Sans" w:hAnsi="Open Sans" w:cs="Open Sans"/>
          <w:sz w:val="20"/>
          <w:szCs w:val="20"/>
        </w:rPr>
        <w:t xml:space="preserve">Para elaboração dos materiais didáticos e monitorias, foram utilizados recursos tecnológicos, como </w:t>
      </w:r>
      <w:r w:rsidRPr="00982C5E">
        <w:rPr>
          <w:rFonts w:ascii="Open Sans" w:eastAsia="Open Sans" w:hAnsi="Open Sans" w:cs="Open Sans"/>
          <w:i/>
          <w:iCs/>
          <w:sz w:val="20"/>
          <w:szCs w:val="20"/>
        </w:rPr>
        <w:t>Google Sala de Aula</w:t>
      </w:r>
      <w:r>
        <w:rPr>
          <w:rFonts w:ascii="Open Sans" w:eastAsia="Open Sans" w:hAnsi="Open Sans" w:cs="Open Sans"/>
          <w:sz w:val="20"/>
          <w:szCs w:val="20"/>
        </w:rPr>
        <w:t xml:space="preserve">, </w:t>
      </w:r>
      <w:r w:rsidRPr="00982C5E">
        <w:rPr>
          <w:rFonts w:ascii="Open Sans" w:eastAsia="Open Sans" w:hAnsi="Open Sans" w:cs="Open Sans"/>
          <w:i/>
          <w:iCs/>
          <w:sz w:val="20"/>
          <w:szCs w:val="20"/>
        </w:rPr>
        <w:t>Google Meet</w:t>
      </w:r>
      <w:r>
        <w:rPr>
          <w:rFonts w:ascii="Open Sans" w:eastAsia="Open Sans" w:hAnsi="Open Sans" w:cs="Open Sans"/>
          <w:sz w:val="20"/>
          <w:szCs w:val="20"/>
        </w:rPr>
        <w:t xml:space="preserve">, </w:t>
      </w:r>
      <w:r w:rsidRPr="00982C5E">
        <w:rPr>
          <w:rFonts w:ascii="Open Sans" w:eastAsia="Open Sans" w:hAnsi="Open Sans" w:cs="Open Sans"/>
          <w:i/>
          <w:iCs/>
          <w:sz w:val="20"/>
          <w:szCs w:val="20"/>
        </w:rPr>
        <w:t>WhatsApp</w:t>
      </w:r>
      <w:r>
        <w:rPr>
          <w:rFonts w:ascii="Open Sans" w:eastAsia="Open Sans" w:hAnsi="Open Sans" w:cs="Open Sans"/>
          <w:sz w:val="20"/>
          <w:szCs w:val="20"/>
        </w:rPr>
        <w:t>,</w:t>
      </w:r>
      <w:r w:rsidRPr="00982C5E">
        <w:rPr>
          <w:rFonts w:ascii="Open Sans" w:eastAsia="Open Sans" w:hAnsi="Open Sans" w:cs="Open Sans"/>
          <w:i/>
          <w:iCs/>
          <w:sz w:val="20"/>
          <w:szCs w:val="20"/>
        </w:rPr>
        <w:t xml:space="preserve"> Instagram</w:t>
      </w:r>
      <w:r>
        <w:rPr>
          <w:rFonts w:ascii="Open Sans" w:eastAsia="Open Sans" w:hAnsi="Open Sans" w:cs="Open Sans"/>
          <w:sz w:val="20"/>
          <w:szCs w:val="20"/>
        </w:rPr>
        <w:t xml:space="preserve"> e </w:t>
      </w:r>
      <w:proofErr w:type="spellStart"/>
      <w:r w:rsidRPr="00982C5E">
        <w:rPr>
          <w:rFonts w:ascii="Open Sans" w:eastAsia="Open Sans" w:hAnsi="Open Sans" w:cs="Open Sans"/>
          <w:i/>
          <w:iCs/>
          <w:sz w:val="20"/>
          <w:szCs w:val="20"/>
        </w:rPr>
        <w:t>Canva</w:t>
      </w:r>
      <w:proofErr w:type="spellEnd"/>
      <w:r>
        <w:rPr>
          <w:rFonts w:ascii="Open Sans" w:eastAsia="Open Sans" w:hAnsi="Open Sans" w:cs="Open Sans"/>
          <w:sz w:val="20"/>
          <w:szCs w:val="20"/>
        </w:rPr>
        <w:t xml:space="preserve">, que serviram para desenvolver atividades </w:t>
      </w:r>
      <w:r w:rsidRPr="00982C5E">
        <w:rPr>
          <w:rFonts w:ascii="Open Sans" w:eastAsia="Open Sans" w:hAnsi="Open Sans" w:cs="Open Sans"/>
          <w:i/>
          <w:iCs/>
          <w:sz w:val="20"/>
          <w:szCs w:val="20"/>
        </w:rPr>
        <w:t>online</w:t>
      </w:r>
      <w:r>
        <w:rPr>
          <w:rFonts w:ascii="Open Sans" w:eastAsia="Open Sans" w:hAnsi="Open Sans" w:cs="Open Sans"/>
          <w:sz w:val="20"/>
          <w:szCs w:val="20"/>
        </w:rPr>
        <w:t xml:space="preserve">, resolver dúvidas dos discentes, listas de exercícios e </w:t>
      </w:r>
      <w:r w:rsidRPr="00982C5E">
        <w:rPr>
          <w:rFonts w:ascii="Open Sans" w:eastAsia="Open Sans" w:hAnsi="Open Sans" w:cs="Open Sans"/>
          <w:i/>
          <w:iCs/>
          <w:sz w:val="20"/>
          <w:szCs w:val="20"/>
        </w:rPr>
        <w:t>posts</w:t>
      </w:r>
      <w:r>
        <w:rPr>
          <w:rFonts w:ascii="Open Sans" w:eastAsia="Open Sans" w:hAnsi="Open Sans" w:cs="Open Sans"/>
          <w:sz w:val="20"/>
          <w:szCs w:val="20"/>
        </w:rPr>
        <w:t xml:space="preserve"> interativos (Figura 4). </w:t>
      </w:r>
    </w:p>
    <w:p w14:paraId="0683D89B" w14:textId="77777777" w:rsidR="00166EDA" w:rsidRDefault="007F311A">
      <w:pPr>
        <w:spacing w:after="0" w:line="360" w:lineRule="auto"/>
        <w:ind w:hanging="2"/>
        <w:jc w:val="both"/>
        <w:rPr>
          <w:rFonts w:ascii="Open Sans" w:eastAsia="Open Sans" w:hAnsi="Open Sans" w:cs="Open Sans"/>
          <w:sz w:val="20"/>
          <w:szCs w:val="20"/>
        </w:rPr>
      </w:pPr>
      <w:r>
        <w:rPr>
          <w:rFonts w:ascii="Open Sans" w:eastAsia="Open Sans" w:hAnsi="Open Sans" w:cs="Open Sans"/>
          <w:b/>
          <w:sz w:val="20"/>
          <w:szCs w:val="20"/>
        </w:rPr>
        <w:t xml:space="preserve">Figura 4. </w:t>
      </w:r>
      <w:r>
        <w:rPr>
          <w:rFonts w:ascii="Open Sans" w:eastAsia="Open Sans" w:hAnsi="Open Sans" w:cs="Open Sans"/>
          <w:sz w:val="20"/>
          <w:szCs w:val="20"/>
        </w:rPr>
        <w:t>(a) OVA’ s Histologia e Embriologia; (b) OVA’ s Química Geral; (c) OVA’ s Cálculo I.</w:t>
      </w:r>
    </w:p>
    <w:p w14:paraId="0B195D9F" w14:textId="77777777" w:rsidR="00166EDA" w:rsidRDefault="007F311A">
      <w:pPr>
        <w:spacing w:after="0" w:line="240" w:lineRule="auto"/>
        <w:ind w:hanging="2"/>
        <w:jc w:val="center"/>
        <w:rPr>
          <w:rFonts w:ascii="Open Sans" w:eastAsia="Open Sans" w:hAnsi="Open Sans" w:cs="Open Sans"/>
          <w:sz w:val="20"/>
          <w:szCs w:val="20"/>
        </w:rPr>
      </w:pPr>
      <w:r>
        <w:rPr>
          <w:rFonts w:ascii="Open Sans" w:eastAsia="Open Sans" w:hAnsi="Open Sans" w:cs="Open Sans"/>
          <w:noProof/>
          <w:sz w:val="20"/>
          <w:szCs w:val="20"/>
        </w:rPr>
        <w:lastRenderedPageBreak/>
        <w:drawing>
          <wp:inline distT="114300" distB="114300" distL="114300" distR="114300" wp14:anchorId="639F582F" wp14:editId="7306F44A">
            <wp:extent cx="1791653" cy="1757688"/>
            <wp:effectExtent l="25400" t="25400" r="25400" b="2540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1791653" cy="1757688"/>
                    </a:xfrm>
                    <a:prstGeom prst="rect">
                      <a:avLst/>
                    </a:prstGeom>
                    <a:ln w="25400">
                      <a:solidFill>
                        <a:srgbClr val="000000"/>
                      </a:solidFill>
                      <a:prstDash val="solid"/>
                    </a:ln>
                  </pic:spPr>
                </pic:pic>
              </a:graphicData>
            </a:graphic>
          </wp:inline>
        </w:drawing>
      </w:r>
      <w:r>
        <w:rPr>
          <w:rFonts w:ascii="Open Sans" w:eastAsia="Open Sans" w:hAnsi="Open Sans" w:cs="Open Sans"/>
          <w:noProof/>
          <w:sz w:val="20"/>
          <w:szCs w:val="20"/>
        </w:rPr>
        <w:drawing>
          <wp:inline distT="114300" distB="114300" distL="114300" distR="114300" wp14:anchorId="6CD6A654" wp14:editId="01B7D0A4">
            <wp:extent cx="1753553" cy="1759906"/>
            <wp:effectExtent l="25400" t="25400" r="25400" b="2540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1753553" cy="1759906"/>
                    </a:xfrm>
                    <a:prstGeom prst="rect">
                      <a:avLst/>
                    </a:prstGeom>
                    <a:ln w="25400">
                      <a:solidFill>
                        <a:srgbClr val="000000"/>
                      </a:solidFill>
                      <a:prstDash val="solid"/>
                    </a:ln>
                  </pic:spPr>
                </pic:pic>
              </a:graphicData>
            </a:graphic>
          </wp:inline>
        </w:drawing>
      </w:r>
      <w:r>
        <w:rPr>
          <w:rFonts w:ascii="Open Sans" w:eastAsia="Open Sans" w:hAnsi="Open Sans" w:cs="Open Sans"/>
          <w:noProof/>
          <w:sz w:val="20"/>
          <w:szCs w:val="20"/>
        </w:rPr>
        <w:drawing>
          <wp:inline distT="114300" distB="114300" distL="114300" distR="114300" wp14:anchorId="03CBDB41" wp14:editId="3EA6FE85">
            <wp:extent cx="3239453" cy="1822732"/>
            <wp:effectExtent l="25400" t="25400" r="25400" b="2540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3239453" cy="1822732"/>
                    </a:xfrm>
                    <a:prstGeom prst="rect">
                      <a:avLst/>
                    </a:prstGeom>
                    <a:ln w="25400">
                      <a:solidFill>
                        <a:srgbClr val="000000"/>
                      </a:solidFill>
                      <a:prstDash val="solid"/>
                    </a:ln>
                  </pic:spPr>
                </pic:pic>
              </a:graphicData>
            </a:graphic>
          </wp:inline>
        </w:drawing>
      </w:r>
    </w:p>
    <w:p w14:paraId="67294FC9" w14:textId="77777777" w:rsidR="00166EDA" w:rsidRDefault="007F311A">
      <w:pPr>
        <w:spacing w:after="0" w:line="360" w:lineRule="auto"/>
        <w:ind w:firstLine="708"/>
        <w:jc w:val="both"/>
        <w:rPr>
          <w:rFonts w:ascii="Open Sans" w:eastAsia="Open Sans" w:hAnsi="Open Sans" w:cs="Open Sans"/>
          <w:sz w:val="20"/>
          <w:szCs w:val="20"/>
        </w:rPr>
      </w:pPr>
      <w:r>
        <w:rPr>
          <w:rFonts w:ascii="Open Sans" w:eastAsia="Open Sans" w:hAnsi="Open Sans" w:cs="Open Sans"/>
          <w:sz w:val="20"/>
          <w:szCs w:val="20"/>
        </w:rPr>
        <w:t>O acesso à pesquisa permite que o aluno desenvolva habilidades, conectando a teoria à prática e aprendendo a aplicar técnicas de pesquisa, o que auxilia na compreensão da ciência e nas oportunidades futuras, tanto acadêmicas quanto profissionais. No âmbito da extensão, a universidade atua como um elo entre a população e a produção científica no Brasil, destacando sua relevância e importância na geração e desmistificação do conhecimento.</w:t>
      </w:r>
    </w:p>
    <w:p w14:paraId="36E6C69C" w14:textId="77777777" w:rsidR="00166EDA" w:rsidRDefault="007F311A">
      <w:pPr>
        <w:pStyle w:val="Ttulo1"/>
        <w:numPr>
          <w:ilvl w:val="0"/>
          <w:numId w:val="1"/>
        </w:numPr>
        <w:spacing w:line="360" w:lineRule="auto"/>
        <w:ind w:left="1" w:hanging="3"/>
        <w:rPr>
          <w:rFonts w:ascii="Open Sans" w:eastAsia="Open Sans" w:hAnsi="Open Sans" w:cs="Open Sans"/>
          <w:b/>
          <w:sz w:val="28"/>
          <w:szCs w:val="28"/>
        </w:rPr>
      </w:pPr>
      <w:bookmarkStart w:id="6" w:name="_heading=h.3dy6vkm" w:colFirst="0" w:colLast="0"/>
      <w:bookmarkEnd w:id="6"/>
      <w:r>
        <w:rPr>
          <w:rFonts w:ascii="Open Sans" w:eastAsia="Open Sans" w:hAnsi="Open Sans" w:cs="Open Sans"/>
          <w:b/>
          <w:sz w:val="28"/>
          <w:szCs w:val="28"/>
        </w:rPr>
        <w:t>Resultados e Discussão</w:t>
      </w:r>
    </w:p>
    <w:p w14:paraId="4E5E1A6D" w14:textId="47CA6F9B" w:rsidR="00166EDA" w:rsidRDefault="007F311A">
      <w:pPr>
        <w:spacing w:after="0" w:line="360" w:lineRule="auto"/>
        <w:ind w:firstLine="708"/>
        <w:jc w:val="both"/>
        <w:rPr>
          <w:rFonts w:ascii="Open Sans" w:eastAsia="Open Sans" w:hAnsi="Open Sans" w:cs="Open Sans"/>
          <w:sz w:val="20"/>
          <w:szCs w:val="20"/>
        </w:rPr>
      </w:pPr>
      <w:r>
        <w:rPr>
          <w:rFonts w:ascii="Open Sans" w:eastAsia="Open Sans" w:hAnsi="Open Sans" w:cs="Open Sans"/>
          <w:sz w:val="20"/>
          <w:szCs w:val="20"/>
        </w:rPr>
        <w:t>Ao fim dos semestres 2023/2 e 2024/1, os professores responsáveis p</w:t>
      </w:r>
      <w:r w:rsidR="00982C5E">
        <w:rPr>
          <w:rFonts w:ascii="Open Sans" w:eastAsia="Open Sans" w:hAnsi="Open Sans" w:cs="Open Sans"/>
          <w:sz w:val="20"/>
          <w:szCs w:val="20"/>
        </w:rPr>
        <w:t>elas</w:t>
      </w:r>
      <w:r>
        <w:rPr>
          <w:rFonts w:ascii="Open Sans" w:eastAsia="Open Sans" w:hAnsi="Open Sans" w:cs="Open Sans"/>
          <w:sz w:val="20"/>
          <w:szCs w:val="20"/>
        </w:rPr>
        <w:t xml:space="preserve"> disciplina</w:t>
      </w:r>
      <w:r w:rsidR="00982C5E">
        <w:rPr>
          <w:rFonts w:ascii="Open Sans" w:eastAsia="Open Sans" w:hAnsi="Open Sans" w:cs="Open Sans"/>
          <w:sz w:val="20"/>
          <w:szCs w:val="20"/>
        </w:rPr>
        <w:t>s</w:t>
      </w:r>
      <w:r>
        <w:rPr>
          <w:rFonts w:ascii="Open Sans" w:eastAsia="Open Sans" w:hAnsi="Open Sans" w:cs="Open Sans"/>
          <w:sz w:val="20"/>
          <w:szCs w:val="20"/>
        </w:rPr>
        <w:t xml:space="preserve"> nos enviaram um </w:t>
      </w:r>
      <w:r w:rsidRPr="00982C5E">
        <w:rPr>
          <w:rFonts w:ascii="Open Sans" w:eastAsia="Open Sans" w:hAnsi="Open Sans" w:cs="Open Sans"/>
          <w:i/>
          <w:iCs/>
          <w:sz w:val="20"/>
          <w:szCs w:val="20"/>
        </w:rPr>
        <w:t>feedback</w:t>
      </w:r>
      <w:r w:rsidR="00982C5E">
        <w:rPr>
          <w:rFonts w:ascii="Open Sans" w:eastAsia="Open Sans" w:hAnsi="Open Sans" w:cs="Open Sans"/>
          <w:sz w:val="20"/>
          <w:szCs w:val="20"/>
        </w:rPr>
        <w:t xml:space="preserve"> através de conversas informais</w:t>
      </w:r>
      <w:r>
        <w:rPr>
          <w:rFonts w:ascii="Open Sans" w:eastAsia="Open Sans" w:hAnsi="Open Sans" w:cs="Open Sans"/>
          <w:sz w:val="20"/>
          <w:szCs w:val="20"/>
        </w:rPr>
        <w:t xml:space="preserve">, destacando que as monitorias contribuíram de forma positiva e significativa para a aprovação e rendimento da turma. Pode-se afirmar que o Projeto do Campus para o campo - do alvorecer à plenitude da luz obteve resultados satisfatórios, conduzindo os monitores bolsistas a vivenciarem novas </w:t>
      </w:r>
      <w:r>
        <w:rPr>
          <w:rFonts w:ascii="Open Sans" w:eastAsia="Open Sans" w:hAnsi="Open Sans" w:cs="Open Sans"/>
          <w:sz w:val="20"/>
          <w:szCs w:val="20"/>
        </w:rPr>
        <w:lastRenderedPageBreak/>
        <w:t xml:space="preserve">experiências no meio acadêmico, ao ajudarem os novos ingressos a se desenvolverem nas matérias bases da graduação, </w:t>
      </w:r>
      <w:r w:rsidR="00631E92">
        <w:rPr>
          <w:rFonts w:ascii="Open Sans" w:eastAsia="Open Sans" w:hAnsi="Open Sans" w:cs="Open Sans"/>
          <w:sz w:val="20"/>
          <w:szCs w:val="20"/>
        </w:rPr>
        <w:t>e</w:t>
      </w:r>
      <w:r>
        <w:rPr>
          <w:rFonts w:ascii="Open Sans" w:eastAsia="Open Sans" w:hAnsi="Open Sans" w:cs="Open Sans"/>
          <w:sz w:val="20"/>
          <w:szCs w:val="20"/>
        </w:rPr>
        <w:t>, ao contribuir nas atividades de pesquisa e extensão realizadas na universidade.</w:t>
      </w:r>
    </w:p>
    <w:p w14:paraId="0B289394" w14:textId="77777777" w:rsidR="00166EDA" w:rsidRDefault="007F311A">
      <w:pPr>
        <w:pStyle w:val="Ttulo1"/>
        <w:numPr>
          <w:ilvl w:val="0"/>
          <w:numId w:val="1"/>
        </w:numPr>
        <w:spacing w:line="360" w:lineRule="auto"/>
        <w:ind w:left="1" w:hanging="3"/>
        <w:rPr>
          <w:rFonts w:ascii="Open Sans" w:eastAsia="Open Sans" w:hAnsi="Open Sans" w:cs="Open Sans"/>
          <w:b/>
          <w:sz w:val="28"/>
          <w:szCs w:val="28"/>
        </w:rPr>
      </w:pPr>
      <w:bookmarkStart w:id="7" w:name="_heading=h.1t3h5sf" w:colFirst="0" w:colLast="0"/>
      <w:bookmarkEnd w:id="7"/>
      <w:r>
        <w:rPr>
          <w:rFonts w:ascii="Open Sans" w:eastAsia="Open Sans" w:hAnsi="Open Sans" w:cs="Open Sans"/>
          <w:b/>
          <w:sz w:val="28"/>
          <w:szCs w:val="28"/>
        </w:rPr>
        <w:t>Conclusão</w:t>
      </w:r>
    </w:p>
    <w:p w14:paraId="2EB24F49" w14:textId="77777777" w:rsidR="00166EDA" w:rsidRDefault="007F311A">
      <w:pPr>
        <w:spacing w:after="0" w:line="360" w:lineRule="auto"/>
        <w:ind w:firstLine="708"/>
        <w:jc w:val="both"/>
        <w:rPr>
          <w:rFonts w:ascii="Open Sans" w:eastAsia="Open Sans" w:hAnsi="Open Sans" w:cs="Open Sans"/>
        </w:rPr>
      </w:pPr>
      <w:r>
        <w:rPr>
          <w:rFonts w:ascii="Open Sans" w:eastAsia="Open Sans" w:hAnsi="Open Sans" w:cs="Open Sans"/>
          <w:sz w:val="20"/>
          <w:szCs w:val="20"/>
        </w:rPr>
        <w:t>Por fim, concluímos que o Projeto Do Campus para o campo – do alvorecer à plenitude da luz foi um projeto de grande importância para o crescimento e desenvolvimento dos monitores que se dedicaram ao programa e aos alunos beneficiados pelas monitorias e projetos de extensão, além de apoiar de forma positiva os acadêmicos ingressantes.</w:t>
      </w:r>
    </w:p>
    <w:p w14:paraId="2CB6A259" w14:textId="0ACBADD8" w:rsidR="00982C5E" w:rsidRPr="00982C5E" w:rsidRDefault="007F311A" w:rsidP="00982C5E">
      <w:pPr>
        <w:pStyle w:val="Ttulo1"/>
        <w:numPr>
          <w:ilvl w:val="0"/>
          <w:numId w:val="1"/>
        </w:numPr>
        <w:spacing w:line="360" w:lineRule="auto"/>
        <w:ind w:left="1" w:hanging="3"/>
        <w:rPr>
          <w:rFonts w:ascii="Open Sans" w:eastAsia="Open Sans" w:hAnsi="Open Sans" w:cs="Open Sans"/>
          <w:b/>
          <w:sz w:val="28"/>
          <w:szCs w:val="28"/>
        </w:rPr>
      </w:pPr>
      <w:bookmarkStart w:id="8" w:name="_heading=h.4d34og8" w:colFirst="0" w:colLast="0"/>
      <w:bookmarkEnd w:id="8"/>
      <w:r>
        <w:rPr>
          <w:rFonts w:ascii="Open Sans" w:eastAsia="Open Sans" w:hAnsi="Open Sans" w:cs="Open Sans"/>
          <w:b/>
          <w:sz w:val="28"/>
          <w:szCs w:val="28"/>
        </w:rPr>
        <w:t>Referências Bibliográficas</w:t>
      </w:r>
    </w:p>
    <w:p w14:paraId="757F0C91" w14:textId="77777777" w:rsidR="00982C5E" w:rsidRDefault="00982C5E" w:rsidP="00982C5E">
      <w:pPr>
        <w:pBdr>
          <w:top w:val="nil"/>
          <w:left w:val="nil"/>
          <w:bottom w:val="nil"/>
          <w:right w:val="nil"/>
          <w:between w:val="nil"/>
        </w:pBdr>
        <w:spacing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LINS, Leandro Fragoso et al. A importância da monitoria na formação acadêmica do monitor. </w:t>
      </w:r>
      <w:r>
        <w:rPr>
          <w:rFonts w:ascii="Open Sans" w:eastAsia="Open Sans" w:hAnsi="Open Sans" w:cs="Open Sans"/>
          <w:b/>
          <w:color w:val="000000"/>
          <w:sz w:val="20"/>
          <w:szCs w:val="20"/>
        </w:rPr>
        <w:t xml:space="preserve">Jornada de ensino, </w:t>
      </w:r>
      <w:r>
        <w:rPr>
          <w:rFonts w:ascii="Open Sans" w:eastAsia="Open Sans" w:hAnsi="Open Sans" w:cs="Open Sans"/>
          <w:b/>
          <w:sz w:val="20"/>
          <w:szCs w:val="20"/>
        </w:rPr>
        <w:t>pesquisa e extensão, IX</w:t>
      </w:r>
      <w:r>
        <w:rPr>
          <w:rFonts w:ascii="Open Sans" w:eastAsia="Open Sans" w:hAnsi="Open Sans" w:cs="Open Sans"/>
          <w:sz w:val="20"/>
          <w:szCs w:val="20"/>
        </w:rPr>
        <w:t xml:space="preserve">, p. 1-2, 2009. Disponível em: </w:t>
      </w:r>
      <w:hyperlink r:id="rId19">
        <w:r>
          <w:rPr>
            <w:rFonts w:ascii="Open Sans" w:eastAsia="Open Sans" w:hAnsi="Open Sans" w:cs="Open Sans"/>
            <w:color w:val="000000"/>
            <w:sz w:val="20"/>
            <w:szCs w:val="20"/>
            <w:u w:val="single"/>
          </w:rPr>
          <w:t>https://d1wqtxts1xzle7.cloudfront.net/76949157/R0147-1-libre.pdf?1640090632=&amp;response-content-disposition=inline%3B+filename%3DA_Importancia_Da_Monitoria_Na_Formacao_A.pdf&amp;Expires=1728485004&amp;Signature=TvDFtagF7-4m6oMscyD78s0PR0Mz7zPGq8hRaR3zHanKCYozZLG5ahtpt0C~fJyciwKSIsZ3IoIgYzAsT3flWaLFyNs9MT3z7dgQOhTtcyDbfq6SmAWouOk9sxQE2luIXwM76XuOfpx7mFZ9J~fxeSTRlGotJLCJ0k~kbGeGdqPhXVUfH0tDOf1cmxhQtjWRQstoDMhLlFNfCgj4GkYrGqk4bbLcAQpk90jAOZln2WlBeeed9xrG42Vhx6X5FPhK04YWuk5B0xtjwesG3oXUmuuTfwtLDX22ceB9tkGo5nngxSKpULe2NZibJkp93xbvN6dNT4OtbtZ-XFugJFirFQ__&amp;Key-Pair-Id=APKAJLOHF5GGSLRBV4ZA</w:t>
        </w:r>
      </w:hyperlink>
      <w:r>
        <w:rPr>
          <w:rFonts w:ascii="Open Sans" w:eastAsia="Open Sans" w:hAnsi="Open Sans" w:cs="Open Sans"/>
          <w:sz w:val="20"/>
          <w:szCs w:val="20"/>
          <w:u w:val="single"/>
        </w:rPr>
        <w:t xml:space="preserve">. </w:t>
      </w:r>
      <w:r>
        <w:rPr>
          <w:rFonts w:ascii="Open Sans" w:eastAsia="Open Sans" w:hAnsi="Open Sans" w:cs="Open Sans"/>
          <w:color w:val="000000"/>
          <w:sz w:val="20"/>
          <w:szCs w:val="20"/>
        </w:rPr>
        <w:t>Acesso em: 09 out. 2024.</w:t>
      </w:r>
    </w:p>
    <w:p w14:paraId="3D6E94B1" w14:textId="18B9AD27" w:rsidR="00982C5E" w:rsidRDefault="00982C5E" w:rsidP="00982C5E">
      <w:pPr>
        <w:pBdr>
          <w:top w:val="nil"/>
          <w:left w:val="nil"/>
          <w:bottom w:val="nil"/>
          <w:right w:val="nil"/>
          <w:between w:val="nil"/>
        </w:pBdr>
        <w:spacing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NEVES, Jucilene Luz et al. A monitoria de ensino e suas contribuições na formação acadêmica: um relato de experiência. </w:t>
      </w:r>
      <w:r>
        <w:rPr>
          <w:rFonts w:ascii="Open Sans" w:eastAsia="Open Sans" w:hAnsi="Open Sans" w:cs="Open Sans"/>
          <w:b/>
          <w:color w:val="000000"/>
          <w:sz w:val="20"/>
          <w:szCs w:val="20"/>
        </w:rPr>
        <w:t>Revista Eletrônica Acervo Saúde</w:t>
      </w:r>
      <w:r>
        <w:rPr>
          <w:rFonts w:ascii="Open Sans" w:eastAsia="Open Sans" w:hAnsi="Open Sans" w:cs="Open Sans"/>
          <w:color w:val="000000"/>
          <w:sz w:val="20"/>
          <w:szCs w:val="20"/>
        </w:rPr>
        <w:t xml:space="preserve">, v. 15, n. 8, p. e10712-e10712, 2022. Disponível em: </w:t>
      </w:r>
      <w:hyperlink r:id="rId20">
        <w:r>
          <w:rPr>
            <w:rFonts w:ascii="Open Sans" w:eastAsia="Open Sans" w:hAnsi="Open Sans" w:cs="Open Sans"/>
            <w:color w:val="000000"/>
            <w:sz w:val="20"/>
            <w:szCs w:val="20"/>
            <w:u w:val="single"/>
          </w:rPr>
          <w:t>https://doi.org/10.25248/reas.e10712.2022</w:t>
        </w:r>
      </w:hyperlink>
      <w:r>
        <w:rPr>
          <w:rFonts w:ascii="Open Sans" w:eastAsia="Open Sans" w:hAnsi="Open Sans" w:cs="Open Sans"/>
          <w:sz w:val="20"/>
          <w:szCs w:val="20"/>
        </w:rPr>
        <w:t xml:space="preserve">. </w:t>
      </w:r>
      <w:r>
        <w:rPr>
          <w:rFonts w:ascii="Open Sans" w:eastAsia="Open Sans" w:hAnsi="Open Sans" w:cs="Open Sans"/>
          <w:color w:val="000000"/>
          <w:sz w:val="20"/>
          <w:szCs w:val="20"/>
        </w:rPr>
        <w:t>Acesso em: 08 out. 2024.</w:t>
      </w:r>
    </w:p>
    <w:p w14:paraId="7326EF9B" w14:textId="4641BA5E" w:rsidR="00166EDA" w:rsidRDefault="007F311A" w:rsidP="00982C5E">
      <w:pPr>
        <w:pBdr>
          <w:top w:val="nil"/>
          <w:left w:val="nil"/>
          <w:bottom w:val="nil"/>
          <w:right w:val="nil"/>
          <w:between w:val="nil"/>
        </w:pBdr>
        <w:spacing w:line="240" w:lineRule="auto"/>
        <w:jc w:val="both"/>
        <w:rPr>
          <w:rFonts w:ascii="Open Sans" w:eastAsia="Open Sans" w:hAnsi="Open Sans" w:cs="Open Sans"/>
          <w:sz w:val="20"/>
          <w:szCs w:val="20"/>
        </w:rPr>
      </w:pPr>
      <w:r>
        <w:rPr>
          <w:rFonts w:ascii="Open Sans" w:eastAsia="Open Sans" w:hAnsi="Open Sans" w:cs="Open Sans"/>
          <w:color w:val="000000"/>
          <w:sz w:val="20"/>
          <w:szCs w:val="20"/>
        </w:rPr>
        <w:t xml:space="preserve">VICENZI, Cristina </w:t>
      </w:r>
      <w:proofErr w:type="spellStart"/>
      <w:r>
        <w:rPr>
          <w:rFonts w:ascii="Open Sans" w:eastAsia="Open Sans" w:hAnsi="Open Sans" w:cs="Open Sans"/>
          <w:color w:val="000000"/>
          <w:sz w:val="20"/>
          <w:szCs w:val="20"/>
        </w:rPr>
        <w:t>Balensiefer</w:t>
      </w:r>
      <w:proofErr w:type="spellEnd"/>
      <w:r>
        <w:rPr>
          <w:rFonts w:ascii="Open Sans" w:eastAsia="Open Sans" w:hAnsi="Open Sans" w:cs="Open Sans"/>
          <w:color w:val="000000"/>
          <w:sz w:val="20"/>
          <w:szCs w:val="20"/>
        </w:rPr>
        <w:t xml:space="preserve"> et al. A monitoria e seu papel no desenvolvimento da formação acadêmica. </w:t>
      </w:r>
      <w:r>
        <w:rPr>
          <w:rFonts w:ascii="Open Sans" w:eastAsia="Open Sans" w:hAnsi="Open Sans" w:cs="Open Sans"/>
          <w:b/>
          <w:color w:val="000000"/>
          <w:sz w:val="20"/>
          <w:szCs w:val="20"/>
        </w:rPr>
        <w:t xml:space="preserve">Revista Ciência em </w:t>
      </w:r>
      <w:r>
        <w:rPr>
          <w:rFonts w:ascii="Open Sans" w:eastAsia="Open Sans" w:hAnsi="Open Sans" w:cs="Open Sans"/>
          <w:b/>
          <w:sz w:val="20"/>
          <w:szCs w:val="20"/>
        </w:rPr>
        <w:t>Extensão</w:t>
      </w:r>
      <w:r>
        <w:rPr>
          <w:rFonts w:ascii="Open Sans" w:eastAsia="Open Sans" w:hAnsi="Open Sans" w:cs="Open Sans"/>
          <w:sz w:val="20"/>
          <w:szCs w:val="20"/>
        </w:rPr>
        <w:t xml:space="preserve">, v. 12, n. 3, p. 88-94, 2016. Disponível em: </w:t>
      </w:r>
      <w:hyperlink r:id="rId21">
        <w:r>
          <w:rPr>
            <w:rFonts w:ascii="Open Sans" w:eastAsia="Open Sans" w:hAnsi="Open Sans" w:cs="Open Sans"/>
            <w:color w:val="000000"/>
            <w:sz w:val="20"/>
            <w:szCs w:val="20"/>
            <w:u w:val="single"/>
          </w:rPr>
          <w:t>https://ojs.unesp.br/index.php/revista_proex/article/view/1257/1254</w:t>
        </w:r>
      </w:hyperlink>
      <w:r>
        <w:rPr>
          <w:rFonts w:ascii="Open Sans" w:eastAsia="Open Sans" w:hAnsi="Open Sans" w:cs="Open Sans"/>
          <w:sz w:val="20"/>
          <w:szCs w:val="20"/>
        </w:rPr>
        <w:t>. Acesso em: 08 out. 2024.</w:t>
      </w:r>
    </w:p>
    <w:p w14:paraId="37C304D2" w14:textId="77777777" w:rsidR="00166EDA" w:rsidRDefault="007F311A">
      <w:pPr>
        <w:pStyle w:val="Ttulo1"/>
        <w:numPr>
          <w:ilvl w:val="0"/>
          <w:numId w:val="1"/>
        </w:numPr>
        <w:spacing w:line="360" w:lineRule="auto"/>
        <w:ind w:left="1" w:hanging="3"/>
        <w:rPr>
          <w:rFonts w:ascii="Open Sans" w:eastAsia="Open Sans" w:hAnsi="Open Sans" w:cs="Open Sans"/>
          <w:b/>
          <w:sz w:val="28"/>
          <w:szCs w:val="28"/>
        </w:rPr>
      </w:pPr>
      <w:r>
        <w:rPr>
          <w:rFonts w:ascii="Open Sans" w:eastAsia="Open Sans" w:hAnsi="Open Sans" w:cs="Open Sans"/>
          <w:b/>
          <w:sz w:val="28"/>
          <w:szCs w:val="28"/>
        </w:rPr>
        <w:t>Agradecimentos</w:t>
      </w:r>
    </w:p>
    <w:p w14:paraId="4F9CBB56" w14:textId="77777777" w:rsidR="00166EDA" w:rsidRDefault="007F311A" w:rsidP="00631E92">
      <w:pPr>
        <w:spacing w:line="360" w:lineRule="auto"/>
        <w:ind w:firstLine="708"/>
        <w:jc w:val="both"/>
        <w:rPr>
          <w:rFonts w:ascii="Open Sans" w:eastAsia="Open Sans" w:hAnsi="Open Sans" w:cs="Open Sans"/>
          <w:sz w:val="20"/>
          <w:szCs w:val="20"/>
        </w:rPr>
      </w:pPr>
      <w:r>
        <w:lastRenderedPageBreak/>
        <w:t xml:space="preserve"> </w:t>
      </w:r>
      <w:r>
        <w:rPr>
          <w:rFonts w:ascii="Open Sans" w:eastAsia="Open Sans" w:hAnsi="Open Sans" w:cs="Open Sans"/>
          <w:sz w:val="20"/>
          <w:szCs w:val="20"/>
        </w:rPr>
        <w:t xml:space="preserve">Agradecemos em primeiro lugar a nossa orientadora </w:t>
      </w:r>
      <w:proofErr w:type="spellStart"/>
      <w:r>
        <w:rPr>
          <w:rFonts w:ascii="Open Sans" w:eastAsia="Open Sans" w:hAnsi="Open Sans" w:cs="Open Sans"/>
          <w:sz w:val="20"/>
          <w:szCs w:val="20"/>
        </w:rPr>
        <w:t>Profª</w:t>
      </w:r>
      <w:proofErr w:type="spellEnd"/>
      <w:r>
        <w:rPr>
          <w:rFonts w:ascii="Open Sans" w:eastAsia="Open Sans" w:hAnsi="Open Sans" w:cs="Open Sans"/>
          <w:sz w:val="20"/>
          <w:szCs w:val="20"/>
        </w:rPr>
        <w:t xml:space="preserve"> Dra. Ana Carolina Muller Conti por nos conduzir, instruir e apoiar do início deste projeto até o fim, para nossa tutora </w:t>
      </w:r>
      <w:proofErr w:type="spellStart"/>
      <w:r>
        <w:rPr>
          <w:rFonts w:ascii="Open Sans" w:eastAsia="Open Sans" w:hAnsi="Open Sans" w:cs="Open Sans"/>
          <w:sz w:val="20"/>
          <w:szCs w:val="20"/>
        </w:rPr>
        <w:t>Caroliny</w:t>
      </w:r>
      <w:proofErr w:type="spellEnd"/>
      <w:r>
        <w:rPr>
          <w:rFonts w:ascii="Open Sans" w:eastAsia="Open Sans" w:hAnsi="Open Sans" w:cs="Open Sans"/>
          <w:sz w:val="20"/>
          <w:szCs w:val="20"/>
        </w:rPr>
        <w:t xml:space="preserve"> Costa Araújo, os nossos mais sinceros agradecimentos por todo esforço e dedicação. Retribuímos a PROGRAD por financiar o Projeto Alvorecer nos proporcionando esse auxílio durante os 12 meses de projeto. Aos professores responsáveis pelas disciplinas, Marilu Santos Sousa, Eduardo Lopes </w:t>
      </w:r>
      <w:proofErr w:type="spellStart"/>
      <w:r>
        <w:rPr>
          <w:rFonts w:ascii="Open Sans" w:eastAsia="Open Sans" w:hAnsi="Open Sans" w:cs="Open Sans"/>
          <w:sz w:val="20"/>
          <w:szCs w:val="20"/>
        </w:rPr>
        <w:t>Beerli</w:t>
      </w:r>
      <w:proofErr w:type="spellEnd"/>
      <w:r>
        <w:rPr>
          <w:rFonts w:ascii="Open Sans" w:eastAsia="Open Sans" w:hAnsi="Open Sans" w:cs="Open Sans"/>
          <w:sz w:val="20"/>
          <w:szCs w:val="20"/>
        </w:rPr>
        <w:t xml:space="preserve">, Lara Silvia </w:t>
      </w:r>
      <w:proofErr w:type="spellStart"/>
      <w:r>
        <w:rPr>
          <w:rFonts w:ascii="Open Sans" w:eastAsia="Open Sans" w:hAnsi="Open Sans" w:cs="Open Sans"/>
          <w:sz w:val="20"/>
          <w:szCs w:val="20"/>
        </w:rPr>
        <w:t>Corradi</w:t>
      </w:r>
      <w:proofErr w:type="spellEnd"/>
      <w:r>
        <w:rPr>
          <w:rFonts w:ascii="Open Sans" w:eastAsia="Open Sans" w:hAnsi="Open Sans" w:cs="Open Sans"/>
          <w:sz w:val="20"/>
          <w:szCs w:val="20"/>
        </w:rPr>
        <w:t xml:space="preserve"> </w:t>
      </w:r>
      <w:proofErr w:type="spellStart"/>
      <w:r>
        <w:rPr>
          <w:rFonts w:ascii="Open Sans" w:eastAsia="Open Sans" w:hAnsi="Open Sans" w:cs="Open Sans"/>
          <w:sz w:val="20"/>
          <w:szCs w:val="20"/>
        </w:rPr>
        <w:t>Olhê</w:t>
      </w:r>
      <w:proofErr w:type="spellEnd"/>
      <w:r>
        <w:rPr>
          <w:rFonts w:ascii="Open Sans" w:eastAsia="Open Sans" w:hAnsi="Open Sans" w:cs="Open Sans"/>
          <w:sz w:val="20"/>
          <w:szCs w:val="20"/>
        </w:rPr>
        <w:t xml:space="preserve"> Blanck e Márcio </w:t>
      </w:r>
      <w:proofErr w:type="spellStart"/>
      <w:r>
        <w:rPr>
          <w:rFonts w:ascii="Open Sans" w:eastAsia="Open Sans" w:hAnsi="Open Sans" w:cs="Open Sans"/>
          <w:sz w:val="20"/>
          <w:szCs w:val="20"/>
        </w:rPr>
        <w:t>Gianordoli</w:t>
      </w:r>
      <w:proofErr w:type="spellEnd"/>
      <w:r>
        <w:rPr>
          <w:rFonts w:ascii="Open Sans" w:eastAsia="Open Sans" w:hAnsi="Open Sans" w:cs="Open Sans"/>
          <w:sz w:val="20"/>
          <w:szCs w:val="20"/>
        </w:rPr>
        <w:t xml:space="preserve"> Teixeira Gomes, agradecemos por toda paciência e disponibilidade para nos atender durante a ocorrência do projeto. Para as atividades de pesquisa e extensão, nossos agradecimentos em especial ao grupo Pet Zootecnia pela parceria em todos os eventos, e aos grupos de estudos: “Do Campus para o Campo: Ruminantes” e “Ecofisiologia Vegetal” que contribuíram de forma positiva na construção do nosso conhecimento científico. E por fim, aos acadêmicos pela presença e respeito conosco.</w:t>
      </w:r>
    </w:p>
    <w:sectPr w:rsidR="00166EDA">
      <w:headerReference w:type="default" r:id="rId2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5ABBB" w14:textId="77777777" w:rsidR="00781628" w:rsidRDefault="00781628">
      <w:pPr>
        <w:spacing w:after="0" w:line="240" w:lineRule="auto"/>
      </w:pPr>
      <w:r>
        <w:separator/>
      </w:r>
    </w:p>
  </w:endnote>
  <w:endnote w:type="continuationSeparator" w:id="0">
    <w:p w14:paraId="30284842" w14:textId="77777777" w:rsidR="00781628" w:rsidRDefault="00781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6CC7AFE-EFE8-4731-BA6C-7F9D447E979F}"/>
    <w:embedBold r:id="rId2" w:fontKey="{58182C64-C8B9-447C-9989-60098A80231B}"/>
  </w:font>
  <w:font w:name="Century Gothic">
    <w:panose1 w:val="020B0502020202020204"/>
    <w:charset w:val="00"/>
    <w:family w:val="swiss"/>
    <w:pitch w:val="variable"/>
    <w:sig w:usb0="00000287" w:usb1="00000000" w:usb2="00000000" w:usb3="00000000" w:csb0="0000009F" w:csb1="00000000"/>
    <w:embedRegular r:id="rId3" w:fontKey="{0348EA7B-48B8-4E74-ACA5-D932DAA31FFF}"/>
  </w:font>
  <w:font w:name="Georgia">
    <w:panose1 w:val="02040502050405020303"/>
    <w:charset w:val="00"/>
    <w:family w:val="roman"/>
    <w:pitch w:val="variable"/>
    <w:sig w:usb0="00000287" w:usb1="00000000" w:usb2="00000000" w:usb3="00000000" w:csb0="0000009F" w:csb1="00000000"/>
    <w:embedRegular r:id="rId4" w:fontKey="{788ACA95-D2AF-41CF-94B0-6E6DE5959040}"/>
    <w:embedItalic r:id="rId5" w:fontKey="{E3616BC9-5E00-4836-9D09-7FFF48A4FC95}"/>
  </w:font>
  <w:font w:name="Open Sans">
    <w:charset w:val="00"/>
    <w:family w:val="swiss"/>
    <w:pitch w:val="variable"/>
    <w:sig w:usb0="E00002EF" w:usb1="4000205B" w:usb2="00000028" w:usb3="00000000" w:csb0="0000019F" w:csb1="00000000"/>
    <w:embedRegular r:id="rId6" w:fontKey="{0E0130A7-E70D-44AA-A726-BB6B2383A61A}"/>
    <w:embedBold r:id="rId7" w:fontKey="{62CFE3B4-D1B1-4DD4-A109-08CBEC9EAC8A}"/>
    <w:embedItalic r:id="rId8" w:fontKey="{920C661F-3C71-4D9C-BAC2-00E2FB11A913}"/>
  </w:font>
  <w:font w:name="Cambria">
    <w:panose1 w:val="02040503050406030204"/>
    <w:charset w:val="00"/>
    <w:family w:val="roman"/>
    <w:pitch w:val="variable"/>
    <w:sig w:usb0="E00006FF" w:usb1="420024FF" w:usb2="02000000" w:usb3="00000000" w:csb0="0000019F" w:csb1="00000000"/>
    <w:embedRegular r:id="rId9" w:fontKey="{8A068FD9-E09D-4112-9B14-3F63D023C9F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5CDA9" w14:textId="77777777" w:rsidR="00781628" w:rsidRDefault="00781628">
      <w:pPr>
        <w:spacing w:after="0" w:line="240" w:lineRule="auto"/>
      </w:pPr>
      <w:r>
        <w:separator/>
      </w:r>
    </w:p>
  </w:footnote>
  <w:footnote w:type="continuationSeparator" w:id="0">
    <w:p w14:paraId="20EE3B79" w14:textId="77777777" w:rsidR="00781628" w:rsidRDefault="007816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1C25B" w14:textId="77777777" w:rsidR="00166EDA" w:rsidRDefault="007F311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DA3D3BE" wp14:editId="60FED452">
          <wp:extent cx="5400040" cy="1800225"/>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400040" cy="1800225"/>
                  </a:xfrm>
                  <a:prstGeom prst="rect">
                    <a:avLst/>
                  </a:prstGeom>
                  <a:ln/>
                </pic:spPr>
              </pic:pic>
            </a:graphicData>
          </a:graphic>
        </wp:inline>
      </w:drawing>
    </w:r>
  </w:p>
  <w:p w14:paraId="1EAA1519" w14:textId="77777777" w:rsidR="00166EDA" w:rsidRDefault="007F311A">
    <w:pPr>
      <w:pBdr>
        <w:top w:val="nil"/>
        <w:left w:val="nil"/>
        <w:bottom w:val="nil"/>
        <w:right w:val="nil"/>
        <w:between w:val="nil"/>
      </w:pBdr>
      <w:tabs>
        <w:tab w:val="center" w:pos="4252"/>
        <w:tab w:val="right" w:pos="8504"/>
      </w:tabs>
      <w:spacing w:after="0" w:line="240" w:lineRule="auto"/>
      <w:ind w:left="5" w:hanging="7"/>
      <w:jc w:val="center"/>
      <w:rPr>
        <w:rFonts w:ascii="Open Sans" w:eastAsia="Open Sans" w:hAnsi="Open Sans" w:cs="Open Sans"/>
        <w:b/>
        <w:color w:val="000000"/>
        <w:sz w:val="52"/>
        <w:szCs w:val="52"/>
      </w:rPr>
    </w:pPr>
    <w:r>
      <w:rPr>
        <w:rFonts w:ascii="Open Sans" w:eastAsia="Open Sans" w:hAnsi="Open Sans" w:cs="Open Sans"/>
        <w:b/>
        <w:color w:val="000000"/>
        <w:sz w:val="52"/>
        <w:szCs w:val="52"/>
      </w:rPr>
      <w:t>Projetos Integrados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F1E9B"/>
    <w:multiLevelType w:val="multilevel"/>
    <w:tmpl w:val="9FE6A492"/>
    <w:lvl w:ilvl="0">
      <w:start w:val="1"/>
      <w:numFmt w:val="upperRoman"/>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AF8725A"/>
    <w:multiLevelType w:val="multilevel"/>
    <w:tmpl w:val="60E47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EDA"/>
    <w:rsid w:val="00166EDA"/>
    <w:rsid w:val="003A5830"/>
    <w:rsid w:val="003D7210"/>
    <w:rsid w:val="00433381"/>
    <w:rsid w:val="004F70CE"/>
    <w:rsid w:val="00631E92"/>
    <w:rsid w:val="00716A70"/>
    <w:rsid w:val="00781628"/>
    <w:rsid w:val="007C6AF5"/>
    <w:rsid w:val="007F311A"/>
    <w:rsid w:val="00807877"/>
    <w:rsid w:val="00982C5E"/>
    <w:rsid w:val="00EF50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4A92C"/>
  <w15:docId w15:val="{7C0A54ED-2348-4936-B013-22BE46E36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before="60" w:after="80"/>
      <w:ind w:hanging="1"/>
      <w:jc w:val="both"/>
      <w:outlineLvl w:val="0"/>
    </w:pPr>
    <w:rPr>
      <w:rFonts w:ascii="Century Gothic" w:eastAsia="Century Gothic" w:hAnsi="Century Gothic" w:cs="Century Gothic"/>
      <w:color w:val="000000"/>
      <w:sz w:val="44"/>
      <w:szCs w:val="4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Fontepargpadro"/>
    <w:uiPriority w:val="99"/>
    <w:unhideWhenUsed/>
    <w:rsid w:val="008E1AFA"/>
    <w:rPr>
      <w:color w:val="0000FF" w:themeColor="hyperlink"/>
      <w:u w:val="single"/>
    </w:rPr>
  </w:style>
  <w:style w:type="character" w:styleId="MenoPendente">
    <w:name w:val="Unresolved Mention"/>
    <w:basedOn w:val="Fontepargpadro"/>
    <w:uiPriority w:val="99"/>
    <w:semiHidden/>
    <w:unhideWhenUsed/>
    <w:rsid w:val="008E1AFA"/>
    <w:rPr>
      <w:color w:val="605E5C"/>
      <w:shd w:val="clear" w:color="auto" w:fill="E1DFDD"/>
    </w:rPr>
  </w:style>
  <w:style w:type="character" w:styleId="Refdecomentrio">
    <w:name w:val="annotation reference"/>
    <w:basedOn w:val="Fontepargpadro"/>
    <w:uiPriority w:val="99"/>
    <w:semiHidden/>
    <w:unhideWhenUsed/>
    <w:rsid w:val="008E1AFA"/>
    <w:rPr>
      <w:sz w:val="16"/>
      <w:szCs w:val="16"/>
    </w:rPr>
  </w:style>
  <w:style w:type="paragraph" w:styleId="Textodecomentrio">
    <w:name w:val="annotation text"/>
    <w:basedOn w:val="Normal"/>
    <w:link w:val="TextodecomentrioChar"/>
    <w:uiPriority w:val="99"/>
    <w:unhideWhenUsed/>
    <w:rsid w:val="008E1AFA"/>
    <w:pPr>
      <w:spacing w:line="240" w:lineRule="auto"/>
    </w:pPr>
    <w:rPr>
      <w:sz w:val="20"/>
      <w:szCs w:val="20"/>
    </w:rPr>
  </w:style>
  <w:style w:type="character" w:customStyle="1" w:styleId="TextodecomentrioChar">
    <w:name w:val="Texto de comentário Char"/>
    <w:basedOn w:val="Fontepargpadro"/>
    <w:link w:val="Textodecomentrio"/>
    <w:uiPriority w:val="99"/>
    <w:rsid w:val="008E1AFA"/>
    <w:rPr>
      <w:sz w:val="20"/>
      <w:szCs w:val="20"/>
    </w:rPr>
  </w:style>
  <w:style w:type="paragraph" w:styleId="Assuntodocomentrio">
    <w:name w:val="annotation subject"/>
    <w:basedOn w:val="Textodecomentrio"/>
    <w:next w:val="Textodecomentrio"/>
    <w:link w:val="AssuntodocomentrioChar"/>
    <w:uiPriority w:val="99"/>
    <w:semiHidden/>
    <w:unhideWhenUsed/>
    <w:rsid w:val="008E1AFA"/>
    <w:rPr>
      <w:b/>
      <w:bCs/>
    </w:rPr>
  </w:style>
  <w:style w:type="character" w:customStyle="1" w:styleId="AssuntodocomentrioChar">
    <w:name w:val="Assunto do comentário Char"/>
    <w:basedOn w:val="TextodecomentrioChar"/>
    <w:link w:val="Assuntodocomentrio"/>
    <w:uiPriority w:val="99"/>
    <w:semiHidden/>
    <w:rsid w:val="008E1AFA"/>
    <w:rPr>
      <w:b/>
      <w:bCs/>
      <w:sz w:val="20"/>
      <w:szCs w:val="20"/>
    </w:r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arianne.matos@ufnt.edu.br" TargetMode="External"/><Relationship Id="rId13" Type="http://schemas.openxmlformats.org/officeDocument/2006/relationships/image" Target="media/image1.jp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s://ojs.unesp.br/index.php/revista_proex/article/view/1257/1254" TargetMode="External"/><Relationship Id="rId7" Type="http://schemas.openxmlformats.org/officeDocument/2006/relationships/endnotes" Target="endnotes.xml"/><Relationship Id="rId12" Type="http://schemas.openxmlformats.org/officeDocument/2006/relationships/hyperlink" Target="mailto:caroliny.araujo@iescfag.edu.br"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doi.org/10.25248/reas.e10712.2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a.conti@ufnt.edu.b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mailto:jessica.ribeiro@ufnt.edu.br" TargetMode="External"/><Relationship Id="rId19" Type="http://schemas.openxmlformats.org/officeDocument/2006/relationships/hyperlink" Target="https://d1wqtxts1xzle7.cloudfront.net/76949157/R0147-1-libre.pdf?1640090632=&amp;response-content-disposition=inline%3B+filename%3DA_Importancia_Da_Monitoria_Na_Formacao_A.pdf&amp;Expires=1728485004&amp;Signature=TvDFtagF7-4m6oMscyD78s0PR0Mz7zPGq8hRaR3zHanKCYozZLG5ahtpt0C~fJyciwKSIsZ3IoIgYzAsT3flWaLFyNs9MT3z7dgQOhTtcyDbfq6SmAWouOk9sxQE2luIXwM76XuOfpx7mFZ9J~fxeSTRlGotJLCJ0k~kbGeGdqPhXVUfH0tDOf1cmxhQtjWRQstoDMhLlFNfCgj4GkYrGqk4bbLcAQpk90jAOZln2WlBeeed9xrG42Vhx6X5FPhK04YWuk5B0xtjwesG3oXUmuuTfwtLDX22ceB9tkGo5nngxSKpULe2NZibJkp93xbvN6dNT4OtbtZ-XFugJFirFQ__&amp;Key-Pair-Id=APKAJLOHF5GGSLRBV4ZA" TargetMode="External"/><Relationship Id="rId4" Type="http://schemas.openxmlformats.org/officeDocument/2006/relationships/settings" Target="settings.xml"/><Relationship Id="rId9" Type="http://schemas.openxmlformats.org/officeDocument/2006/relationships/hyperlink" Target="mailto:agata.noleto@ufnt.edu.br" TargetMode="External"/><Relationship Id="rId14" Type="http://schemas.openxmlformats.org/officeDocument/2006/relationships/image" Target="media/image2.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9+cM8oJiZnrGg8TcX2G4ZnVJdw==">CgMxLjAyCGguZ2pkZ3hzMgloLjMwajB6bGwyCWguMWZvYjl0ZTIJaC4zem55c2g3MgloLjJldDkycDAyCGgudHlqY3d0MgloLjNkeTZ2a20yCWguMXQzaDVzZjIJaC40ZDM0b2c4OAByITFNUlNKVkxDSUVFaTFNWXVTQ29lcDREa1ZzMFJqOEVubw==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1710</Words>
  <Characters>9240</Characters>
  <Application>Microsoft Office Word</Application>
  <DocSecurity>0</DocSecurity>
  <Lines>77</Lines>
  <Paragraphs>21</Paragraphs>
  <ScaleCrop>false</ScaleCrop>
  <Company/>
  <LinksUpToDate>false</LinksUpToDate>
  <CharactersWithSpaces>10929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Indira</dc:creator>
  <cp:lastModifiedBy>Cliente</cp:lastModifiedBy>
  <cp:revision>2</cp:revision>
  <dcterms:created xsi:type="dcterms:W3CDTF">2024-12-03T12:01:00Z</dcterms:created>
  <dcterms:modified xsi:type="dcterms:W3CDTF">2024-12-03T12:01:00Z</dcterms:modified>
</cp:coreProperties>
</file>