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-1090734</wp:posOffset>
            </wp:positionH>
            <wp:positionV relativeFrom="paragraph">
              <wp:posOffset>-923923</wp:posOffset>
            </wp:positionV>
            <wp:extent cx="7578284" cy="10711543"/>
            <wp:effectExtent b="0" l="0" r="0" t="0"/>
            <wp:wrapNone/>
            <wp:docPr descr="Texto, Carta&#10;&#10;O conteúdo gerado por IA pode estar incorreto." id="2128089470" name="image5.png"/>
            <a:graphic>
              <a:graphicData uri="http://schemas.openxmlformats.org/drawingml/2006/picture">
                <pic:pic>
                  <pic:nvPicPr>
                    <pic:cNvPr descr="Texto, Carta&#10;&#10;O conteúdo gerado por IA pode estar incorreto.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284" cy="10711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6883400</wp:posOffset>
                </wp:positionV>
                <wp:extent cx="728176" cy="401605"/>
                <wp:effectExtent b="0" l="0" r="0" t="0"/>
                <wp:wrapNone/>
                <wp:docPr id="212808946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91437" y="3588723"/>
                          <a:ext cx="709126" cy="3825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1A9B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6883400</wp:posOffset>
                </wp:positionV>
                <wp:extent cx="728176" cy="401605"/>
                <wp:effectExtent b="0" l="0" r="0" t="0"/>
                <wp:wrapNone/>
                <wp:docPr id="212808946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176" cy="40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6819900</wp:posOffset>
                </wp:positionV>
                <wp:extent cx="3713480" cy="1386636"/>
                <wp:effectExtent b="0" l="0" r="0" t="0"/>
                <wp:wrapNone/>
                <wp:docPr id="212808946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98785" y="3098963"/>
                          <a:ext cx="369443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ntonio" w:cs="Antonio" w:eastAsia="Antonio" w:hAnsi="Antonio"/>
                                <w:b w:val="0"/>
                                <w:i w:val="0"/>
                                <w:smallCaps w:val="0"/>
                                <w:strike w:val="0"/>
                                <w:color w:val="1a9b3c"/>
                                <w:sz w:val="36"/>
                                <w:vertAlign w:val="baseline"/>
                              </w:rPr>
                              <w:t xml:space="preserve">PERSPECTIVA TERRITORIAL DO DESENVOLVIMENTO RURAL: PRÁTICAS, POLÍTICAS E PROCESSOS NO CONTEXTO DAS MUDANÇAS CLIMÁTICAS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6819900</wp:posOffset>
                </wp:positionV>
                <wp:extent cx="3713480" cy="1386636"/>
                <wp:effectExtent b="0" l="0" r="0" t="0"/>
                <wp:wrapNone/>
                <wp:docPr id="212808946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3480" cy="13866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6832600</wp:posOffset>
                </wp:positionV>
                <wp:extent cx="830580" cy="519145"/>
                <wp:effectExtent b="0" l="0" r="0" t="0"/>
                <wp:wrapNone/>
                <wp:docPr id="212808946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40235" y="3532985"/>
                          <a:ext cx="81153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ntonio" w:cs="Antonio" w:eastAsia="Antonio" w:hAnsi="Antonio"/>
                                <w:b w:val="0"/>
                                <w:i w:val="0"/>
                                <w:smallCaps w:val="0"/>
                                <w:strike w:val="0"/>
                                <w:color w:val="f8edd1"/>
                                <w:sz w:val="44"/>
                                <w:vertAlign w:val="baseline"/>
                              </w:rPr>
                              <w:t xml:space="preserve">GT 10: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6832600</wp:posOffset>
                </wp:positionV>
                <wp:extent cx="830580" cy="519145"/>
                <wp:effectExtent b="0" l="0" r="0" t="0"/>
                <wp:wrapNone/>
                <wp:docPr id="212808946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580" cy="519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after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TÍTULO EM PORTUGUÊS</w:t>
      </w:r>
    </w:p>
    <w:p w:rsidR="00000000" w:rsidDel="00000000" w:rsidP="00000000" w:rsidRDefault="00000000" w:rsidRPr="00000000" w14:paraId="00000005">
      <w:pPr>
        <w:spacing w:after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(máximo 15 palavras)</w:t>
      </w:r>
    </w:p>
    <w:p w:rsidR="00000000" w:rsidDel="00000000" w:rsidP="00000000" w:rsidRDefault="00000000" w:rsidRPr="00000000" w14:paraId="00000006">
      <w:pPr>
        <w:spacing w:line="360" w:lineRule="auto"/>
        <w:ind w:hanging="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hanging="2"/>
        <w:jc w:val="center"/>
        <w:rPr/>
      </w:pPr>
      <w:r w:rsidDel="00000000" w:rsidR="00000000" w:rsidRPr="00000000">
        <w:rPr>
          <w:rtl w:val="0"/>
        </w:rPr>
        <w:t xml:space="preserve">Análise de Conjuntura das Políticas Públicas dos Atingidos por Enchentes no Alto Vale do Itajaí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hanging="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hanging="2"/>
        <w:jc w:val="center"/>
        <w:rPr>
          <w:vertAlign w:val="superscript"/>
        </w:rPr>
      </w:pPr>
      <w:r w:rsidDel="00000000" w:rsidR="00000000" w:rsidRPr="00000000">
        <w:rPr>
          <w:rtl w:val="0"/>
        </w:rPr>
        <w:t xml:space="preserve">Laura Cristina Pereira de Oliveira</w:t>
      </w:r>
      <w:r w:rsidDel="00000000" w:rsidR="00000000" w:rsidRPr="00000000">
        <w:rPr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hanging="2"/>
        <w:jc w:val="center"/>
        <w:rPr/>
      </w:pPr>
      <w:r w:rsidDel="00000000" w:rsidR="00000000" w:rsidRPr="00000000">
        <w:rPr>
          <w:rtl w:val="0"/>
        </w:rPr>
        <w:t xml:space="preserve">Matheus Albuquerque Flores</w:t>
      </w:r>
      <w:r w:rsidDel="00000000" w:rsidR="00000000" w:rsidRPr="00000000">
        <w:rPr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hanging="2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hanging="2"/>
        <w:rPr/>
      </w:pPr>
      <w:r w:rsidDel="00000000" w:rsidR="00000000" w:rsidRPr="00000000">
        <w:rPr>
          <w:b w:val="1"/>
          <w:rtl w:val="0"/>
        </w:rPr>
        <w:t xml:space="preserve">GT 10:</w:t>
      </w:r>
      <w:r w:rsidDel="00000000" w:rsidR="00000000" w:rsidRPr="00000000">
        <w:rPr>
          <w:rtl w:val="0"/>
        </w:rPr>
        <w:t xml:space="preserve"> Perspectiva territorial do desenvolvimento rural: práticas, políticas e processos no contexto das mudanças climáticas</w:t>
      </w:r>
    </w:p>
    <w:p w:rsidR="00000000" w:rsidDel="00000000" w:rsidP="00000000" w:rsidRDefault="00000000" w:rsidRPr="00000000" w14:paraId="0000000D">
      <w:pPr>
        <w:spacing w:line="36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hanging="2"/>
        <w:jc w:val="center"/>
        <w:rPr/>
      </w:pPr>
      <w:r w:rsidDel="00000000" w:rsidR="00000000" w:rsidRPr="00000000">
        <w:rPr>
          <w:rtl w:val="0"/>
        </w:rPr>
        <w:t xml:space="preserve">Análise de Conjuntura das Políticas Públicas dos Atingidos por Enchentes no Alto Vale do Itajaí</w:t>
      </w:r>
    </w:p>
    <w:p w:rsidR="00000000" w:rsidDel="00000000" w:rsidP="00000000" w:rsidRDefault="00000000" w:rsidRPr="00000000" w14:paraId="0000000F">
      <w:pPr>
        <w:tabs>
          <w:tab w:val="left" w:leader="none" w:pos="3544"/>
        </w:tabs>
        <w:spacing w:line="360" w:lineRule="auto"/>
        <w:ind w:hanging="2"/>
        <w:jc w:val="center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3544"/>
        </w:tabs>
        <w:spacing w:line="360" w:lineRule="auto"/>
        <w:ind w:hanging="2"/>
        <w:jc w:val="center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11">
      <w:pPr>
        <w:spacing w:after="240" w:before="240" w:line="360" w:lineRule="auto"/>
        <w:jc w:val="both"/>
        <w:rPr/>
      </w:pPr>
      <w:r w:rsidDel="00000000" w:rsidR="00000000" w:rsidRPr="00000000">
        <w:rPr>
          <w:rtl w:val="0"/>
        </w:rPr>
        <w:t xml:space="preserve">Este artigo integra uma pesquisa em andamento que analisa as dinâmicas sociais e políticas na formulação de políticas públicas voltadas às populações atingidas por enchentes no Alto Vale do Itajaí (SC), entre 2008 e 2024. O recorte temporal contempla eventos críticos na região, o avanço das ações institucionais e o surgimento de novas mobilizações comunitárias. A metodologia baseia-se na análise de conjuntura, utilizando os conceitos de “indústria da enchente” (Fraga e Kohler, 1999) e “capitalismo de desastre” (Klein, 2007), que permitem entender como eventos extremos são instrumentalizados por interesses econômicos e políticos. O objetivo é investigar como essas políticas vêm sendo historicamente implementadas e de</w:t>
      </w:r>
    </w:p>
    <w:p w:rsidR="00000000" w:rsidDel="00000000" w:rsidP="00000000" w:rsidRDefault="00000000" w:rsidRPr="00000000" w14:paraId="00000012">
      <w:pPr>
        <w:spacing w:after="240" w:before="24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360" w:lineRule="auto"/>
        <w:jc w:val="both"/>
        <w:rPr/>
      </w:pPr>
      <w:r w:rsidDel="00000000" w:rsidR="00000000" w:rsidRPr="00000000">
        <w:rPr>
          <w:rtl w:val="0"/>
        </w:rPr>
        <w:t xml:space="preserve">que forma determinados sujeitos sociais — especialmente comunidades indígenas, o povo Cafuzo e pequenos agricultores — constroem estratégias de resistência diante da vulnerabilidade estrutural que marca os territórios rurais.</w:t>
      </w:r>
    </w:p>
    <w:p w:rsidR="00000000" w:rsidDel="00000000" w:rsidP="00000000" w:rsidRDefault="00000000" w:rsidRPr="00000000" w14:paraId="00000016">
      <w:pPr>
        <w:spacing w:after="240" w:before="24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Alto Vale do Itajaí; enchentes; análise de conjuntura.</w:t>
      </w:r>
    </w:p>
    <w:p w:rsidR="00000000" w:rsidDel="00000000" w:rsidP="00000000" w:rsidRDefault="00000000" w:rsidRPr="00000000" w14:paraId="00000017">
      <w:pPr>
        <w:spacing w:line="360" w:lineRule="auto"/>
        <w:ind w:hanging="2"/>
        <w:jc w:val="both"/>
        <w:rPr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18">
      <w:pPr>
        <w:spacing w:line="360" w:lineRule="auto"/>
        <w:ind w:hanging="2"/>
        <w:jc w:val="both"/>
        <w:rPr/>
      </w:pPr>
      <w:r w:rsidDel="00000000" w:rsidR="00000000" w:rsidRPr="00000000">
        <w:rPr>
          <w:rtl w:val="0"/>
        </w:rPr>
        <w:tab/>
        <w:t xml:space="preserve">As enchentes representam um dos eventos naturais mais recorrentes e impactantes no Brasil, sendo agravadas pelas mudanças climáticas e pela gestão territorial desigual. No Alto Vale do Itajaí (SC), a frequência e intensidade desses desastres vêm impondo perdas significativas às populações locais, especialmente nas áreas rurais, onde os impactos extrapolam a dimensão infraestrutural e afetam diretamente os modos de vida e a subsistência das famílias. Nos centros urbanos, observa-se maior capacidade institucional para responder aos desastres e retomar a possível normalidade. Já nas áreas rurais, os processos de reconstrução são mais lentos e agravados pela ausência de políticas públicas que considerem suas especificidades.</w:t>
      </w:r>
    </w:p>
    <w:p w:rsidR="00000000" w:rsidDel="00000000" w:rsidP="00000000" w:rsidRDefault="00000000" w:rsidRPr="00000000" w14:paraId="00000019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Neste contexto, o presente artigo propõe analisar, a partir de uma abordagem crítica e situada, como as políticas públicas têm sido formuladas e implementadas na região do Alto Vale do Itajaí. O foco está em compreender os conflitos e interesses que permeiam essas políticas, bem como os sujeitos sociais envolvidos nas disputas territoriais e institucionais. A pesquisa parte da concepção de que as enchentes, apesar de tratadas como eventos naturais, são profundamente atravessadas por desigualdades históricas, relações de poder e disputas por território.</w:t>
      </w:r>
    </w:p>
    <w:p w:rsidR="00000000" w:rsidDel="00000000" w:rsidP="00000000" w:rsidRDefault="00000000" w:rsidRPr="00000000" w14:paraId="0000001A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O recorte temporal da pesquisa compreende os anos de 2008 a 2024. Este intervalo foi escolhido por englobar um período de intensificação dos desastres na região — com enchentes de grande impacto ocorridas em 2008, </w:t>
      </w:r>
    </w:p>
    <w:p w:rsidR="00000000" w:rsidDel="00000000" w:rsidP="00000000" w:rsidRDefault="00000000" w:rsidRPr="00000000" w14:paraId="0000001B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2011, 2023 e 2024 — e também por marcar uma fase de ampliação dos investimentos públicos vinculados ao PAC, bem como a reestruturação de projetos de contenção e manejo de cheias. Além disso, esse recorte permite observar a permanência ou transformação das estratégias institucionais diante da crescente mobilização social. O objetivo é contribuir para o debate sobre justiça social e ambiental, evidenciando os limites das respostas estatais e as potências das resistências locais.</w:t>
      </w:r>
    </w:p>
    <w:p w:rsidR="00000000" w:rsidDel="00000000" w:rsidP="00000000" w:rsidRDefault="00000000" w:rsidRPr="00000000" w14:paraId="00000021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PROCEDIMENTOS METODOLÓGICOS</w:t>
      </w:r>
    </w:p>
    <w:p w:rsidR="00000000" w:rsidDel="00000000" w:rsidP="00000000" w:rsidRDefault="00000000" w:rsidRPr="00000000" w14:paraId="00000023">
      <w:pPr>
        <w:spacing w:line="360" w:lineRule="auto"/>
        <w:jc w:val="both"/>
        <w:rPr/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  <w:t xml:space="preserve">A pesquisa adota uma abordagem qualitativa de caráter exploratório, descritivo e analítico, fundamentada na metodologia da análise de conjuntura conforme sistematizada por Souza (2014). Esta abordagem permite identificar os atores sociais em disputa, as correlações de força, as contradições estruturais e as tendências históricas que moldam o cenário político. O recorte temporal, de 2008 a 2024, justifica-se por concentrar um conjunto de eventos críticos e respostas institucionais relevantes, como a enchente de 2008 — um marco na percepção da população sobre a insuficiência do Estado —, a execução parcial de projetos do PAC em 2013, e a retomada do debate após as enchentes de 2023 e 2024.</w:t>
      </w:r>
    </w:p>
    <w:p w:rsidR="00000000" w:rsidDel="00000000" w:rsidP="00000000" w:rsidRDefault="00000000" w:rsidRPr="00000000" w14:paraId="00000024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O mapeamento inicial identificou quatro atores sociais centrais: o povo indígena Xokleng, o povo Cafuzo, os pequenos agricultores da região e os representantes do Governo de Santa Catarina, responsáveis pelas barragens de contenção. Para a análise, foram mobilizados dois operadores conceituais: o conceito de desastre, compreendido como fenômeno socialmente produzido</w:t>
      </w:r>
    </w:p>
    <w:p w:rsidR="00000000" w:rsidDel="00000000" w:rsidP="00000000" w:rsidRDefault="00000000" w:rsidRPr="00000000" w14:paraId="00000025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(Acselrad, 2009), e o conceito de escala, entendido como construção social que articula diferentes níveis de observação e ação (Castro, 1995).</w:t>
      </w:r>
    </w:p>
    <w:p w:rsidR="00000000" w:rsidDel="00000000" w:rsidP="00000000" w:rsidRDefault="00000000" w:rsidRPr="00000000" w14:paraId="00000026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Além desses, a análise incorpora os conceitos de “indústria da enchente”, que denuncia a instrumentalização recorrente dos desastres para</w:t>
      </w:r>
    </w:p>
    <w:p w:rsidR="00000000" w:rsidDel="00000000" w:rsidP="00000000" w:rsidRDefault="00000000" w:rsidRPr="00000000" w14:paraId="00000027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manter estruturas de dependência e lucro, e “capitalismo de desastre”, que expõe como as crises são utilizadas para implementar reformas neoliberais que aprofundam as desigualdades. A pesquisa está aberta à possibilidade de se desdobrar em estudos de caso, com base na coleta de entrevistas com os sujeitos atingidos, ainda em fase de desenvolvimento, a fim de aprofundar a compreensão empírica das estratégias locais de resistência.</w:t>
      </w:r>
    </w:p>
    <w:p w:rsidR="00000000" w:rsidDel="00000000" w:rsidP="00000000" w:rsidRDefault="00000000" w:rsidRPr="00000000" w14:paraId="0000002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UM BREVE HISTÓRICO DAS ENCHENTES NO ALTO VALE DO ITAJAÍ </w:t>
      </w:r>
    </w:p>
    <w:p w:rsidR="00000000" w:rsidDel="00000000" w:rsidP="00000000" w:rsidRDefault="00000000" w:rsidRPr="00000000" w14:paraId="0000002F">
      <w:pPr>
        <w:spacing w:line="360" w:lineRule="auto"/>
        <w:jc w:val="both"/>
        <w:rPr/>
      </w:pPr>
      <w:r w:rsidDel="00000000" w:rsidR="00000000" w:rsidRPr="00000000">
        <w:rPr>
          <w:rtl w:val="0"/>
        </w:rPr>
        <w:tab/>
        <w:t xml:space="preserve">Nesta parte, busca-se sistematizar como as políticas públicas são pensadas, partindo da concepção de espaço proposta por Massey (2008). A autora compreende o espaço geográfico como produto das inter-relações entre atores sociais e suas práticas, destacando que o espaço não é estático, mas sim uma esfera de possibilidades em constante movimento, onde se assegura a multiplicidade e a coexistência de diferentes temporalidades e sujeitos. Segundo ela, o espaço e o tempo são dimensões interligadas: “se o tempo é a dimensão da mudança, então o espaço é a dimensão do social: da coexistência contemporânea dos outros” (MASSEY, 2008, p. 15). </w:t>
      </w:r>
    </w:p>
    <w:p w:rsidR="00000000" w:rsidDel="00000000" w:rsidP="00000000" w:rsidRDefault="00000000" w:rsidRPr="00000000" w14:paraId="00000030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A partir dessa perspectiva, a autora propõe uma política da espacialidade que reconhece o espaço como campo de relações dinâmicas, marcadas por disputas de poder, negociações e conflitos. Nesse contexto, as políticas públicas não apenas se inscrevem nessas relações, mas também possuem a capacidade de transformar o espaço, reconfigurando práticas sociais, reorganizando territórios e abrindo novas possibilidades de existência e convivência. Isso poderá ser observado nas mudanças tecnológicas e estruturais implementadas no Alto Vale do Itajaí com o objetivo de mitigar os efeitos das cheias, o que pode não levar em consideração as diferentes demandas dos atores sociais. Para compreender essas dinâmicas, torna-se necessário identificar quem são esses atores, quais interesses representam e</w:t>
      </w:r>
    </w:p>
    <w:p w:rsidR="00000000" w:rsidDel="00000000" w:rsidP="00000000" w:rsidRDefault="00000000" w:rsidRPr="00000000" w14:paraId="00000031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em quais espaços de disputa estão inseridos, reconhecendo as múltiplas vozes e relações que conformam o território.</w:t>
      </w:r>
    </w:p>
    <w:p w:rsidR="00000000" w:rsidDel="00000000" w:rsidP="00000000" w:rsidRDefault="00000000" w:rsidRPr="00000000" w14:paraId="00000037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O Alto Vale do Itajaí, situado na bacia do Rio Itajaí-Açu, a nordeste do Estado de Santa Catarina, caracteriza-se por sua relevância econômica e ambiental, assim como também chama atenção os problemas históricos relacionados às enchentes, que tem relação com a feição geográfica e com a intensificação causada pela destruição da vegetação nativa, especialmente a Floresta Ombrófila Densa, e pela ocupação desordenada destinada às atividades agropecuárias. Essa dinâmica foi agravada por intervenções inadequadas no uso do solo, resultando em erosão, assoreamento e aumento das vulnerabilidades socioambientais (Espíndola; Nodari, 2013). </w:t>
      </w:r>
    </w:p>
    <w:p w:rsidR="00000000" w:rsidDel="00000000" w:rsidP="00000000" w:rsidRDefault="00000000" w:rsidRPr="00000000" w14:paraId="00000038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Frank (2003) e Espíndola e Nodari (2013) apresentam uma análise histórica e técnica sobre a mitigação de enchentes na região do  Vale do Itajaí, destacando a atuação do poder público e as limitações enfrentadas ao longo do tempo. Após a enchente de 1911, iniciou-se uma mobilização da sociedade civil para encontrar soluções preventivas. À época, pensava-se em construir um muro de contenção em Blumenau, contudo o debate acabou não indo para frente, sendo retomado com vigor apenas após as enchentes ocorridas na região em 1957. Durante a década de 1930, começou-se a implementar um sistema de previsão de cheias, que passou a contar com monitoramento diário a partir de 1940. A enchente de 1957 intensificou a mobilização, culminando na criação da Associação de Imprensa e Rádio do Vale do Itajaí (AIRV), que pressionou o Estado por medidas efetivas.</w:t>
      </w:r>
    </w:p>
    <w:p w:rsidR="00000000" w:rsidDel="00000000" w:rsidP="00000000" w:rsidRDefault="00000000" w:rsidRPr="00000000" w14:paraId="00000039">
      <w:pPr>
        <w:spacing w:line="360" w:lineRule="auto"/>
        <w:jc w:val="both"/>
        <w:rPr/>
      </w:pPr>
      <w:r w:rsidDel="00000000" w:rsidR="00000000" w:rsidRPr="00000000">
        <w:rPr>
          <w:rtl w:val="0"/>
        </w:rPr>
        <w:tab/>
        <w:t xml:space="preserve">Na década de 1950, estudos indicaram a necessidade de obras estruturais, resultando na construção de três barragens: a Barragem Sul, no município de Ituporanga; a Barragem Oeste, no município de Taió; e a Barragem Norte, no município de José Boiteux. Apesar disso, cabe salientar  que, como apontam Athayde e Martins (2017), a escolha dos lugares para a</w:t>
      </w:r>
    </w:p>
    <w:p w:rsidR="00000000" w:rsidDel="00000000" w:rsidP="00000000" w:rsidRDefault="00000000" w:rsidRPr="00000000" w14:paraId="0000003A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]]</w:t>
      </w:r>
    </w:p>
    <w:p w:rsidR="00000000" w:rsidDel="00000000" w:rsidP="00000000" w:rsidRDefault="00000000" w:rsidRPr="00000000" w14:paraId="0000003C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instalação das obras se deu em razão de aspectos políticos, desconsiderando a opinião das comunidades que viviam nos lugares em que os empreendimentos foram realizados. A respeito dos impactos ambientais oriundos da construção das barragens, os autores ainda afirmam que “nascentes desapareceram devido aos cortes e explosão de rochas durante as obras” (Athayde e Martins, 2017, p. 123). </w:t>
      </w:r>
    </w:p>
    <w:p w:rsidR="00000000" w:rsidDel="00000000" w:rsidP="00000000" w:rsidRDefault="00000000" w:rsidRPr="00000000" w14:paraId="00000040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Concluídas entre 1973 e 1992</w:t>
      </w:r>
      <w:r w:rsidDel="00000000" w:rsidR="00000000" w:rsidRPr="00000000">
        <w:rPr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  <w:t xml:space="preserve">, essas barragens tinham como objetivo reduzir os danos das cheias, mas não abrangiam toda a bacia, exigindo medidas complementares, como as dragagens do Rio Itajaí-Açu, implementadas de forma parcial. Ainda durante o processo de construção das barragens, o município de Rio do Sul, principal centro do Alto Vale do Itajaí e mais populoso da região, enfrentou enchentes catastróficas nos anos de 1983 e 1984, evidenciando a insuficiência das políticas públicas adotadas na época que, mesmo com a construção das barragens, não foram capazes de resolver problemas estruturais da região (Espíndola; Nodari; Fraga, 2001).</w:t>
      </w:r>
    </w:p>
    <w:p w:rsidR="00000000" w:rsidDel="00000000" w:rsidP="00000000" w:rsidRDefault="00000000" w:rsidRPr="00000000" w14:paraId="00000041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Em 1986, foi lançado o Projeto </w:t>
      </w:r>
      <w:r w:rsidDel="00000000" w:rsidR="00000000" w:rsidRPr="00000000">
        <w:rPr>
          <w:i w:val="1"/>
          <w:rtl w:val="0"/>
        </w:rPr>
        <w:t xml:space="preserve">The Itajaí River Basin Flood Control Project</w:t>
      </w:r>
      <w:r w:rsidDel="00000000" w:rsidR="00000000" w:rsidRPr="00000000">
        <w:rPr>
          <w:rtl w:val="0"/>
        </w:rPr>
        <w:t xml:space="preserve"> (JICA), propondo ações abrangentes de contenção e manejo dos rios, mas sua execução foi inviabilizada por falta de recursos. Na década de 1990, o governo estadual de Santa Catarina elaborou o Plano Global e Integrado de Defesa contra Enchentes (PLADE), inspirado no JICA, que previa intervenções como alargamento de rios e melhorias na calha fluvial. No entanto, dificuldades financeiras adiaram sua execução, sendo parcialmente retomada apenas após as enchentes de 2008. Esse contexto evidencia a persistência de desafios históricos e estruturais no enfrentamento das enchentes no Vale do Itajaí (Espíndola; Nodari, 2013; Frank, 2003).</w:t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No âmbito do Plano de Aceleração do Crescimento (PAC), foram anunciadas em 2013 ações como o aumento do nível das barragens de Taió e Ituporanga, a construção de cinco pequenas represas e o desassoreamento do Rio Itajaí-Açu. Apesar dessas iniciativas representarem avanços, os desafios permanecem significativos. A história das barragens e projetos na região demonstra a necessidade de uma abordagem mais eficaz, que combine obras estruturais e ações não estruturais, buscando mitigar os impactos das enchentes de forma duradoura e sustentável, protegendo as comunidades do Vale do Itajaí.</w:t>
      </w:r>
    </w:p>
    <w:p w:rsidR="00000000" w:rsidDel="00000000" w:rsidP="00000000" w:rsidRDefault="00000000" w:rsidRPr="00000000" w14:paraId="00000049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CONSIDERAÇÕES FINAIS</w:t>
      </w:r>
    </w:p>
    <w:p w:rsidR="00000000" w:rsidDel="00000000" w:rsidP="00000000" w:rsidRDefault="00000000" w:rsidRPr="00000000" w14:paraId="0000004B">
      <w:pPr>
        <w:spacing w:line="360" w:lineRule="auto"/>
        <w:jc w:val="both"/>
        <w:rPr/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  <w:t xml:space="preserve">Este artigo buscou aplicar a metodologia de análise de conjuntura para interpretar as dinâmicas de formulação e implementação de políticas públicas voltadas aos atingidos por enchentes no Alto Vale do Itajaí. Observou-se que, apesar de inúmeras intervenções técnicas ao longo das últimas décadas, as soluções implementadas permanecem centradas em uma lógica de curto prazo, favorecendo interesses corporativos e estatais, em detrimento das comunidades mais vulneráveis. A persistência das enchentes e dos impactos severos sobre os modos de vida rurais evidencia a necessidade de romper com a lógica da “indústria da enchente” e do “capitalismo de desastre”.</w:t>
      </w:r>
    </w:p>
    <w:p w:rsidR="00000000" w:rsidDel="00000000" w:rsidP="00000000" w:rsidRDefault="00000000" w:rsidRPr="00000000" w14:paraId="0000004C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A análise multiescalar, articulada aos conceitos de desastre e escala, revelou que as políticas públicas adotadas não contemplam adequadamente as</w:t>
      </w:r>
    </w:p>
    <w:p w:rsidR="00000000" w:rsidDel="00000000" w:rsidP="00000000" w:rsidRDefault="00000000" w:rsidRPr="00000000" w14:paraId="0000004D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especificidades territoriais, nem asseguram a participação efetiva dos sujeitos atingidos. Comunidades como os povos indígenas Xokleng, o povo Cafuzo e os pequenos agricultores seguem enfrentando processos de exclusão e invisibilização. O trabalho reconhece como limitação o fato de que as entrevistas ainda estão em fase de coleta. No entanto, os dados já</w:t>
      </w:r>
    </w:p>
    <w:p w:rsidR="00000000" w:rsidDel="00000000" w:rsidP="00000000" w:rsidRDefault="00000000" w:rsidRPr="00000000" w14:paraId="0000004E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sistematizados permitem avançar na compreensão das disputas políticas em curso.</w:t>
      </w:r>
    </w:p>
    <w:p w:rsidR="00000000" w:rsidDel="00000000" w:rsidP="00000000" w:rsidRDefault="00000000" w:rsidRPr="00000000" w14:paraId="00000055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Como desdobramento, sugere-se que futuras investigações aprofundem os modos de organização e resistência das comunidades afetadas, ampliando o debate sobre justiça ambiental e participação popular nas políticas públicas em contextos de desastres. A continuidade desta pesquisa, especialmente com a inserção das vozes dos sujeitos sociais, poderá contribuir para a formulação de alternativas mais inclusivas e democráticas para os territórios atingidos.</w:t>
      </w:r>
    </w:p>
    <w:p w:rsidR="00000000" w:rsidDel="00000000" w:rsidP="00000000" w:rsidRDefault="00000000" w:rsidRPr="00000000" w14:paraId="00000056">
      <w:pPr>
        <w:spacing w:after="240" w:before="240" w:line="36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REFERÊNCIAS</w:t>
      </w:r>
    </w:p>
    <w:p w:rsidR="00000000" w:rsidDel="00000000" w:rsidP="00000000" w:rsidRDefault="00000000" w:rsidRPr="00000000" w14:paraId="00000057">
      <w:pPr>
        <w:spacing w:after="24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ACSELRAD, Henri. Ambientalização das lutas sociais - o caso do movimento por justiça ambiental . </w:t>
      </w:r>
      <w:r w:rsidDel="00000000" w:rsidR="00000000" w:rsidRPr="00000000">
        <w:rPr>
          <w:b w:val="1"/>
          <w:rtl w:val="0"/>
        </w:rPr>
        <w:t xml:space="preserve">Estudos Avançados</w:t>
      </w:r>
      <w:r w:rsidDel="00000000" w:rsidR="00000000" w:rsidRPr="00000000">
        <w:rPr>
          <w:rtl w:val="0"/>
        </w:rPr>
        <w:t xml:space="preserve">, São Paulo, Brasil, v. 24, n. 68, p. 103–119, 2010. </w:t>
      </w:r>
      <w:hyperlink r:id="rId10">
        <w:r w:rsidDel="00000000" w:rsidR="00000000" w:rsidRPr="00000000">
          <w:rPr>
            <w:color w:val="4b7d92"/>
            <w:u w:val="single"/>
            <w:rtl w:val="0"/>
          </w:rPr>
          <w:t xml:space="preserve">Disponível em: https://www.revistas.usp.br/eav/article/view/10469.</w:t>
        </w:r>
      </w:hyperlink>
      <w:r w:rsidDel="00000000" w:rsidR="00000000" w:rsidRPr="00000000">
        <w:rPr>
          <w:rtl w:val="0"/>
        </w:rPr>
        <w:t xml:space="preserve">. Acesso em: 20 abril. 2025.</w:t>
      </w:r>
    </w:p>
    <w:p w:rsidR="00000000" w:rsidDel="00000000" w:rsidP="00000000" w:rsidRDefault="00000000" w:rsidRPr="00000000" w14:paraId="00000058">
      <w:pPr>
        <w:spacing w:after="24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ATHAYDE, Marcia Fusinato Barbosa; MARTINS, Pedro. BARRAGEM NORTE E SUAS INFLUÊNCIAS SOCIOESPACIAIS NO MUNICÍPIO DE JOSÉ BOITEUX –SC: UM OLHAR SOBRE AS COMUNIDADES ATINGIDAS. </w:t>
      </w:r>
      <w:r w:rsidDel="00000000" w:rsidR="00000000" w:rsidRPr="00000000">
        <w:rPr>
          <w:b w:val="1"/>
          <w:rtl w:val="0"/>
        </w:rPr>
        <w:t xml:space="preserve">Geosul</w:t>
      </w:r>
      <w:r w:rsidDel="00000000" w:rsidR="00000000" w:rsidRPr="00000000">
        <w:rPr>
          <w:rtl w:val="0"/>
        </w:rPr>
        <w:t xml:space="preserve">, Florianópolis, v. 32, n. 64, p. 110-125, ago. 2017. Disponível em: https://periodicos.ufsc.br/index.php/geosul/article/view/2177-5230.2017v32n64p110. Acesso em: 10 abr. 2025.</w:t>
      </w:r>
    </w:p>
    <w:p w:rsidR="00000000" w:rsidDel="00000000" w:rsidP="00000000" w:rsidRDefault="00000000" w:rsidRPr="00000000" w14:paraId="00000059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CASTRO, Iná Elias de. Análise geográfica e o problema epistemológico da escala. </w:t>
      </w:r>
      <w:r w:rsidDel="00000000" w:rsidR="00000000" w:rsidRPr="00000000">
        <w:rPr>
          <w:b w:val="1"/>
          <w:rtl w:val="0"/>
        </w:rPr>
        <w:t xml:space="preserve">Revista Brasileira de Geografia</w:t>
      </w:r>
      <w:r w:rsidDel="00000000" w:rsidR="00000000" w:rsidRPr="00000000">
        <w:rPr>
          <w:rtl w:val="0"/>
        </w:rPr>
        <w:t xml:space="preserve">, Rio de Janeiro, v. 58, n. 1, p. 17-29, 1995.</w:t>
      </w:r>
    </w:p>
    <w:p w:rsidR="00000000" w:rsidDel="00000000" w:rsidP="00000000" w:rsidRDefault="00000000" w:rsidRPr="00000000" w14:paraId="0000005A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ESPÍNDOLA, Marcos Aurélio; NODARI, Eunice Sueli. Enchentes inesperadas? Vulnerabilidades e políticas públicas em Rio do Sul - SC, Brasil. </w:t>
      </w:r>
      <w:r w:rsidDel="00000000" w:rsidR="00000000" w:rsidRPr="00000000">
        <w:rPr>
          <w:b w:val="1"/>
          <w:rtl w:val="0"/>
        </w:rPr>
        <w:t xml:space="preserve">Esboços - Revista do Programa de Pós-graduação em História da UFSC</w:t>
      </w:r>
      <w:r w:rsidDel="00000000" w:rsidR="00000000" w:rsidRPr="00000000">
        <w:rPr>
          <w:rtl w:val="0"/>
        </w:rPr>
        <w:t xml:space="preserve">, [s.l.], v. 20, n.</w:t>
      </w:r>
    </w:p>
    <w:p w:rsidR="00000000" w:rsidDel="00000000" w:rsidP="00000000" w:rsidRDefault="00000000" w:rsidRPr="00000000" w14:paraId="0000005C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30, p. 9-34, 19 dez. 2013. Universidade Federal de Santa Catarina (UFSC). Disponível em:</w:t>
      </w:r>
      <w:hyperlink r:id="rId11">
        <w:r w:rsidDel="00000000" w:rsidR="00000000" w:rsidRPr="00000000">
          <w:rPr>
            <w:rtl w:val="0"/>
          </w:rPr>
          <w:t xml:space="preserve"> </w:t>
        </w:r>
      </w:hyperlink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https://doi.org/10.5007/2175-7976.2013v20n30p9</w:t>
        </w:r>
      </w:hyperlink>
      <w:r w:rsidDel="00000000" w:rsidR="00000000" w:rsidRPr="00000000">
        <w:rPr>
          <w:rtl w:val="0"/>
        </w:rPr>
        <w:t xml:space="preserve">. Acesso 10 ago. 2024.</w:t>
      </w:r>
    </w:p>
    <w:p w:rsidR="00000000" w:rsidDel="00000000" w:rsidP="00000000" w:rsidRDefault="00000000" w:rsidRPr="00000000" w14:paraId="0000005D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FRAGA, J. S.; KOHLER, R. A. A indústria da enchente: A política pública no Vale do Itajaí. </w:t>
      </w:r>
      <w:r w:rsidDel="00000000" w:rsidR="00000000" w:rsidRPr="00000000">
        <w:rPr>
          <w:b w:val="1"/>
          <w:rtl w:val="0"/>
        </w:rPr>
        <w:t xml:space="preserve">Revista Brasileira de Política Social</w:t>
      </w:r>
      <w:r w:rsidDel="00000000" w:rsidR="00000000" w:rsidRPr="00000000">
        <w:rPr>
          <w:rtl w:val="0"/>
        </w:rPr>
        <w:t xml:space="preserve">, Florianópolis, v. 2, n. 3, p. 45-58, 1999.</w:t>
      </w:r>
    </w:p>
    <w:p w:rsidR="00000000" w:rsidDel="00000000" w:rsidP="00000000" w:rsidRDefault="00000000" w:rsidRPr="00000000" w14:paraId="00000068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FRAGA, Nilson Cesar. Clima, gestão do território e enchentes no Vale do Itajaí-SC. </w:t>
      </w:r>
      <w:r w:rsidDel="00000000" w:rsidR="00000000" w:rsidRPr="00000000">
        <w:rPr>
          <w:i w:val="1"/>
          <w:rtl w:val="0"/>
        </w:rPr>
        <w:t xml:space="preserve">Terra Livre</w:t>
      </w:r>
      <w:r w:rsidDel="00000000" w:rsidR="00000000" w:rsidRPr="00000000">
        <w:rPr>
          <w:rtl w:val="0"/>
        </w:rPr>
        <w:t xml:space="preserve">, n. 20, p. 159-170, 2003. Disponível em:</w:t>
      </w:r>
      <w:hyperlink r:id="rId13">
        <w:r w:rsidDel="00000000" w:rsidR="00000000" w:rsidRPr="00000000">
          <w:rPr>
            <w:rtl w:val="0"/>
          </w:rPr>
          <w:t xml:space="preserve"> </w:t>
        </w:r>
      </w:hyperlink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https://publicacoes.agb.org.br/terralivre/article/view/181/165</w:t>
        </w:r>
      </w:hyperlink>
      <w:r w:rsidDel="00000000" w:rsidR="00000000" w:rsidRPr="00000000">
        <w:rPr>
          <w:rtl w:val="0"/>
        </w:rPr>
        <w:t xml:space="preserve">. Acesso em: 10 ago. 2024.</w:t>
      </w:r>
    </w:p>
    <w:p w:rsidR="00000000" w:rsidDel="00000000" w:rsidP="00000000" w:rsidRDefault="00000000" w:rsidRPr="00000000" w14:paraId="00000069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FRAGA, Nilson Cesar; KÖHLER, Vera Beatriz. As enchentes no Vale do Itajaí-Açu/SC: das obras de contenção à indústria da enchente. </w:t>
      </w:r>
      <w:r w:rsidDel="00000000" w:rsidR="00000000" w:rsidRPr="00000000">
        <w:rPr>
          <w:b w:val="1"/>
          <w:rtl w:val="0"/>
        </w:rPr>
        <w:t xml:space="preserve">Boletim de Geografia</w:t>
      </w:r>
      <w:r w:rsidDel="00000000" w:rsidR="00000000" w:rsidRPr="00000000">
        <w:rPr>
          <w:rtl w:val="0"/>
        </w:rPr>
        <w:t xml:space="preserve">, v. 17, p. 81-92, 1999. Disponível em:</w:t>
      </w:r>
      <w:hyperlink r:id="rId15">
        <w:r w:rsidDel="00000000" w:rsidR="00000000" w:rsidRPr="00000000">
          <w:rPr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http://www.periodicos.uem.br/ojs/index.php/BolGeogr/article/view/12065</w:t>
        </w:r>
      </w:hyperlink>
      <w:r w:rsidDel="00000000" w:rsidR="00000000" w:rsidRPr="00000000">
        <w:rPr>
          <w:rtl w:val="0"/>
        </w:rPr>
        <w:t xml:space="preserve">. Acesso em: 06 ago. 2024.</w:t>
      </w:r>
    </w:p>
    <w:p w:rsidR="00000000" w:rsidDel="00000000" w:rsidP="00000000" w:rsidRDefault="00000000" w:rsidRPr="00000000" w14:paraId="0000006A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FRANK, Beate. Uma história das Enchentes e seus ensinamentos. In: FRANK, B.; PINHEIRO, A. (Orgs.). Enchentes na Bacia do Rio Itajaí: 20 anos de experiências. Blumenau: </w:t>
      </w:r>
      <w:r w:rsidDel="00000000" w:rsidR="00000000" w:rsidRPr="00000000">
        <w:rPr>
          <w:b w:val="1"/>
          <w:rtl w:val="0"/>
        </w:rPr>
        <w:t xml:space="preserve">Edifurb</w:t>
      </w:r>
      <w:r w:rsidDel="00000000" w:rsidR="00000000" w:rsidRPr="00000000">
        <w:rPr>
          <w:rtl w:val="0"/>
        </w:rPr>
        <w:t xml:space="preserve">, 2003.</w:t>
      </w:r>
    </w:p>
    <w:p w:rsidR="00000000" w:rsidDel="00000000" w:rsidP="00000000" w:rsidRDefault="00000000" w:rsidRPr="00000000" w14:paraId="0000006B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KLEIN, N. </w:t>
      </w:r>
      <w:r w:rsidDel="00000000" w:rsidR="00000000" w:rsidRPr="00000000">
        <w:rPr>
          <w:i w:val="1"/>
          <w:rtl w:val="0"/>
        </w:rPr>
        <w:t xml:space="preserve">A doutrina do choque: A ascensão do capitalismo de desastre</w:t>
      </w:r>
      <w:r w:rsidDel="00000000" w:rsidR="00000000" w:rsidRPr="00000000">
        <w:rPr>
          <w:rtl w:val="0"/>
        </w:rPr>
        <w:t xml:space="preserve">. Rio de Janeiro: </w:t>
      </w:r>
      <w:r w:rsidDel="00000000" w:rsidR="00000000" w:rsidRPr="00000000">
        <w:rPr>
          <w:b w:val="1"/>
          <w:rtl w:val="0"/>
        </w:rPr>
        <w:t xml:space="preserve">Editora Nova Fronteira</w:t>
      </w:r>
      <w:r w:rsidDel="00000000" w:rsidR="00000000" w:rsidRPr="00000000">
        <w:rPr>
          <w:rtl w:val="0"/>
        </w:rPr>
        <w:t xml:space="preserve">, 2007.</w:t>
      </w:r>
    </w:p>
    <w:p w:rsidR="00000000" w:rsidDel="00000000" w:rsidP="00000000" w:rsidRDefault="00000000" w:rsidRPr="00000000" w14:paraId="0000006C">
      <w:pPr>
        <w:spacing w:line="240" w:lineRule="auto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MASSEY, Doreen. Pelo espaço: uma nova política da espacialidade. Rio de Janeiro: Bertrand Brasil, 2008.</w:t>
      </w:r>
    </w:p>
    <w:p w:rsidR="00000000" w:rsidDel="00000000" w:rsidP="00000000" w:rsidRDefault="00000000" w:rsidRPr="00000000" w14:paraId="0000006D">
      <w:pPr>
        <w:spacing w:line="240" w:lineRule="auto"/>
        <w:jc w:val="both"/>
        <w:rPr/>
      </w:pPr>
      <w:r w:rsidDel="00000000" w:rsidR="00000000" w:rsidRPr="00000000">
        <w:rPr>
          <w:color w:val="222222"/>
          <w:highlight w:val="white"/>
          <w:rtl w:val="0"/>
        </w:rPr>
        <w:t xml:space="preserve">SOUZA, Herbert José de. Como se faz análise de conjuntura. 34. ed. Petrópolis: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Editora Vozes</w:t>
      </w:r>
      <w:r w:rsidDel="00000000" w:rsidR="00000000" w:rsidRPr="00000000">
        <w:rPr>
          <w:color w:val="222222"/>
          <w:highlight w:val="white"/>
          <w:rtl w:val="0"/>
        </w:rPr>
        <w:t xml:space="preserve">, 2014.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 w:orient="portrait"/>
      <w:pgMar w:bottom="1417" w:top="1417" w:left="1701" w:right="1701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rebuchet MS" w:cs="Trebuchet MS" w:eastAsia="Trebuchet MS" w:hAnsi="Trebuchet M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-10065383</wp:posOffset>
          </wp:positionV>
          <wp:extent cx="7566660" cy="2136140"/>
          <wp:effectExtent b="0" l="0" r="0" t="0"/>
          <wp:wrapSquare wrapText="bothSides" distB="0" distT="0" distL="114300" distR="114300"/>
          <wp:docPr descr="Uma imagem contendo Texto&#10;&#10;O conteúdo gerado por IA pode estar incorreto." id="2128089471" name="image1.png"/>
          <a:graphic>
            <a:graphicData uri="http://schemas.openxmlformats.org/drawingml/2006/picture">
              <pic:pic>
                <pic:nvPicPr>
                  <pic:cNvPr descr="Uma imagem contendo Text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1"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Mestranda no Programa de Pós-Graduação em Desenvolvimento Rural na Universidade Federal do Rio Grande do Sul (PGDR/UFRGS).</w:t>
      </w:r>
      <w:hyperlink r:id="rId1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2">
        <w:r w:rsidDel="00000000" w:rsidR="00000000" w:rsidRPr="00000000">
          <w:rPr>
            <w:color w:val="467886"/>
            <w:sz w:val="20"/>
            <w:szCs w:val="20"/>
            <w:u w:val="single"/>
            <w:rtl w:val="0"/>
          </w:rPr>
          <w:t xml:space="preserve">pereiraoliveiralaura@gmail.com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Mestrando no Programa de Pós-Graduação em História da Universidade Federal de Santa Catarina (PPGH/UFSC).</w:t>
      </w:r>
      <w:hyperlink r:id="rId3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4">
        <w:r w:rsidDel="00000000" w:rsidR="00000000" w:rsidRPr="00000000">
          <w:rPr>
            <w:color w:val="467886"/>
            <w:sz w:val="20"/>
            <w:szCs w:val="20"/>
            <w:u w:val="single"/>
            <w:rtl w:val="0"/>
          </w:rPr>
          <w:t xml:space="preserve">matheusfloreshis@gmail.com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70">
      <w:pPr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Em versões futuras do texto, é pertinente aprofundar o processo de construção das barragens, abordando aspectos como o processo de licitação, as etapas de execução e as pessoas atingidas.</w:t>
      </w:r>
    </w:p>
  </w:footnote>
  <w:footnote w:id="0">
    <w:p w:rsidR="00000000" w:rsidDel="00000000" w:rsidP="00000000" w:rsidRDefault="00000000" w:rsidRPr="00000000" w14:paraId="00000071">
      <w:pPr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 Agradecemos à Coordenação de Aperfeiçoamento de Pessoal de Nível Superior (CAPES) pelo apoio financeiro, fundamental para o desenvolvimento desta pesquisa.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rebuchet MS" w:cs="Trebuchet MS" w:eastAsia="Trebuchet MS" w:hAnsi="Trebuchet MS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Garamond" w:cs="Garamond" w:eastAsia="Garamond" w:hAnsi="Garamond"/>
      <w:color w:val="0f4761"/>
      <w:sz w:val="40"/>
      <w:szCs w:val="40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Garamond" w:cs="Garamond" w:eastAsia="Garamond" w:hAnsi="Garamond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Garamond" w:cs="Garamond" w:eastAsia="Garamond" w:hAnsi="Garamond"/>
      <w:color w:val="0f4761"/>
      <w:sz w:val="40"/>
      <w:szCs w:val="40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Garamond" w:cs="Garamond" w:eastAsia="Garamond" w:hAnsi="Garamond"/>
      <w:sz w:val="56"/>
      <w:szCs w:val="56"/>
    </w:rPr>
  </w:style>
  <w:style w:type="paragraph" w:styleId="Normal" w:default="1">
    <w:name w:val="Normal"/>
    <w:qFormat w:val="1"/>
    <w:rsid w:val="00D46408"/>
  </w:style>
  <w:style w:type="paragraph" w:styleId="Ttulo1">
    <w:name w:val="heading 1"/>
    <w:basedOn w:val="Normal"/>
    <w:next w:val="Normal"/>
    <w:link w:val="Ttulo1Char"/>
    <w:uiPriority w:val="9"/>
    <w:qFormat w:val="1"/>
    <w:rsid w:val="00733AFB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link w:val="Ttulo2Char"/>
    <w:uiPriority w:val="9"/>
    <w:qFormat w:val="1"/>
    <w:rsid w:val="00D46408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kern w:val="0"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733AFB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733AFB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733AFB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733AFB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733AFB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733AFB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733AFB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basedOn w:val="Fontepargpadro"/>
    <w:link w:val="Ttulo2"/>
    <w:uiPriority w:val="9"/>
    <w:rsid w:val="00D46408"/>
    <w:rPr>
      <w:rFonts w:ascii="Times New Roman" w:cs="Times New Roman" w:eastAsia="Times New Roman" w:hAnsi="Times New Roman"/>
      <w:b w:val="1"/>
      <w:bCs w:val="1"/>
      <w:kern w:val="0"/>
      <w:sz w:val="36"/>
      <w:szCs w:val="36"/>
      <w:lang w:eastAsia="pt-BR"/>
    </w:rPr>
  </w:style>
  <w:style w:type="character" w:styleId="Forte">
    <w:name w:val="Strong"/>
    <w:basedOn w:val="Fontepargpadro"/>
    <w:uiPriority w:val="22"/>
    <w:qFormat w:val="1"/>
    <w:rsid w:val="00D46408"/>
    <w:rPr>
      <w:b w:val="1"/>
      <w:bCs w:val="1"/>
    </w:rPr>
  </w:style>
  <w:style w:type="character" w:styleId="Ttulo1Char" w:customStyle="1">
    <w:name w:val="Título 1 Char"/>
    <w:basedOn w:val="Fontepargpadro"/>
    <w:link w:val="Ttulo1"/>
    <w:uiPriority w:val="9"/>
    <w:rsid w:val="00733AF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733AF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733AFB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733AFB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733AFB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733AFB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733AFB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733AFB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har"/>
    <w:uiPriority w:val="10"/>
    <w:qFormat w:val="1"/>
    <w:rsid w:val="00733AFB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733AF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 w:val="1"/>
    <w:rsid w:val="00733AFB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733AFB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733AFB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733AFB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733AFB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733AFB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733AF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733AFB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733AFB"/>
    <w:rPr>
      <w:b w:val="1"/>
      <w:bCs w:val="1"/>
      <w:smallCaps w:val="1"/>
      <w:color w:val="0f4761" w:themeColor="accent1" w:themeShade="0000BF"/>
      <w:spacing w:val="5"/>
    </w:rPr>
  </w:style>
  <w:style w:type="paragraph" w:styleId="Reviso">
    <w:name w:val="Revision"/>
    <w:hidden w:val="1"/>
    <w:uiPriority w:val="99"/>
    <w:semiHidden w:val="1"/>
    <w:rsid w:val="00733AFB"/>
  </w:style>
  <w:style w:type="paragraph" w:styleId="SemEspaamento">
    <w:name w:val="No Spacing"/>
    <w:link w:val="SemEspaamentoChar"/>
    <w:uiPriority w:val="1"/>
    <w:qFormat w:val="1"/>
    <w:rsid w:val="0053021A"/>
    <w:rPr>
      <w:rFonts w:eastAsiaTheme="minorEastAsia"/>
      <w:kern w:val="0"/>
      <w:sz w:val="22"/>
      <w:szCs w:val="22"/>
      <w:lang w:eastAsia="zh-CN" w:val="en-US"/>
    </w:rPr>
  </w:style>
  <w:style w:type="character" w:styleId="SemEspaamentoChar" w:customStyle="1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eastAsia="zh-CN" w:val="en-US"/>
    </w:rPr>
  </w:style>
  <w:style w:type="paragraph" w:styleId="Cabealho">
    <w:name w:val="header"/>
    <w:basedOn w:val="Normal"/>
    <w:link w:val="CabealhoChar"/>
    <w:uiPriority w:val="99"/>
    <w:unhideWhenUsed w:val="1"/>
    <w:rsid w:val="0027518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 w:val="1"/>
    <w:rsid w:val="0027518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216EFF"/>
    <w:pPr>
      <w:widowControl w:val="0"/>
    </w:pPr>
    <w:rPr>
      <w:rFonts w:ascii="Times New Roman" w:cs="Times New Roman" w:eastAsia="Times New Roman" w:hAnsi="Times New Roman"/>
      <w:kern w:val="0"/>
      <w:sz w:val="20"/>
      <w:szCs w:val="20"/>
      <w:lang w:eastAsia="pt-BR" w:val="pt-PT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216EFF"/>
    <w:rPr>
      <w:rFonts w:ascii="Times New Roman" w:cs="Times New Roman" w:eastAsia="Times New Roman" w:hAnsi="Times New Roman"/>
      <w:kern w:val="0"/>
      <w:sz w:val="20"/>
      <w:szCs w:val="20"/>
      <w:lang w:eastAsia="pt-BR" w:val="pt-PT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216EFF"/>
    <w:rPr>
      <w:vertAlign w:val="superscript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i.org/10.5007/2175-7976.2013v20n30p9" TargetMode="External"/><Relationship Id="rId10" Type="http://schemas.openxmlformats.org/officeDocument/2006/relationships/hyperlink" Target="https://www.revistas.usp.br/eav/article/view/10469" TargetMode="External"/><Relationship Id="rId13" Type="http://schemas.openxmlformats.org/officeDocument/2006/relationships/hyperlink" Target="https://publicacoes.agb.org.br/terralivre/article/view/181/165" TargetMode="External"/><Relationship Id="rId12" Type="http://schemas.openxmlformats.org/officeDocument/2006/relationships/hyperlink" Target="https://doi.org/10.5007/2175-7976.2013v20n30p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5" Type="http://schemas.openxmlformats.org/officeDocument/2006/relationships/hyperlink" Target="http://www.periodicos.uem.br/ojs/index.php/BolGeogr/article/view/12065" TargetMode="External"/><Relationship Id="rId14" Type="http://schemas.openxmlformats.org/officeDocument/2006/relationships/hyperlink" Target="https://publicacoes.agb.org.br/terralivre/article/view/181/165" TargetMode="External"/><Relationship Id="rId17" Type="http://schemas.openxmlformats.org/officeDocument/2006/relationships/header" Target="header1.xml"/><Relationship Id="rId16" Type="http://schemas.openxmlformats.org/officeDocument/2006/relationships/hyperlink" Target="http://www.periodicos.uem.br/ojs/index.php/BolGeogr/article/view/12065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18" Type="http://schemas.openxmlformats.org/officeDocument/2006/relationships/footer" Target="footer1.xml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://pereiraoliveiralaura@gmail.com" TargetMode="External"/><Relationship Id="rId2" Type="http://schemas.openxmlformats.org/officeDocument/2006/relationships/hyperlink" Target="http://pereiraoliveiralaura@gmail.com" TargetMode="External"/><Relationship Id="rId3" Type="http://schemas.openxmlformats.org/officeDocument/2006/relationships/hyperlink" Target="http://matheusfloreshis@gmail.com" TargetMode="External"/><Relationship Id="rId4" Type="http://schemas.openxmlformats.org/officeDocument/2006/relationships/hyperlink" Target="http://matheusfloreshis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0OXWWdPOVuo7hLE67b5MqQR2AA==">CgMxLjA4AHIhMW9QR1JSOTlJanRMOU92dEdGb3Btd25PQ0ZDSldWNk9k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2025-02-20T16:32:00Z</dcterms:created>
  <dc:creator>Monica Tomin</dc:creator>
</cp:coreProperties>
</file>