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98732" w14:textId="77777777" w:rsidR="00F65A4D" w:rsidRDefault="00F65A4D" w:rsidP="00F65A4D">
      <w:pPr>
        <w:pStyle w:val="cvgsua"/>
        <w:spacing w:line="360" w:lineRule="auto"/>
        <w:jc w:val="center"/>
        <w:rPr>
          <w:rStyle w:val="oypena"/>
          <w:rFonts w:eastAsiaTheme="majorEastAsia"/>
          <w:b/>
          <w:bCs/>
          <w:color w:val="000000"/>
        </w:rPr>
      </w:pPr>
      <w:r w:rsidRPr="00F65A4D">
        <w:rPr>
          <w:noProof/>
        </w:rPr>
        <w:drawing>
          <wp:anchor distT="0" distB="0" distL="114300" distR="114300" simplePos="0" relativeHeight="251661312" behindDoc="1" locked="0" layoutInCell="1" allowOverlap="1" wp14:anchorId="78376A3F" wp14:editId="00F3DB7E">
            <wp:simplePos x="0" y="0"/>
            <wp:positionH relativeFrom="page">
              <wp:align>left</wp:align>
            </wp:positionH>
            <wp:positionV relativeFrom="page">
              <wp:align>top</wp:align>
            </wp:positionV>
            <wp:extent cx="7543703" cy="10670650"/>
            <wp:effectExtent l="0" t="0" r="635" b="0"/>
            <wp:wrapNone/>
            <wp:docPr id="1512784068" name="Imagem 1" descr="Texto preto sobre fundo bran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277791" name="Imagem 1" descr="Texto preto sobre fundo branco&#10;&#10;Descrição gerada automaticamente"/>
                    <pic:cNvPicPr/>
                  </pic:nvPicPr>
                  <pic:blipFill>
                    <a:blip r:embed="rId6">
                      <a:extLst>
                        <a:ext uri="{28A0092B-C50C-407E-A947-70E740481C1C}">
                          <a14:useLocalDpi xmlns:a14="http://schemas.microsoft.com/office/drawing/2010/main" val="0"/>
                        </a:ext>
                      </a:extLst>
                    </a:blip>
                    <a:stretch>
                      <a:fillRect/>
                    </a:stretch>
                  </pic:blipFill>
                  <pic:spPr>
                    <a:xfrm>
                      <a:off x="0" y="0"/>
                      <a:ext cx="7543703" cy="10670650"/>
                    </a:xfrm>
                    <a:prstGeom prst="rect">
                      <a:avLst/>
                    </a:prstGeom>
                  </pic:spPr>
                </pic:pic>
              </a:graphicData>
            </a:graphic>
            <wp14:sizeRelH relativeFrom="margin">
              <wp14:pctWidth>0</wp14:pctWidth>
            </wp14:sizeRelH>
            <wp14:sizeRelV relativeFrom="margin">
              <wp14:pctHeight>0</wp14:pctHeight>
            </wp14:sizeRelV>
          </wp:anchor>
        </w:drawing>
      </w:r>
      <w:r w:rsidR="00340BC9">
        <w:rPr>
          <w:rStyle w:val="oypena"/>
          <w:rFonts w:eastAsiaTheme="majorEastAsia"/>
          <w:b/>
          <w:bCs/>
          <w:color w:val="000000"/>
        </w:rPr>
        <w:t xml:space="preserve">ESTUDO DE BIOMARCADORES GENÉTICOS PARA RESPOSTA AO TRATAMENTO </w:t>
      </w:r>
      <w:r w:rsidR="00883287">
        <w:rPr>
          <w:rStyle w:val="oypena"/>
          <w:rFonts w:eastAsiaTheme="majorEastAsia"/>
          <w:b/>
          <w:bCs/>
          <w:color w:val="000000"/>
        </w:rPr>
        <w:t>COM LÍTIO NO TRANSTORNO BIPOLAR</w:t>
      </w:r>
    </w:p>
    <w:p w14:paraId="7F74513E" w14:textId="77777777" w:rsidR="0029189C" w:rsidRDefault="0029189C" w:rsidP="00EF43C1">
      <w:pPr>
        <w:pStyle w:val="cvgsua"/>
        <w:spacing w:before="0" w:beforeAutospacing="0"/>
        <w:jc w:val="center"/>
        <w:rPr>
          <w:rStyle w:val="oypena"/>
          <w:rFonts w:eastAsiaTheme="majorEastAsia"/>
          <w:color w:val="000000"/>
          <w:sz w:val="20"/>
          <w:szCs w:val="20"/>
        </w:rPr>
      </w:pPr>
      <w:r>
        <w:rPr>
          <w:rStyle w:val="oypena"/>
          <w:rFonts w:eastAsiaTheme="majorEastAsia"/>
          <w:color w:val="000000"/>
          <w:sz w:val="20"/>
          <w:szCs w:val="20"/>
        </w:rPr>
        <w:t xml:space="preserve">Rebeca da Silveira Ferreira – </w:t>
      </w:r>
      <w:r w:rsidR="00B3335A">
        <w:rPr>
          <w:rStyle w:val="oypena"/>
          <w:rFonts w:eastAsiaTheme="majorEastAsia"/>
          <w:color w:val="000000"/>
          <w:sz w:val="20"/>
          <w:szCs w:val="20"/>
        </w:rPr>
        <w:t>Pontifícia</w:t>
      </w:r>
      <w:r w:rsidR="00447799">
        <w:rPr>
          <w:rStyle w:val="oypena"/>
          <w:rFonts w:eastAsiaTheme="majorEastAsia"/>
          <w:color w:val="000000"/>
          <w:sz w:val="20"/>
          <w:szCs w:val="20"/>
        </w:rPr>
        <w:t xml:space="preserve"> Universidade Católica de Goiás,</w:t>
      </w:r>
      <w:r>
        <w:rPr>
          <w:rStyle w:val="oypena"/>
          <w:rFonts w:eastAsiaTheme="majorEastAsia"/>
          <w:color w:val="000000"/>
          <w:sz w:val="20"/>
          <w:szCs w:val="20"/>
        </w:rPr>
        <w:t xml:space="preserve"> </w:t>
      </w:r>
      <w:r w:rsidR="00447799">
        <w:t>rebecaferreira06@gmail.com</w:t>
      </w:r>
      <w:r>
        <w:rPr>
          <w:rStyle w:val="oypena"/>
          <w:rFonts w:eastAsiaTheme="majorEastAsia"/>
          <w:color w:val="000000"/>
          <w:sz w:val="20"/>
          <w:szCs w:val="20"/>
        </w:rPr>
        <w:t xml:space="preserve">, CPF </w:t>
      </w:r>
      <w:r w:rsidR="00447799">
        <w:rPr>
          <w:rStyle w:val="oypena"/>
          <w:rFonts w:eastAsiaTheme="majorEastAsia"/>
          <w:color w:val="000000"/>
          <w:sz w:val="20"/>
          <w:szCs w:val="20"/>
        </w:rPr>
        <w:t>(701.109.901-88</w:t>
      </w:r>
      <w:r>
        <w:rPr>
          <w:rStyle w:val="oypena"/>
          <w:rFonts w:eastAsiaTheme="majorEastAsia"/>
          <w:color w:val="000000"/>
          <w:sz w:val="20"/>
          <w:szCs w:val="20"/>
        </w:rPr>
        <w:t>);</w:t>
      </w:r>
    </w:p>
    <w:p w14:paraId="2C5DADB0" w14:textId="77777777" w:rsidR="0029189C" w:rsidRDefault="00447799" w:rsidP="00EF43C1">
      <w:pPr>
        <w:pStyle w:val="cvgsua"/>
        <w:spacing w:before="0" w:beforeAutospacing="0"/>
        <w:jc w:val="center"/>
        <w:rPr>
          <w:rStyle w:val="oypena"/>
          <w:rFonts w:eastAsiaTheme="majorEastAsia"/>
          <w:color w:val="000000"/>
          <w:sz w:val="20"/>
          <w:szCs w:val="20"/>
        </w:rPr>
      </w:pPr>
      <w:r>
        <w:rPr>
          <w:rStyle w:val="oypena"/>
          <w:rFonts w:eastAsiaTheme="majorEastAsia"/>
          <w:color w:val="000000"/>
          <w:sz w:val="20"/>
          <w:szCs w:val="20"/>
        </w:rPr>
        <w:t xml:space="preserve">Izabela </w:t>
      </w:r>
      <w:r w:rsidR="007C401F">
        <w:rPr>
          <w:rStyle w:val="oypena"/>
          <w:rFonts w:eastAsiaTheme="majorEastAsia"/>
          <w:color w:val="000000"/>
          <w:sz w:val="20"/>
          <w:szCs w:val="20"/>
        </w:rPr>
        <w:t>Ramos Nascimento –</w:t>
      </w:r>
      <w:r w:rsidR="0029189C">
        <w:rPr>
          <w:rStyle w:val="oypena"/>
          <w:rFonts w:eastAsiaTheme="majorEastAsia"/>
          <w:color w:val="000000"/>
          <w:sz w:val="20"/>
          <w:szCs w:val="20"/>
        </w:rPr>
        <w:t xml:space="preserve"> </w:t>
      </w:r>
      <w:r w:rsidR="00172209">
        <w:rPr>
          <w:rStyle w:val="oypena"/>
          <w:rFonts w:eastAsiaTheme="majorEastAsia"/>
          <w:color w:val="000000"/>
          <w:sz w:val="20"/>
          <w:szCs w:val="20"/>
        </w:rPr>
        <w:t xml:space="preserve">Pontifícia Universidade Católica de Goiás </w:t>
      </w:r>
      <w:r w:rsidR="0029189C">
        <w:rPr>
          <w:rStyle w:val="oypena"/>
          <w:rFonts w:eastAsiaTheme="majorEastAsia"/>
          <w:color w:val="000000"/>
          <w:sz w:val="20"/>
          <w:szCs w:val="20"/>
        </w:rPr>
        <w:t xml:space="preserve">, </w:t>
      </w:r>
      <w:hyperlink r:id="rId7" w:history="1">
        <w:r w:rsidR="007C401F">
          <w:rPr>
            <w:rStyle w:val="Hyperlink"/>
            <w:rFonts w:eastAsiaTheme="majorEastAsia"/>
            <w:sz w:val="20"/>
            <w:szCs w:val="20"/>
          </w:rPr>
          <w:t>izaisaissa@gmail.com</w:t>
        </w:r>
      </w:hyperlink>
      <w:r w:rsidR="0029189C">
        <w:rPr>
          <w:rStyle w:val="oypena"/>
          <w:rFonts w:eastAsiaTheme="majorEastAsia"/>
          <w:color w:val="000000"/>
          <w:sz w:val="20"/>
          <w:szCs w:val="20"/>
        </w:rPr>
        <w:t>, CPF (</w:t>
      </w:r>
      <w:r w:rsidR="001F10A8">
        <w:rPr>
          <w:rStyle w:val="oypena"/>
          <w:rFonts w:eastAsiaTheme="majorEastAsia"/>
          <w:color w:val="000000"/>
          <w:sz w:val="20"/>
          <w:szCs w:val="20"/>
        </w:rPr>
        <w:t>014.833.811-96</w:t>
      </w:r>
      <w:r w:rsidR="0029189C">
        <w:rPr>
          <w:rStyle w:val="oypena"/>
          <w:rFonts w:eastAsiaTheme="majorEastAsia"/>
          <w:color w:val="000000"/>
          <w:sz w:val="20"/>
          <w:szCs w:val="20"/>
        </w:rPr>
        <w:t>);</w:t>
      </w:r>
    </w:p>
    <w:p w14:paraId="20DCFDA6" w14:textId="77777777" w:rsidR="005E683D" w:rsidRDefault="005E683D" w:rsidP="00EF43C1">
      <w:pPr>
        <w:pStyle w:val="cvgsua"/>
        <w:spacing w:before="0" w:beforeAutospacing="0"/>
        <w:jc w:val="center"/>
        <w:rPr>
          <w:rStyle w:val="oypena"/>
          <w:rFonts w:eastAsiaTheme="majorEastAsia"/>
          <w:color w:val="000000"/>
          <w:sz w:val="20"/>
          <w:szCs w:val="20"/>
        </w:rPr>
      </w:pPr>
      <w:r>
        <w:rPr>
          <w:rStyle w:val="oypena"/>
          <w:rFonts w:eastAsiaTheme="majorEastAsia"/>
          <w:color w:val="000000"/>
          <w:sz w:val="20"/>
          <w:szCs w:val="20"/>
        </w:rPr>
        <w:t xml:space="preserve">Vitória Silva Margon – Universidade Evangélica de Goiás, </w:t>
      </w:r>
      <w:hyperlink r:id="rId8" w:history="1">
        <w:r w:rsidR="00C91123" w:rsidRPr="00B84786">
          <w:rPr>
            <w:rStyle w:val="Hyperlink"/>
            <w:rFonts w:eastAsiaTheme="majorEastAsia"/>
            <w:sz w:val="20"/>
            <w:szCs w:val="20"/>
          </w:rPr>
          <w:t>vitoriamargon@outlook.com</w:t>
        </w:r>
      </w:hyperlink>
      <w:r w:rsidR="00C91123">
        <w:rPr>
          <w:rStyle w:val="oypena"/>
          <w:rFonts w:eastAsiaTheme="majorEastAsia"/>
          <w:color w:val="000000"/>
          <w:sz w:val="20"/>
          <w:szCs w:val="20"/>
        </w:rPr>
        <w:t>, CPF (</w:t>
      </w:r>
      <w:r w:rsidR="00F724D2">
        <w:rPr>
          <w:rStyle w:val="oypena"/>
          <w:rFonts w:eastAsiaTheme="majorEastAsia"/>
          <w:color w:val="000000"/>
          <w:sz w:val="20"/>
          <w:szCs w:val="20"/>
        </w:rPr>
        <w:t>010.076.26</w:t>
      </w:r>
      <w:r w:rsidR="00664B14">
        <w:rPr>
          <w:rStyle w:val="oypena"/>
          <w:rFonts w:eastAsiaTheme="majorEastAsia"/>
          <w:color w:val="000000"/>
          <w:sz w:val="20"/>
          <w:szCs w:val="20"/>
        </w:rPr>
        <w:t>1-19);</w:t>
      </w:r>
    </w:p>
    <w:p w14:paraId="58FB926F" w14:textId="09671DD2" w:rsidR="00664B14" w:rsidRDefault="00DA2602" w:rsidP="00EF43C1">
      <w:pPr>
        <w:pStyle w:val="cvgsua"/>
        <w:spacing w:before="0" w:beforeAutospacing="0"/>
        <w:jc w:val="center"/>
        <w:rPr>
          <w:rStyle w:val="oypena"/>
          <w:rFonts w:eastAsiaTheme="majorEastAsia"/>
          <w:color w:val="000000"/>
          <w:sz w:val="20"/>
          <w:szCs w:val="20"/>
        </w:rPr>
      </w:pPr>
      <w:r>
        <w:rPr>
          <w:rStyle w:val="oypena"/>
          <w:rFonts w:eastAsiaTheme="majorEastAsia"/>
          <w:color w:val="000000"/>
          <w:sz w:val="20"/>
          <w:szCs w:val="20"/>
        </w:rPr>
        <w:t>Maria Eduarda</w:t>
      </w:r>
      <w:r w:rsidR="00CF2311">
        <w:rPr>
          <w:rStyle w:val="oypena"/>
          <w:rFonts w:eastAsiaTheme="majorEastAsia"/>
          <w:color w:val="000000"/>
          <w:sz w:val="20"/>
          <w:szCs w:val="20"/>
        </w:rPr>
        <w:t xml:space="preserve"> Rezende Hallal</w:t>
      </w:r>
      <w:r>
        <w:rPr>
          <w:rStyle w:val="oypena"/>
          <w:rFonts w:eastAsiaTheme="majorEastAsia"/>
          <w:color w:val="000000"/>
          <w:sz w:val="20"/>
          <w:szCs w:val="20"/>
        </w:rPr>
        <w:t xml:space="preserve"> </w:t>
      </w:r>
      <w:r w:rsidR="00664B14">
        <w:rPr>
          <w:rStyle w:val="oypena"/>
          <w:rFonts w:eastAsiaTheme="majorEastAsia"/>
          <w:color w:val="000000"/>
          <w:sz w:val="20"/>
          <w:szCs w:val="20"/>
        </w:rPr>
        <w:t xml:space="preserve">– Pontifícia Universidade Católica de Goiás, </w:t>
      </w:r>
      <w:r w:rsidR="00A05180">
        <w:t>mariaeduardah@icloud.com</w:t>
      </w:r>
      <w:r w:rsidR="000628F6">
        <w:rPr>
          <w:rStyle w:val="oypena"/>
          <w:rFonts w:eastAsiaTheme="majorEastAsia"/>
          <w:color w:val="000000"/>
          <w:sz w:val="20"/>
          <w:szCs w:val="20"/>
        </w:rPr>
        <w:t>, CPF (</w:t>
      </w:r>
      <w:r w:rsidR="0049462D">
        <w:rPr>
          <w:rStyle w:val="oypena"/>
          <w:rFonts w:eastAsiaTheme="majorEastAsia"/>
          <w:color w:val="000000"/>
          <w:sz w:val="20"/>
          <w:szCs w:val="20"/>
        </w:rPr>
        <w:t>749.933.641-72</w:t>
      </w:r>
      <w:r w:rsidR="00E40A38">
        <w:rPr>
          <w:rStyle w:val="oypena"/>
          <w:rFonts w:eastAsiaTheme="majorEastAsia"/>
          <w:color w:val="000000"/>
          <w:sz w:val="20"/>
          <w:szCs w:val="20"/>
        </w:rPr>
        <w:t>)</w:t>
      </w:r>
      <w:r w:rsidR="00E832F5">
        <w:rPr>
          <w:rStyle w:val="oypena"/>
          <w:rFonts w:eastAsiaTheme="majorEastAsia"/>
          <w:color w:val="000000"/>
          <w:sz w:val="20"/>
          <w:szCs w:val="20"/>
        </w:rPr>
        <w:t>;</w:t>
      </w:r>
    </w:p>
    <w:p w14:paraId="462D90F4" w14:textId="32DF8392" w:rsidR="001F10A8" w:rsidRDefault="0085037E" w:rsidP="001F10A8">
      <w:pPr>
        <w:pStyle w:val="cvgsua"/>
        <w:spacing w:before="0" w:beforeAutospacing="0"/>
        <w:jc w:val="center"/>
        <w:rPr>
          <w:rStyle w:val="oypena"/>
          <w:rFonts w:eastAsiaTheme="majorEastAsia"/>
          <w:color w:val="000000"/>
          <w:sz w:val="20"/>
          <w:szCs w:val="20"/>
        </w:rPr>
      </w:pPr>
      <w:r>
        <w:rPr>
          <w:rStyle w:val="oypena"/>
          <w:rFonts w:eastAsiaTheme="majorEastAsia"/>
          <w:color w:val="000000"/>
          <w:sz w:val="20"/>
          <w:szCs w:val="20"/>
        </w:rPr>
        <w:t>Is</w:t>
      </w:r>
      <w:r w:rsidR="00FF75E6">
        <w:rPr>
          <w:rStyle w:val="oypena"/>
          <w:rFonts w:eastAsiaTheme="majorEastAsia"/>
          <w:color w:val="000000"/>
          <w:sz w:val="20"/>
          <w:szCs w:val="20"/>
        </w:rPr>
        <w:t>a</w:t>
      </w:r>
      <w:r w:rsidR="00DA2602">
        <w:rPr>
          <w:rStyle w:val="oypena"/>
          <w:rFonts w:eastAsiaTheme="majorEastAsia"/>
          <w:color w:val="000000"/>
          <w:sz w:val="20"/>
          <w:szCs w:val="20"/>
        </w:rPr>
        <w:t xml:space="preserve">bela </w:t>
      </w:r>
      <w:r w:rsidR="00215B81">
        <w:rPr>
          <w:rStyle w:val="oypena"/>
          <w:rFonts w:eastAsiaTheme="majorEastAsia"/>
          <w:color w:val="000000"/>
          <w:sz w:val="20"/>
          <w:szCs w:val="20"/>
        </w:rPr>
        <w:t xml:space="preserve">Carvalho </w:t>
      </w:r>
      <w:r w:rsidR="00DA2602">
        <w:rPr>
          <w:rStyle w:val="oypena"/>
          <w:rFonts w:eastAsiaTheme="majorEastAsia"/>
          <w:color w:val="000000"/>
          <w:sz w:val="20"/>
          <w:szCs w:val="20"/>
        </w:rPr>
        <w:t xml:space="preserve">Gobbi </w:t>
      </w:r>
      <w:r w:rsidR="00BC2CBA">
        <w:rPr>
          <w:rStyle w:val="oypena"/>
          <w:rFonts w:eastAsiaTheme="majorEastAsia"/>
          <w:color w:val="000000"/>
          <w:sz w:val="20"/>
          <w:szCs w:val="20"/>
        </w:rPr>
        <w:t xml:space="preserve">- </w:t>
      </w:r>
      <w:r>
        <w:rPr>
          <w:rStyle w:val="oypena"/>
          <w:rFonts w:eastAsiaTheme="majorEastAsia"/>
          <w:color w:val="000000"/>
          <w:sz w:val="20"/>
          <w:szCs w:val="20"/>
        </w:rPr>
        <w:t>Pontifícia Universidade Católica de Goiás,</w:t>
      </w:r>
      <w:r w:rsidR="000D73E1">
        <w:rPr>
          <w:rStyle w:val="oypena"/>
          <w:rFonts w:eastAsiaTheme="majorEastAsia"/>
          <w:color w:val="000000"/>
          <w:sz w:val="20"/>
          <w:szCs w:val="20"/>
        </w:rPr>
        <w:t xml:space="preserve"> </w:t>
      </w:r>
      <w:hyperlink r:id="rId9" w:history="1">
        <w:r w:rsidR="00D314C0">
          <w:rPr>
            <w:rStyle w:val="Hyperlink"/>
            <w:rFonts w:eastAsiaTheme="majorEastAsia"/>
            <w:sz w:val="20"/>
            <w:szCs w:val="20"/>
          </w:rPr>
          <w:t>isabelagobbi1020@gmail.com</w:t>
        </w:r>
      </w:hyperlink>
      <w:r w:rsidR="00092890">
        <w:rPr>
          <w:rStyle w:val="oypena"/>
          <w:rFonts w:eastAsiaTheme="majorEastAsia"/>
          <w:color w:val="000000"/>
          <w:sz w:val="20"/>
          <w:szCs w:val="20"/>
        </w:rPr>
        <w:t>,</w:t>
      </w:r>
      <w:r w:rsidR="004417A4">
        <w:rPr>
          <w:rStyle w:val="oypena"/>
          <w:rFonts w:eastAsiaTheme="majorEastAsia"/>
          <w:color w:val="000000"/>
          <w:sz w:val="20"/>
          <w:szCs w:val="20"/>
        </w:rPr>
        <w:t xml:space="preserve"> CPF</w:t>
      </w:r>
      <w:r w:rsidR="000D73E1">
        <w:rPr>
          <w:rStyle w:val="oypena"/>
          <w:rFonts w:eastAsiaTheme="majorEastAsia"/>
          <w:color w:val="000000"/>
          <w:sz w:val="20"/>
          <w:szCs w:val="20"/>
        </w:rPr>
        <w:t xml:space="preserve"> (</w:t>
      </w:r>
      <w:r w:rsidR="00CF2311">
        <w:rPr>
          <w:rStyle w:val="oypena"/>
          <w:rFonts w:eastAsiaTheme="majorEastAsia"/>
          <w:color w:val="000000"/>
          <w:sz w:val="20"/>
          <w:szCs w:val="20"/>
        </w:rPr>
        <w:t>042.022.331-23</w:t>
      </w:r>
      <w:r w:rsidR="00392CF8">
        <w:rPr>
          <w:rStyle w:val="oypena"/>
          <w:rFonts w:eastAsiaTheme="majorEastAsia"/>
          <w:color w:val="000000"/>
          <w:sz w:val="20"/>
          <w:szCs w:val="20"/>
        </w:rPr>
        <w:t>);</w:t>
      </w:r>
    </w:p>
    <w:p w14:paraId="5D1EB84E" w14:textId="77777777" w:rsidR="0029189C" w:rsidRPr="0029189C" w:rsidRDefault="00181CB1" w:rsidP="001F10A8">
      <w:pPr>
        <w:pStyle w:val="cvgsua"/>
        <w:spacing w:before="0" w:beforeAutospacing="0"/>
        <w:jc w:val="center"/>
        <w:rPr>
          <w:rStyle w:val="oypena"/>
          <w:rFonts w:eastAsiaTheme="majorEastAsia"/>
          <w:color w:val="000000"/>
          <w:sz w:val="20"/>
          <w:szCs w:val="20"/>
        </w:rPr>
      </w:pPr>
      <w:r>
        <w:rPr>
          <w:rStyle w:val="oypena"/>
          <w:rFonts w:eastAsiaTheme="majorEastAsia"/>
          <w:color w:val="000000"/>
          <w:sz w:val="20"/>
          <w:szCs w:val="20"/>
        </w:rPr>
        <w:t>Marcus Vini</w:t>
      </w:r>
      <w:r w:rsidR="0039306E">
        <w:rPr>
          <w:rStyle w:val="oypena"/>
          <w:rFonts w:eastAsiaTheme="majorEastAsia"/>
          <w:color w:val="000000"/>
          <w:sz w:val="20"/>
          <w:szCs w:val="20"/>
        </w:rPr>
        <w:t>cius Milki</w:t>
      </w:r>
      <w:r w:rsidR="0029189C">
        <w:rPr>
          <w:rStyle w:val="oypena"/>
          <w:rFonts w:eastAsiaTheme="majorEastAsia"/>
          <w:color w:val="000000"/>
          <w:sz w:val="20"/>
          <w:szCs w:val="20"/>
        </w:rPr>
        <w:t xml:space="preserve"> – </w:t>
      </w:r>
      <w:r w:rsidR="0039306E">
        <w:rPr>
          <w:rStyle w:val="oypena"/>
          <w:rFonts w:eastAsiaTheme="majorEastAsia"/>
          <w:color w:val="000000"/>
          <w:sz w:val="20"/>
          <w:szCs w:val="20"/>
        </w:rPr>
        <w:t>Pontifícia Univer</w:t>
      </w:r>
      <w:r w:rsidR="00B3335A">
        <w:rPr>
          <w:rStyle w:val="oypena"/>
          <w:rFonts w:eastAsiaTheme="majorEastAsia"/>
          <w:color w:val="000000"/>
          <w:sz w:val="20"/>
          <w:szCs w:val="20"/>
        </w:rPr>
        <w:t>sidade Católica de Goiás</w:t>
      </w:r>
      <w:r w:rsidR="0029189C">
        <w:rPr>
          <w:rStyle w:val="oypena"/>
          <w:rFonts w:eastAsiaTheme="majorEastAsia"/>
          <w:color w:val="000000"/>
          <w:sz w:val="20"/>
          <w:szCs w:val="20"/>
        </w:rPr>
        <w:t xml:space="preserve">, </w:t>
      </w:r>
      <w:hyperlink r:id="rId10" w:history="1">
        <w:r w:rsidR="007510DB">
          <w:rPr>
            <w:rStyle w:val="Hyperlink"/>
            <w:rFonts w:eastAsiaTheme="majorEastAsia"/>
            <w:sz w:val="20"/>
            <w:szCs w:val="20"/>
          </w:rPr>
          <w:t>mvmilki@gmail.com</w:t>
        </w:r>
      </w:hyperlink>
      <w:r w:rsidR="0029189C">
        <w:rPr>
          <w:rStyle w:val="oypena"/>
          <w:rFonts w:eastAsiaTheme="majorEastAsia"/>
          <w:color w:val="000000"/>
          <w:sz w:val="20"/>
          <w:szCs w:val="20"/>
        </w:rPr>
        <w:t>, CPF (</w:t>
      </w:r>
      <w:r w:rsidR="00BA0440">
        <w:rPr>
          <w:rStyle w:val="oypena"/>
          <w:rFonts w:eastAsiaTheme="majorEastAsia"/>
          <w:color w:val="000000"/>
          <w:sz w:val="20"/>
          <w:szCs w:val="20"/>
        </w:rPr>
        <w:t>382.654.271-15</w:t>
      </w:r>
      <w:r w:rsidR="0029189C">
        <w:rPr>
          <w:rStyle w:val="oypena"/>
          <w:rFonts w:eastAsiaTheme="majorEastAsia"/>
          <w:color w:val="000000"/>
          <w:sz w:val="20"/>
          <w:szCs w:val="20"/>
        </w:rPr>
        <w:t>)</w:t>
      </w:r>
      <w:r w:rsidR="00E40A38">
        <w:rPr>
          <w:rStyle w:val="oypena"/>
          <w:rFonts w:eastAsiaTheme="majorEastAsia"/>
          <w:color w:val="000000"/>
          <w:sz w:val="20"/>
          <w:szCs w:val="20"/>
        </w:rPr>
        <w:t>.</w:t>
      </w:r>
    </w:p>
    <w:p w14:paraId="7E91761A" w14:textId="77777777" w:rsidR="00BE291C" w:rsidRDefault="00F65A4D" w:rsidP="009E16D4">
      <w:pPr>
        <w:pStyle w:val="NormalWeb"/>
        <w:spacing w:before="240" w:beforeAutospacing="0" w:after="240" w:afterAutospacing="0"/>
        <w:jc w:val="both"/>
        <w:divId w:val="1143042607"/>
      </w:pPr>
      <w:r w:rsidRPr="004428B6">
        <w:rPr>
          <w:rStyle w:val="oypena"/>
          <w:rFonts w:eastAsiaTheme="majorEastAsia"/>
          <w:b/>
          <w:bCs/>
          <w:color w:val="000000"/>
        </w:rPr>
        <w:t>INTRODUÇÃO</w:t>
      </w:r>
      <w:r w:rsidRPr="004428B6">
        <w:rPr>
          <w:rStyle w:val="oypena"/>
          <w:rFonts w:eastAsiaTheme="majorEastAsia"/>
          <w:color w:val="000000"/>
        </w:rPr>
        <w:t xml:space="preserve">: </w:t>
      </w:r>
      <w:r w:rsidR="00C75D85" w:rsidRPr="00F629C8">
        <w:rPr>
          <w:color w:val="000000"/>
        </w:rPr>
        <w:t>O transtorno bipolar (TB) é um distúrbio neuropsiquiátrico caracterizado por episódios de mania e depressão. O lítio (Li) é utilizado como tratamento de primeira linha para o TB, sendo eficaz na estabilização do humor mas apenas cerca de 30% dos pacientes respondem favoravelmente. Estudos de associação genômica ampla identificaram loci genéticos associados à resposta ao lítio. Pesquisas sobre biomarcadores de RNA  fornecem informações valiosas sobre os mecanismos moleculares do Li. Além disso, escores poligênicos (PGS)  têm maior poder preditivo, sugerindo utilidade na personalização do tratamento para entender a variabilidade na resposta ao lítio e melhorar os resultados clínicos. </w:t>
      </w:r>
      <w:r w:rsidRPr="004428B6">
        <w:rPr>
          <w:rStyle w:val="oypena"/>
          <w:rFonts w:eastAsiaTheme="majorEastAsia"/>
          <w:b/>
          <w:bCs/>
          <w:color w:val="000000"/>
        </w:rPr>
        <w:t>OBJETIVO</w:t>
      </w:r>
      <w:r w:rsidRPr="004428B6">
        <w:rPr>
          <w:rStyle w:val="oypena"/>
          <w:rFonts w:eastAsiaTheme="majorEastAsia"/>
          <w:color w:val="000000"/>
        </w:rPr>
        <w:t xml:space="preserve">: </w:t>
      </w:r>
      <w:r w:rsidR="00F546D6" w:rsidRPr="009E16D4">
        <w:rPr>
          <w:color w:val="000000"/>
        </w:rPr>
        <w:t>Analisar a identificação de biomarcadores genéticos para resposta ao tratamento com Li no TB.</w:t>
      </w:r>
      <w:r w:rsidR="009E16D4">
        <w:t xml:space="preserve"> </w:t>
      </w:r>
      <w:r w:rsidRPr="009E16D4">
        <w:rPr>
          <w:rStyle w:val="oypena"/>
          <w:rFonts w:eastAsiaTheme="majorEastAsia"/>
          <w:b/>
          <w:bCs/>
          <w:color w:val="000000"/>
        </w:rPr>
        <w:t>METODOLOGIA</w:t>
      </w:r>
      <w:r w:rsidRPr="009E16D4">
        <w:rPr>
          <w:rStyle w:val="oypena"/>
          <w:rFonts w:eastAsiaTheme="majorEastAsia"/>
          <w:color w:val="000000"/>
        </w:rPr>
        <w:t xml:space="preserve">: </w:t>
      </w:r>
      <w:r w:rsidR="009929FD" w:rsidRPr="009E16D4">
        <w:rPr>
          <w:color w:val="000000"/>
        </w:rPr>
        <w:t xml:space="preserve">Realizou-se uma revisão de literatura a partir da base de dados PubMed com os descritores </w:t>
      </w:r>
      <w:r w:rsidR="009929FD" w:rsidRPr="009E16D4">
        <w:rPr>
          <w:color w:val="313131"/>
        </w:rPr>
        <w:t xml:space="preserve">“genetic biomarkers”, “lithium response”, “bipolar disorder“ </w:t>
      </w:r>
      <w:r w:rsidR="009929FD" w:rsidRPr="009E16D4">
        <w:rPr>
          <w:color w:val="000000"/>
        </w:rPr>
        <w:t>bem como o operador booleano “AND” e o filtro “2023-2024”. Foram identificados 10 artigos. Destes, 9 foram considerados elegíveis por se enquadrarem no objetivo deste estudo. </w:t>
      </w:r>
      <w:r w:rsidRPr="009E16D4">
        <w:rPr>
          <w:rStyle w:val="oypena"/>
          <w:rFonts w:eastAsiaTheme="majorEastAsia"/>
          <w:b/>
          <w:bCs/>
          <w:color w:val="000000"/>
        </w:rPr>
        <w:t>RESULTADOS</w:t>
      </w:r>
      <w:r w:rsidRPr="009E16D4">
        <w:rPr>
          <w:rStyle w:val="oypena"/>
          <w:rFonts w:eastAsiaTheme="majorEastAsia"/>
          <w:color w:val="000000"/>
        </w:rPr>
        <w:t xml:space="preserve">: </w:t>
      </w:r>
      <w:r w:rsidR="009B6DEC" w:rsidRPr="009E16D4">
        <w:rPr>
          <w:color w:val="000000"/>
        </w:rPr>
        <w:t>Alguns artigos avaliados revelam a possível presença de uma correlação genética entre TB e disfunções imunológicas, evidenciando sua complexidade. Os estudos genéticos mostram que há influência dos genes HLA e citocinas inflamatórias na resposta. RNAs, incluindo mRNAs, miRNAs, circRNAs e lncRNAs, são investigados como biomarcadores em TB e resposta ao lítio. PGS específicos mostram alta preditividade. Essa identificação de biomarcadores é promissora para personalizar o tratamento de TB.</w:t>
      </w:r>
      <w:r w:rsidR="009E16D4">
        <w:t xml:space="preserve"> </w:t>
      </w:r>
      <w:r w:rsidRPr="009E16D4">
        <w:rPr>
          <w:rStyle w:val="oypena"/>
          <w:rFonts w:eastAsiaTheme="majorEastAsia"/>
          <w:b/>
          <w:bCs/>
          <w:color w:val="000000"/>
        </w:rPr>
        <w:t>CONCLUSÃO</w:t>
      </w:r>
      <w:r w:rsidRPr="009E16D4">
        <w:rPr>
          <w:rStyle w:val="oypena"/>
          <w:rFonts w:eastAsiaTheme="majorEastAsia"/>
          <w:color w:val="000000"/>
        </w:rPr>
        <w:t>:</w:t>
      </w:r>
      <w:r w:rsidR="00BE291C" w:rsidRPr="009E16D4">
        <w:rPr>
          <w:color w:val="000000"/>
        </w:rPr>
        <w:t xml:space="preserve"> Identificar biomarcadores genéticos e de RNA para a resposta ao lítio no transtorno bipolar é promissor. Foi evidenciado que escores poligênicos permitem tratamentos mais personalizados. A correlação entre TB e disfunções imunológicas destaca a complexidade do distúrbio. Pesquisas contínuas são essenciais para melhorar os tratamentos e a qualidade de vida dos pacientes</w:t>
      </w:r>
      <w:r w:rsidR="00BE291C">
        <w:rPr>
          <w:rFonts w:ascii="Arial" w:hAnsi="Arial" w:cs="Arial"/>
          <w:color w:val="000000"/>
          <w:sz w:val="20"/>
          <w:szCs w:val="20"/>
        </w:rPr>
        <w:t>.</w:t>
      </w:r>
    </w:p>
    <w:p w14:paraId="2D6CC79F" w14:textId="77777777" w:rsidR="00F65A4D" w:rsidRDefault="00F65A4D" w:rsidP="001241F4">
      <w:pPr>
        <w:pStyle w:val="NormalWeb"/>
        <w:spacing w:before="240" w:beforeAutospacing="0" w:after="240" w:afterAutospacing="0"/>
        <w:jc w:val="both"/>
        <w:rPr>
          <w:color w:val="000000"/>
        </w:rPr>
      </w:pPr>
    </w:p>
    <w:p w14:paraId="4132E21F" w14:textId="77777777" w:rsidR="00F65A4D" w:rsidRPr="004428B6" w:rsidRDefault="00F65A4D" w:rsidP="004428B6">
      <w:pPr>
        <w:spacing w:line="240" w:lineRule="auto"/>
        <w:rPr>
          <w:rStyle w:val="oypena"/>
          <w:rFonts w:ascii="Times New Roman" w:eastAsiaTheme="majorEastAsia" w:hAnsi="Times New Roman" w:cs="Times New Roman"/>
          <w:color w:val="000000"/>
          <w:sz w:val="24"/>
          <w:szCs w:val="24"/>
        </w:rPr>
      </w:pPr>
      <w:r w:rsidRPr="004428B6">
        <w:rPr>
          <w:rStyle w:val="oypena"/>
          <w:rFonts w:ascii="Times New Roman" w:eastAsiaTheme="majorEastAsia" w:hAnsi="Times New Roman" w:cs="Times New Roman"/>
          <w:b/>
          <w:bCs/>
          <w:color w:val="000000"/>
          <w:sz w:val="24"/>
          <w:szCs w:val="24"/>
        </w:rPr>
        <w:t>Palavras-chave</w:t>
      </w:r>
      <w:r w:rsidRPr="004428B6">
        <w:rPr>
          <w:rStyle w:val="oypena"/>
          <w:rFonts w:ascii="Times New Roman" w:eastAsiaTheme="majorEastAsia" w:hAnsi="Times New Roman" w:cs="Times New Roman"/>
          <w:color w:val="000000"/>
          <w:sz w:val="24"/>
          <w:szCs w:val="24"/>
        </w:rPr>
        <w:t>:</w:t>
      </w:r>
      <w:r w:rsidR="00EC29CC">
        <w:rPr>
          <w:rStyle w:val="oypena"/>
          <w:rFonts w:ascii="Times New Roman" w:eastAsiaTheme="majorEastAsia" w:hAnsi="Times New Roman" w:cs="Times New Roman"/>
          <w:color w:val="000000"/>
          <w:sz w:val="24"/>
          <w:szCs w:val="24"/>
        </w:rPr>
        <w:t xml:space="preserve"> Transtorno Bipolar</w:t>
      </w:r>
      <w:r w:rsidRPr="004428B6">
        <w:rPr>
          <w:rStyle w:val="oypena"/>
          <w:rFonts w:ascii="Times New Roman" w:eastAsiaTheme="majorEastAsia" w:hAnsi="Times New Roman" w:cs="Times New Roman"/>
          <w:color w:val="000000"/>
          <w:sz w:val="24"/>
          <w:szCs w:val="24"/>
        </w:rPr>
        <w:t>;</w:t>
      </w:r>
      <w:r w:rsidR="00F141CF">
        <w:rPr>
          <w:rStyle w:val="oypena"/>
          <w:rFonts w:ascii="Times New Roman" w:eastAsiaTheme="majorEastAsia" w:hAnsi="Times New Roman" w:cs="Times New Roman"/>
          <w:color w:val="000000"/>
          <w:sz w:val="24"/>
          <w:szCs w:val="24"/>
        </w:rPr>
        <w:t xml:space="preserve"> </w:t>
      </w:r>
      <w:r w:rsidR="00EC29CC">
        <w:rPr>
          <w:rStyle w:val="oypena"/>
          <w:rFonts w:ascii="Times New Roman" w:eastAsiaTheme="majorEastAsia" w:hAnsi="Times New Roman" w:cs="Times New Roman"/>
          <w:color w:val="000000"/>
          <w:sz w:val="24"/>
          <w:szCs w:val="24"/>
        </w:rPr>
        <w:t>Lítio</w:t>
      </w:r>
      <w:r w:rsidRPr="004428B6">
        <w:rPr>
          <w:rStyle w:val="oypena"/>
          <w:rFonts w:ascii="Times New Roman" w:eastAsiaTheme="majorEastAsia" w:hAnsi="Times New Roman" w:cs="Times New Roman"/>
          <w:color w:val="000000"/>
          <w:sz w:val="24"/>
          <w:szCs w:val="24"/>
        </w:rPr>
        <w:t>;</w:t>
      </w:r>
      <w:r w:rsidR="006E434C">
        <w:rPr>
          <w:rStyle w:val="oypena"/>
          <w:rFonts w:ascii="Times New Roman" w:eastAsiaTheme="majorEastAsia" w:hAnsi="Times New Roman" w:cs="Times New Roman"/>
          <w:color w:val="000000"/>
          <w:sz w:val="24"/>
          <w:szCs w:val="24"/>
        </w:rPr>
        <w:t xml:space="preserve"> Biomarcadores</w:t>
      </w:r>
      <w:r w:rsidRPr="004428B6">
        <w:rPr>
          <w:rStyle w:val="oypena"/>
          <w:rFonts w:ascii="Times New Roman" w:eastAsiaTheme="majorEastAsia" w:hAnsi="Times New Roman" w:cs="Times New Roman"/>
          <w:color w:val="000000"/>
          <w:sz w:val="24"/>
          <w:szCs w:val="24"/>
        </w:rPr>
        <w:t>.</w:t>
      </w:r>
    </w:p>
    <w:p w14:paraId="5819A46A" w14:textId="77777777" w:rsidR="00F65A4D" w:rsidRDefault="00F65A4D" w:rsidP="00F65A4D">
      <w:pPr>
        <w:rPr>
          <w:rStyle w:val="oypena"/>
          <w:rFonts w:eastAsiaTheme="majorEastAsia"/>
          <w:color w:val="000000"/>
        </w:rPr>
      </w:pPr>
    </w:p>
    <w:p w14:paraId="6AC55896" w14:textId="77777777" w:rsidR="00F65A4D" w:rsidRDefault="00F65A4D" w:rsidP="00F65A4D">
      <w:pPr>
        <w:rPr>
          <w:rStyle w:val="oypena"/>
          <w:rFonts w:eastAsiaTheme="majorEastAsia"/>
          <w:color w:val="000000"/>
        </w:rPr>
      </w:pPr>
    </w:p>
    <w:p w14:paraId="2FE469C8" w14:textId="77777777" w:rsidR="007F54AE" w:rsidRDefault="007F54AE" w:rsidP="00F65A4D">
      <w:pPr>
        <w:rPr>
          <w:rFonts w:ascii="Times New Roman" w:hAnsi="Times New Roman" w:cs="Times New Roman"/>
          <w:b/>
          <w:bCs/>
          <w:sz w:val="24"/>
          <w:szCs w:val="24"/>
        </w:rPr>
      </w:pPr>
    </w:p>
    <w:p w14:paraId="68BAD7B9" w14:textId="77777777" w:rsidR="00F65A4D" w:rsidRPr="00167632" w:rsidRDefault="00CB371B" w:rsidP="00F65A4D">
      <w:pPr>
        <w:rPr>
          <w:rFonts w:eastAsiaTheme="majorEastAsia"/>
          <w:color w:val="000000"/>
        </w:rPr>
      </w:pPr>
      <w:r>
        <w:rPr>
          <w:noProof/>
        </w:rPr>
        <w:drawing>
          <wp:anchor distT="0" distB="0" distL="114300" distR="114300" simplePos="0" relativeHeight="251665408" behindDoc="1" locked="0" layoutInCell="1" allowOverlap="1" wp14:anchorId="263813C4" wp14:editId="505B1960">
            <wp:simplePos x="0" y="0"/>
            <wp:positionH relativeFrom="page">
              <wp:posOffset>-1089660</wp:posOffset>
            </wp:positionH>
            <wp:positionV relativeFrom="page">
              <wp:posOffset>10622915</wp:posOffset>
            </wp:positionV>
            <wp:extent cx="9721850" cy="12672695"/>
            <wp:effectExtent l="0" t="0" r="6350" b="1905"/>
            <wp:wrapNone/>
            <wp:docPr id="876086070" name="Imagem 1" descr="Texto preto sobre fundo bran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277791" name="Imagem 1" descr="Texto preto sobre fundo branco&#10;&#10;Descrição gerada automaticamente"/>
                    <pic:cNvPicPr/>
                  </pic:nvPicPr>
                  <pic:blipFill>
                    <a:blip r:embed="rId6">
                      <a:extLst>
                        <a:ext uri="{28A0092B-C50C-407E-A947-70E740481C1C}">
                          <a14:useLocalDpi xmlns:a14="http://schemas.microsoft.com/office/drawing/2010/main" val="0"/>
                        </a:ext>
                      </a:extLst>
                    </a:blip>
                    <a:stretch>
                      <a:fillRect/>
                    </a:stretch>
                  </pic:blipFill>
                  <pic:spPr>
                    <a:xfrm>
                      <a:off x="0" y="0"/>
                      <a:ext cx="9721850" cy="12672695"/>
                    </a:xfrm>
                    <a:prstGeom prst="rect">
                      <a:avLst/>
                    </a:prstGeom>
                  </pic:spPr>
                </pic:pic>
              </a:graphicData>
            </a:graphic>
            <wp14:sizeRelH relativeFrom="margin">
              <wp14:pctWidth>0</wp14:pctWidth>
            </wp14:sizeRelH>
            <wp14:sizeRelV relativeFrom="margin">
              <wp14:pctHeight>0</wp14:pctHeight>
            </wp14:sizeRelV>
          </wp:anchor>
        </w:drawing>
      </w:r>
      <w:r w:rsidR="00B40864">
        <w:rPr>
          <w:noProof/>
        </w:rPr>
        <w:drawing>
          <wp:anchor distT="0" distB="0" distL="114300" distR="114300" simplePos="0" relativeHeight="251667456" behindDoc="1" locked="0" layoutInCell="1" allowOverlap="1" wp14:anchorId="51E94EAE" wp14:editId="7E7C406D">
            <wp:simplePos x="0" y="0"/>
            <wp:positionH relativeFrom="page">
              <wp:posOffset>-422030</wp:posOffset>
            </wp:positionH>
            <wp:positionV relativeFrom="page">
              <wp:posOffset>0</wp:posOffset>
            </wp:positionV>
            <wp:extent cx="9055004" cy="11759516"/>
            <wp:effectExtent l="0" t="0" r="0" b="0"/>
            <wp:wrapNone/>
            <wp:docPr id="478091960" name="Imagem 1" descr="Texto preto sobre fundo bran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277791" name="Imagem 1" descr="Texto preto sobre fundo branco&#10;&#10;Descrição gerada automaticamente"/>
                    <pic:cNvPicPr/>
                  </pic:nvPicPr>
                  <pic:blipFill rotWithShape="1">
                    <a:blip r:embed="rId6">
                      <a:extLst>
                        <a:ext uri="{28A0092B-C50C-407E-A947-70E740481C1C}">
                          <a14:useLocalDpi xmlns:a14="http://schemas.microsoft.com/office/drawing/2010/main" val="0"/>
                        </a:ext>
                      </a:extLst>
                    </a:blip>
                    <a:srcRect l="-5717" t="1" r="-14332" b="-10219"/>
                    <a:stretch/>
                  </pic:blipFill>
                  <pic:spPr bwMode="auto">
                    <a:xfrm>
                      <a:off x="0" y="0"/>
                      <a:ext cx="9055004" cy="1175951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65A4D" w:rsidRPr="00795EC8">
        <w:rPr>
          <w:rFonts w:ascii="Times New Roman" w:hAnsi="Times New Roman" w:cs="Times New Roman"/>
          <w:b/>
          <w:bCs/>
          <w:sz w:val="24"/>
          <w:szCs w:val="24"/>
        </w:rPr>
        <w:t>REFERÊNCIAS:</w:t>
      </w:r>
    </w:p>
    <w:p w14:paraId="177B40F3" w14:textId="77777777" w:rsidR="009E508A" w:rsidRPr="00554424" w:rsidRDefault="0049462D" w:rsidP="00806933">
      <w:pPr>
        <w:jc w:val="both"/>
        <w:rPr>
          <w:rFonts w:ascii="Times New Roman" w:hAnsi="Times New Roman" w:cs="Times New Roman"/>
          <w:sz w:val="24"/>
          <w:szCs w:val="24"/>
        </w:rPr>
      </w:pPr>
      <w:r w:rsidRPr="00554424">
        <w:rPr>
          <w:rFonts w:ascii="Times New Roman" w:hAnsi="Times New Roman" w:cs="Times New Roman"/>
          <w:sz w:val="24"/>
          <w:szCs w:val="24"/>
        </w:rPr>
        <w:t xml:space="preserve">ALLEN, O. 4th et al. Differential Serum Levels of CACNA1C, Circadian Rhythm and Stress Response Molecules in Subjects with Bipolar Disorder: Associations with Genetic and Clinical Factors. </w:t>
      </w:r>
      <w:r w:rsidRPr="00806933">
        <w:rPr>
          <w:rFonts w:ascii="Times New Roman" w:hAnsi="Times New Roman" w:cs="Times New Roman"/>
          <w:b/>
          <w:bCs/>
          <w:sz w:val="24"/>
          <w:szCs w:val="24"/>
        </w:rPr>
        <w:t>medRxiv</w:t>
      </w:r>
      <w:r w:rsidRPr="00554424">
        <w:rPr>
          <w:rFonts w:ascii="Times New Roman" w:hAnsi="Times New Roman" w:cs="Times New Roman"/>
          <w:sz w:val="24"/>
          <w:szCs w:val="24"/>
        </w:rPr>
        <w:t xml:space="preserve"> [Preprint], 12 abr. 2024. DOI: 10.1101/2024.04.11.24305678. PMID: 38645236; PMCID: PMC11030295.</w:t>
      </w:r>
    </w:p>
    <w:p w14:paraId="6E77731B" w14:textId="77777777" w:rsidR="009E508A" w:rsidRPr="00554424" w:rsidRDefault="0049462D" w:rsidP="00806933">
      <w:pPr>
        <w:jc w:val="both"/>
        <w:rPr>
          <w:rFonts w:ascii="Times New Roman" w:hAnsi="Times New Roman" w:cs="Times New Roman"/>
          <w:sz w:val="24"/>
          <w:szCs w:val="24"/>
        </w:rPr>
      </w:pPr>
      <w:r w:rsidRPr="00554424">
        <w:rPr>
          <w:rFonts w:ascii="Times New Roman" w:hAnsi="Times New Roman" w:cs="Times New Roman"/>
          <w:sz w:val="24"/>
          <w:szCs w:val="24"/>
        </w:rPr>
        <w:t xml:space="preserve">AMARE, A. T. et al. Association of polygenic score and the involvement of cholinergic and glutamatergic pathways with lithium treatment response in patients with bipolar disorder. </w:t>
      </w:r>
      <w:r w:rsidRPr="00CE1AFE">
        <w:rPr>
          <w:rFonts w:ascii="Times New Roman" w:hAnsi="Times New Roman" w:cs="Times New Roman"/>
          <w:b/>
          <w:bCs/>
          <w:sz w:val="24"/>
          <w:szCs w:val="24"/>
        </w:rPr>
        <w:t>Molecular Psychiatry</w:t>
      </w:r>
      <w:r w:rsidRPr="00554424">
        <w:rPr>
          <w:rFonts w:ascii="Times New Roman" w:hAnsi="Times New Roman" w:cs="Times New Roman"/>
          <w:sz w:val="24"/>
          <w:szCs w:val="24"/>
        </w:rPr>
        <w:t>, v. 28, n. 12, p. 5251-5261, dez. 2023. DOI: 10.1038/s41380-023-02149-1. Epub 11 jul. 2023. PMID: 37433967; PMCID: PMC11041653.</w:t>
      </w:r>
    </w:p>
    <w:p w14:paraId="7787C1ED" w14:textId="77777777" w:rsidR="009E508A" w:rsidRPr="00554424" w:rsidRDefault="0049462D" w:rsidP="00806933">
      <w:pPr>
        <w:jc w:val="both"/>
        <w:rPr>
          <w:rFonts w:ascii="Times New Roman" w:hAnsi="Times New Roman" w:cs="Times New Roman"/>
          <w:sz w:val="24"/>
          <w:szCs w:val="24"/>
        </w:rPr>
      </w:pPr>
      <w:r w:rsidRPr="00554424">
        <w:rPr>
          <w:rFonts w:ascii="Times New Roman" w:hAnsi="Times New Roman" w:cs="Times New Roman"/>
          <w:sz w:val="24"/>
          <w:szCs w:val="24"/>
        </w:rPr>
        <w:t xml:space="preserve">AMARE, A. et al. Association of Polygenic Score and the involvement of Cholinergic and Glutamatergic Pathways with Lithium Treatment Response in Patients with Bipolar Disorder. Research Square [Preprint], 14 fev. 2023. DOI: 10.21203/rs.3.rs-2580252/v1. Atualização em: </w:t>
      </w:r>
      <w:r w:rsidRPr="00CE1AFE">
        <w:rPr>
          <w:rFonts w:ascii="Times New Roman" w:hAnsi="Times New Roman" w:cs="Times New Roman"/>
          <w:b/>
          <w:bCs/>
          <w:sz w:val="24"/>
          <w:szCs w:val="24"/>
        </w:rPr>
        <w:t>Molecular Psychiatry</w:t>
      </w:r>
      <w:r w:rsidRPr="00554424">
        <w:rPr>
          <w:rFonts w:ascii="Times New Roman" w:hAnsi="Times New Roman" w:cs="Times New Roman"/>
          <w:sz w:val="24"/>
          <w:szCs w:val="24"/>
        </w:rPr>
        <w:t>, v. 28, n. 12, p. 5251-5261, dez. 2023. DOI: 10.1038/s41380-023-02149-1. PMID: 36824922; PMCID: PMC9949170.</w:t>
      </w:r>
    </w:p>
    <w:p w14:paraId="2E278953" w14:textId="77777777" w:rsidR="009E508A" w:rsidRPr="00554424" w:rsidRDefault="0049462D" w:rsidP="00806933">
      <w:pPr>
        <w:jc w:val="both"/>
        <w:rPr>
          <w:rFonts w:ascii="Times New Roman" w:hAnsi="Times New Roman" w:cs="Times New Roman"/>
          <w:sz w:val="24"/>
          <w:szCs w:val="24"/>
        </w:rPr>
      </w:pPr>
      <w:r w:rsidRPr="00554424">
        <w:rPr>
          <w:rFonts w:ascii="Times New Roman" w:hAnsi="Times New Roman" w:cs="Times New Roman"/>
          <w:sz w:val="24"/>
          <w:szCs w:val="24"/>
        </w:rPr>
        <w:t xml:space="preserve">DUFFY, A.; GROF, P. Longitudinal studies of bipolar patients and their families: translating findings to advance individualized risk prediction, treatment and research. International </w:t>
      </w:r>
      <w:r w:rsidRPr="00CE1AFE">
        <w:rPr>
          <w:rFonts w:ascii="Times New Roman" w:hAnsi="Times New Roman" w:cs="Times New Roman"/>
          <w:b/>
          <w:bCs/>
          <w:sz w:val="24"/>
          <w:szCs w:val="24"/>
        </w:rPr>
        <w:t>Journal of Bipolar Disorders</w:t>
      </w:r>
      <w:r w:rsidRPr="00554424">
        <w:rPr>
          <w:rFonts w:ascii="Times New Roman" w:hAnsi="Times New Roman" w:cs="Times New Roman"/>
          <w:sz w:val="24"/>
          <w:szCs w:val="24"/>
        </w:rPr>
        <w:t>, v. 12, n. 1, p. 12, 12 abr. 2024. DOI: 10.1186/s40345-024-00333-y. PMID: 38609722; PMCID: PMC11014837.</w:t>
      </w:r>
    </w:p>
    <w:p w14:paraId="3DCC021B" w14:textId="3B87A171" w:rsidR="009E508A" w:rsidRPr="00554424" w:rsidRDefault="0049462D" w:rsidP="00806933">
      <w:pPr>
        <w:jc w:val="both"/>
        <w:rPr>
          <w:rFonts w:ascii="Times New Roman" w:hAnsi="Times New Roman" w:cs="Times New Roman"/>
          <w:sz w:val="24"/>
          <w:szCs w:val="24"/>
        </w:rPr>
      </w:pPr>
      <w:r w:rsidRPr="00554424">
        <w:rPr>
          <w:rFonts w:ascii="Times New Roman" w:hAnsi="Times New Roman" w:cs="Times New Roman"/>
          <w:sz w:val="24"/>
          <w:szCs w:val="24"/>
        </w:rPr>
        <w:t>HERRERA-RIVERO, M. et al. Immunogenetics of lithium response and psychiatric phenotypes in patients with bipolar disorder. Research Square [Preprint], 26 jun. 2023. Disponível em: &lt;https://doi.org/10.21203/rs.3.rs-3068352/v1&gt;. Atualização em:</w:t>
      </w:r>
      <w:r w:rsidR="00CE1AFE">
        <w:rPr>
          <w:rFonts w:ascii="Times New Roman" w:hAnsi="Times New Roman" w:cs="Times New Roman"/>
          <w:sz w:val="24"/>
          <w:szCs w:val="24"/>
        </w:rPr>
        <w:t xml:space="preserve"> </w:t>
      </w:r>
      <w:r w:rsidRPr="00CE1AFE">
        <w:rPr>
          <w:rFonts w:ascii="Times New Roman" w:hAnsi="Times New Roman" w:cs="Times New Roman"/>
          <w:b/>
          <w:bCs/>
          <w:sz w:val="24"/>
          <w:szCs w:val="24"/>
        </w:rPr>
        <w:t>Translational Psychiatry</w:t>
      </w:r>
      <w:r w:rsidRPr="00554424">
        <w:rPr>
          <w:rFonts w:ascii="Times New Roman" w:hAnsi="Times New Roman" w:cs="Times New Roman"/>
          <w:sz w:val="24"/>
          <w:szCs w:val="24"/>
        </w:rPr>
        <w:t>, v. 14, n. 1, p. 174, 3 abr. 2024. DOI: 10.1038/s41398-024-02865-4. PMID: 37461719; PMCID: PMC10350128.</w:t>
      </w:r>
    </w:p>
    <w:p w14:paraId="56798E30" w14:textId="77777777" w:rsidR="009E508A" w:rsidRPr="00554424" w:rsidRDefault="0049462D" w:rsidP="00806933">
      <w:pPr>
        <w:jc w:val="both"/>
        <w:rPr>
          <w:rFonts w:ascii="Times New Roman" w:hAnsi="Times New Roman" w:cs="Times New Roman"/>
          <w:sz w:val="24"/>
          <w:szCs w:val="24"/>
        </w:rPr>
      </w:pPr>
      <w:r w:rsidRPr="00554424">
        <w:rPr>
          <w:rFonts w:ascii="Times New Roman" w:hAnsi="Times New Roman" w:cs="Times New Roman"/>
          <w:sz w:val="24"/>
          <w:szCs w:val="24"/>
        </w:rPr>
        <w:t xml:space="preserve">LEI, D. et al. Brain morphometric features predict medication response in youth with bipolar disorder: a prospective randomized clinical trial. </w:t>
      </w:r>
      <w:r w:rsidRPr="00CE1AFE">
        <w:rPr>
          <w:rFonts w:ascii="Times New Roman" w:hAnsi="Times New Roman" w:cs="Times New Roman"/>
          <w:b/>
          <w:bCs/>
          <w:sz w:val="24"/>
          <w:szCs w:val="24"/>
        </w:rPr>
        <w:t>Psychological Medicine</w:t>
      </w:r>
      <w:r w:rsidRPr="00554424">
        <w:rPr>
          <w:rFonts w:ascii="Times New Roman" w:hAnsi="Times New Roman" w:cs="Times New Roman"/>
          <w:sz w:val="24"/>
          <w:szCs w:val="24"/>
        </w:rPr>
        <w:t>, v. 53, n. 9, p. 4083-4093, jul. 2023. DOI: 10.1017/S0033291722000757. Epub 8 abr. 2022. PMID: 35392995; PMCID: PMC10317810.</w:t>
      </w:r>
    </w:p>
    <w:p w14:paraId="1050B31D" w14:textId="77777777" w:rsidR="009E508A" w:rsidRPr="00554424" w:rsidRDefault="0049462D" w:rsidP="00806933">
      <w:pPr>
        <w:jc w:val="both"/>
        <w:rPr>
          <w:rFonts w:ascii="Times New Roman" w:hAnsi="Times New Roman" w:cs="Times New Roman"/>
          <w:sz w:val="24"/>
          <w:szCs w:val="24"/>
        </w:rPr>
      </w:pPr>
      <w:r w:rsidRPr="00554424">
        <w:rPr>
          <w:rFonts w:ascii="Times New Roman" w:hAnsi="Times New Roman" w:cs="Times New Roman"/>
          <w:sz w:val="24"/>
          <w:szCs w:val="24"/>
        </w:rPr>
        <w:t xml:space="preserve">LEI, D. et al. Effects of short-term quetiapine and lithium therapy for acute manic or mixed episodes on the limbic system and emotion regulation circuitry in youth with bipolar disorder. </w:t>
      </w:r>
      <w:r w:rsidRPr="00CE1AFE">
        <w:rPr>
          <w:rFonts w:ascii="Times New Roman" w:hAnsi="Times New Roman" w:cs="Times New Roman"/>
          <w:b/>
          <w:bCs/>
          <w:sz w:val="24"/>
          <w:szCs w:val="24"/>
        </w:rPr>
        <w:t>Neuropsychopharmacology</w:t>
      </w:r>
      <w:r w:rsidRPr="00554424">
        <w:rPr>
          <w:rFonts w:ascii="Times New Roman" w:hAnsi="Times New Roman" w:cs="Times New Roman"/>
          <w:sz w:val="24"/>
          <w:szCs w:val="24"/>
        </w:rPr>
        <w:t>, v. 48, n. 4, p. 615-622, mar. 2023. DOI: 10.1038/s41386-022-01463-6. Epub 13 out. 2022. PMID: 36229596; PMCID: PMC9938175.</w:t>
      </w:r>
    </w:p>
    <w:p w14:paraId="02F413B0" w14:textId="77777777" w:rsidR="009E508A" w:rsidRPr="00554424" w:rsidRDefault="0049462D" w:rsidP="00806933">
      <w:pPr>
        <w:jc w:val="both"/>
        <w:rPr>
          <w:rFonts w:ascii="Times New Roman" w:hAnsi="Times New Roman" w:cs="Times New Roman"/>
          <w:sz w:val="24"/>
          <w:szCs w:val="24"/>
        </w:rPr>
      </w:pPr>
      <w:r w:rsidRPr="00554424">
        <w:rPr>
          <w:rFonts w:ascii="Times New Roman" w:hAnsi="Times New Roman" w:cs="Times New Roman"/>
          <w:sz w:val="24"/>
          <w:szCs w:val="24"/>
        </w:rPr>
        <w:t xml:space="preserve">MIZRAHI, L. et al. Immunoglobulin genes expressed in lymphoblastoid cell lines discern and predict lithium response in bipolar disorder patients. </w:t>
      </w:r>
      <w:r w:rsidRPr="00CE1AFE">
        <w:rPr>
          <w:rFonts w:ascii="Times New Roman" w:hAnsi="Times New Roman" w:cs="Times New Roman"/>
          <w:b/>
          <w:bCs/>
          <w:sz w:val="24"/>
          <w:szCs w:val="24"/>
        </w:rPr>
        <w:t>Molecular Psychiatry</w:t>
      </w:r>
      <w:r w:rsidRPr="00554424">
        <w:rPr>
          <w:rFonts w:ascii="Times New Roman" w:hAnsi="Times New Roman" w:cs="Times New Roman"/>
          <w:sz w:val="24"/>
          <w:szCs w:val="24"/>
        </w:rPr>
        <w:t>, v. 28, n. 10, p. 4280-4293, out. 2023. DOI: 10.1038/s41380-023-02183-z. Epub 24 jul. 2023. PMID: 37488168; PMCID: PMC10827667.</w:t>
      </w:r>
    </w:p>
    <w:p w14:paraId="68A40A98" w14:textId="77777777" w:rsidR="009E508A" w:rsidRPr="007908BA" w:rsidRDefault="0049462D" w:rsidP="00806933">
      <w:pPr>
        <w:jc w:val="both"/>
        <w:rPr>
          <w:rFonts w:ascii="Times New Roman" w:hAnsi="Times New Roman" w:cs="Times New Roman"/>
          <w:sz w:val="24"/>
          <w:szCs w:val="24"/>
        </w:rPr>
      </w:pPr>
      <w:r w:rsidRPr="007908BA">
        <w:rPr>
          <w:rFonts w:ascii="Times New Roman" w:hAnsi="Times New Roman" w:cs="Times New Roman"/>
          <w:sz w:val="24"/>
          <w:szCs w:val="24"/>
        </w:rPr>
        <w:t xml:space="preserve">PISANU, C.; SQUASSINA, A. RNA Biomarkers in Bipolar Disorder and Response to Mood Stabilizers. </w:t>
      </w:r>
      <w:r w:rsidRPr="00CE1AFE">
        <w:rPr>
          <w:rFonts w:ascii="Times New Roman" w:hAnsi="Times New Roman" w:cs="Times New Roman"/>
          <w:b/>
          <w:bCs/>
          <w:sz w:val="24"/>
          <w:szCs w:val="24"/>
        </w:rPr>
        <w:t>International Journal of Molecular Sciences</w:t>
      </w:r>
      <w:r w:rsidRPr="007908BA">
        <w:rPr>
          <w:rFonts w:ascii="Times New Roman" w:hAnsi="Times New Roman" w:cs="Times New Roman"/>
          <w:sz w:val="24"/>
          <w:szCs w:val="24"/>
        </w:rPr>
        <w:t>, v. 24, n. 12, p. 10067, 13 jun. 2023. DOI: 10.3390/ijms241210067. PMID: 37373213; PMCID: PMC10298098.</w:t>
      </w:r>
    </w:p>
    <w:sectPr w:rsidR="009E508A" w:rsidRPr="007908BA" w:rsidSect="00F65A4D">
      <w:headerReference w:type="even" r:id="rId11"/>
      <w:headerReference w:type="default" r:id="rId12"/>
      <w:footerReference w:type="even" r:id="rId13"/>
      <w:footerReference w:type="default" r:id="rId14"/>
      <w:headerReference w:type="first" r:id="rId15"/>
      <w:footerReference w:type="first" r:id="rId16"/>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19D25" w14:textId="77777777" w:rsidR="00967826" w:rsidRDefault="00967826" w:rsidP="00F65A4D">
      <w:pPr>
        <w:spacing w:after="0" w:line="240" w:lineRule="auto"/>
      </w:pPr>
      <w:r>
        <w:separator/>
      </w:r>
    </w:p>
  </w:endnote>
  <w:endnote w:type="continuationSeparator" w:id="0">
    <w:p w14:paraId="7F370F6D" w14:textId="77777777" w:rsidR="00967826" w:rsidRDefault="00967826" w:rsidP="00F65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410D1" w14:textId="77777777" w:rsidR="00F65A4D" w:rsidRDefault="00F65A4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04D32" w14:textId="77777777" w:rsidR="00F65A4D" w:rsidRDefault="00F65A4D">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D0E19" w14:textId="77777777" w:rsidR="00F65A4D" w:rsidRDefault="00F65A4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61D2B" w14:textId="77777777" w:rsidR="00967826" w:rsidRDefault="00967826" w:rsidP="00F65A4D">
      <w:pPr>
        <w:spacing w:after="0" w:line="240" w:lineRule="auto"/>
      </w:pPr>
      <w:r>
        <w:separator/>
      </w:r>
    </w:p>
  </w:footnote>
  <w:footnote w:type="continuationSeparator" w:id="0">
    <w:p w14:paraId="10F6FA9A" w14:textId="77777777" w:rsidR="00967826" w:rsidRDefault="00967826" w:rsidP="00F65A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17F67" w14:textId="77777777" w:rsidR="00F65A4D" w:rsidRDefault="00F65A4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053FD" w14:textId="77777777" w:rsidR="00F65A4D" w:rsidRDefault="00F65A4D">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4018B" w14:textId="77777777" w:rsidR="00F65A4D" w:rsidRDefault="00F65A4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A4D"/>
    <w:rsid w:val="000047AD"/>
    <w:rsid w:val="00040610"/>
    <w:rsid w:val="00054D1E"/>
    <w:rsid w:val="000628F6"/>
    <w:rsid w:val="00092890"/>
    <w:rsid w:val="000C6882"/>
    <w:rsid w:val="000D73E1"/>
    <w:rsid w:val="000E1963"/>
    <w:rsid w:val="00112658"/>
    <w:rsid w:val="001241F4"/>
    <w:rsid w:val="00137D27"/>
    <w:rsid w:val="00146218"/>
    <w:rsid w:val="001548DB"/>
    <w:rsid w:val="00164C94"/>
    <w:rsid w:val="001662B5"/>
    <w:rsid w:val="00167632"/>
    <w:rsid w:val="00172209"/>
    <w:rsid w:val="00181CB1"/>
    <w:rsid w:val="00186FFC"/>
    <w:rsid w:val="00196E0B"/>
    <w:rsid w:val="001A146A"/>
    <w:rsid w:val="001E664B"/>
    <w:rsid w:val="001F10A8"/>
    <w:rsid w:val="00215B81"/>
    <w:rsid w:val="00223046"/>
    <w:rsid w:val="0025714E"/>
    <w:rsid w:val="0029189C"/>
    <w:rsid w:val="002B0246"/>
    <w:rsid w:val="0032601C"/>
    <w:rsid w:val="00332BA4"/>
    <w:rsid w:val="00334A12"/>
    <w:rsid w:val="00340BC9"/>
    <w:rsid w:val="00347A91"/>
    <w:rsid w:val="00386609"/>
    <w:rsid w:val="00386CA0"/>
    <w:rsid w:val="00392CF8"/>
    <w:rsid w:val="0039306E"/>
    <w:rsid w:val="003A1923"/>
    <w:rsid w:val="003B0023"/>
    <w:rsid w:val="003B1101"/>
    <w:rsid w:val="0041155F"/>
    <w:rsid w:val="0043358F"/>
    <w:rsid w:val="004417A4"/>
    <w:rsid w:val="004428B6"/>
    <w:rsid w:val="00443DC4"/>
    <w:rsid w:val="00447799"/>
    <w:rsid w:val="004737CC"/>
    <w:rsid w:val="00477472"/>
    <w:rsid w:val="0049426E"/>
    <w:rsid w:val="0049462D"/>
    <w:rsid w:val="004E2A5D"/>
    <w:rsid w:val="004F4DD4"/>
    <w:rsid w:val="005121D3"/>
    <w:rsid w:val="00554424"/>
    <w:rsid w:val="005C547E"/>
    <w:rsid w:val="005D155B"/>
    <w:rsid w:val="005D7E3A"/>
    <w:rsid w:val="005E683D"/>
    <w:rsid w:val="005F69B5"/>
    <w:rsid w:val="00627D3C"/>
    <w:rsid w:val="00664B14"/>
    <w:rsid w:val="006A4FD9"/>
    <w:rsid w:val="006B666B"/>
    <w:rsid w:val="006C2518"/>
    <w:rsid w:val="006D4BB7"/>
    <w:rsid w:val="006E41D8"/>
    <w:rsid w:val="006E434C"/>
    <w:rsid w:val="006F14BB"/>
    <w:rsid w:val="00730683"/>
    <w:rsid w:val="007510DB"/>
    <w:rsid w:val="00762127"/>
    <w:rsid w:val="00783671"/>
    <w:rsid w:val="00784287"/>
    <w:rsid w:val="007908BA"/>
    <w:rsid w:val="007B0BBB"/>
    <w:rsid w:val="007C08F5"/>
    <w:rsid w:val="007C401F"/>
    <w:rsid w:val="007E7655"/>
    <w:rsid w:val="007F54AE"/>
    <w:rsid w:val="00801857"/>
    <w:rsid w:val="00806933"/>
    <w:rsid w:val="0085037E"/>
    <w:rsid w:val="0086151B"/>
    <w:rsid w:val="00883287"/>
    <w:rsid w:val="00905253"/>
    <w:rsid w:val="00967826"/>
    <w:rsid w:val="00971D16"/>
    <w:rsid w:val="009841E0"/>
    <w:rsid w:val="009929FD"/>
    <w:rsid w:val="009A01F0"/>
    <w:rsid w:val="009B6DEC"/>
    <w:rsid w:val="009D263D"/>
    <w:rsid w:val="009D405B"/>
    <w:rsid w:val="009E16D4"/>
    <w:rsid w:val="009E508A"/>
    <w:rsid w:val="00A05180"/>
    <w:rsid w:val="00A633F6"/>
    <w:rsid w:val="00A6657D"/>
    <w:rsid w:val="00AA2B7B"/>
    <w:rsid w:val="00AB270A"/>
    <w:rsid w:val="00AC09B5"/>
    <w:rsid w:val="00AE1048"/>
    <w:rsid w:val="00AF3503"/>
    <w:rsid w:val="00B3335A"/>
    <w:rsid w:val="00B34161"/>
    <w:rsid w:val="00B40864"/>
    <w:rsid w:val="00B53586"/>
    <w:rsid w:val="00B57619"/>
    <w:rsid w:val="00BA0440"/>
    <w:rsid w:val="00BA07E8"/>
    <w:rsid w:val="00BC2CBA"/>
    <w:rsid w:val="00BC4116"/>
    <w:rsid w:val="00BD219C"/>
    <w:rsid w:val="00BD6DE3"/>
    <w:rsid w:val="00BD6FBA"/>
    <w:rsid w:val="00BE291C"/>
    <w:rsid w:val="00BE4B82"/>
    <w:rsid w:val="00BE6BDF"/>
    <w:rsid w:val="00C00675"/>
    <w:rsid w:val="00C34E1F"/>
    <w:rsid w:val="00C44DE2"/>
    <w:rsid w:val="00C5360C"/>
    <w:rsid w:val="00C75D85"/>
    <w:rsid w:val="00C91123"/>
    <w:rsid w:val="00C957DB"/>
    <w:rsid w:val="00C97F71"/>
    <w:rsid w:val="00CA6DD7"/>
    <w:rsid w:val="00CB371B"/>
    <w:rsid w:val="00CE1AFE"/>
    <w:rsid w:val="00CF003A"/>
    <w:rsid w:val="00CF2311"/>
    <w:rsid w:val="00D314C0"/>
    <w:rsid w:val="00D67EC1"/>
    <w:rsid w:val="00DA2602"/>
    <w:rsid w:val="00DB15D8"/>
    <w:rsid w:val="00DF21E3"/>
    <w:rsid w:val="00E40A38"/>
    <w:rsid w:val="00E44633"/>
    <w:rsid w:val="00E832F5"/>
    <w:rsid w:val="00E879BB"/>
    <w:rsid w:val="00E9375F"/>
    <w:rsid w:val="00EC0A84"/>
    <w:rsid w:val="00EC29CC"/>
    <w:rsid w:val="00EE24F7"/>
    <w:rsid w:val="00F141CF"/>
    <w:rsid w:val="00F546D6"/>
    <w:rsid w:val="00F57ADC"/>
    <w:rsid w:val="00F629C8"/>
    <w:rsid w:val="00F65A4D"/>
    <w:rsid w:val="00F724D2"/>
    <w:rsid w:val="00F80740"/>
    <w:rsid w:val="00FC73BA"/>
    <w:rsid w:val="00FD19E7"/>
    <w:rsid w:val="00FD5598"/>
    <w:rsid w:val="00FF75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1B1C3"/>
  <w15:chartTrackingRefBased/>
  <w15:docId w15:val="{AA741889-DAC1-4E77-84C4-7D0D3FBB1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A4D"/>
  </w:style>
  <w:style w:type="paragraph" w:styleId="Ttulo1">
    <w:name w:val="heading 1"/>
    <w:basedOn w:val="Normal"/>
    <w:next w:val="Normal"/>
    <w:link w:val="Ttulo1Char"/>
    <w:uiPriority w:val="9"/>
    <w:qFormat/>
    <w:rsid w:val="00F65A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F65A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F65A4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F65A4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F65A4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F65A4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F65A4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F65A4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F65A4D"/>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65A4D"/>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F65A4D"/>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F65A4D"/>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F65A4D"/>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F65A4D"/>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F65A4D"/>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F65A4D"/>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F65A4D"/>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F65A4D"/>
    <w:rPr>
      <w:rFonts w:eastAsiaTheme="majorEastAsia" w:cstheme="majorBidi"/>
      <w:color w:val="272727" w:themeColor="text1" w:themeTint="D8"/>
    </w:rPr>
  </w:style>
  <w:style w:type="paragraph" w:styleId="Ttulo">
    <w:name w:val="Title"/>
    <w:basedOn w:val="Normal"/>
    <w:next w:val="Normal"/>
    <w:link w:val="TtuloChar"/>
    <w:uiPriority w:val="10"/>
    <w:qFormat/>
    <w:rsid w:val="00F65A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F65A4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F65A4D"/>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F65A4D"/>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F65A4D"/>
    <w:pPr>
      <w:spacing w:before="160"/>
      <w:jc w:val="center"/>
    </w:pPr>
    <w:rPr>
      <w:i/>
      <w:iCs/>
      <w:color w:val="404040" w:themeColor="text1" w:themeTint="BF"/>
    </w:rPr>
  </w:style>
  <w:style w:type="character" w:customStyle="1" w:styleId="CitaoChar">
    <w:name w:val="Citação Char"/>
    <w:basedOn w:val="Fontepargpadro"/>
    <w:link w:val="Citao"/>
    <w:uiPriority w:val="29"/>
    <w:rsid w:val="00F65A4D"/>
    <w:rPr>
      <w:i/>
      <w:iCs/>
      <w:color w:val="404040" w:themeColor="text1" w:themeTint="BF"/>
    </w:rPr>
  </w:style>
  <w:style w:type="paragraph" w:styleId="PargrafodaLista">
    <w:name w:val="List Paragraph"/>
    <w:basedOn w:val="Normal"/>
    <w:uiPriority w:val="34"/>
    <w:qFormat/>
    <w:rsid w:val="00F65A4D"/>
    <w:pPr>
      <w:ind w:left="720"/>
      <w:contextualSpacing/>
    </w:pPr>
  </w:style>
  <w:style w:type="character" w:styleId="nfaseIntensa">
    <w:name w:val="Intense Emphasis"/>
    <w:basedOn w:val="Fontepargpadro"/>
    <w:uiPriority w:val="21"/>
    <w:qFormat/>
    <w:rsid w:val="00F65A4D"/>
    <w:rPr>
      <w:i/>
      <w:iCs/>
      <w:color w:val="0F4761" w:themeColor="accent1" w:themeShade="BF"/>
    </w:rPr>
  </w:style>
  <w:style w:type="paragraph" w:styleId="CitaoIntensa">
    <w:name w:val="Intense Quote"/>
    <w:basedOn w:val="Normal"/>
    <w:next w:val="Normal"/>
    <w:link w:val="CitaoIntensaChar"/>
    <w:uiPriority w:val="30"/>
    <w:qFormat/>
    <w:rsid w:val="00F65A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F65A4D"/>
    <w:rPr>
      <w:i/>
      <w:iCs/>
      <w:color w:val="0F4761" w:themeColor="accent1" w:themeShade="BF"/>
    </w:rPr>
  </w:style>
  <w:style w:type="character" w:styleId="RefernciaIntensa">
    <w:name w:val="Intense Reference"/>
    <w:basedOn w:val="Fontepargpadro"/>
    <w:uiPriority w:val="32"/>
    <w:qFormat/>
    <w:rsid w:val="00F65A4D"/>
    <w:rPr>
      <w:b/>
      <w:bCs/>
      <w:smallCaps/>
      <w:color w:val="0F4761" w:themeColor="accent1" w:themeShade="BF"/>
      <w:spacing w:val="5"/>
    </w:rPr>
  </w:style>
  <w:style w:type="paragraph" w:styleId="Cabealho">
    <w:name w:val="header"/>
    <w:basedOn w:val="Normal"/>
    <w:link w:val="CabealhoChar"/>
    <w:uiPriority w:val="99"/>
    <w:unhideWhenUsed/>
    <w:rsid w:val="00F65A4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65A4D"/>
  </w:style>
  <w:style w:type="paragraph" w:styleId="Rodap">
    <w:name w:val="footer"/>
    <w:basedOn w:val="Normal"/>
    <w:link w:val="RodapChar"/>
    <w:uiPriority w:val="99"/>
    <w:unhideWhenUsed/>
    <w:rsid w:val="00F65A4D"/>
    <w:pPr>
      <w:tabs>
        <w:tab w:val="center" w:pos="4252"/>
        <w:tab w:val="right" w:pos="8504"/>
      </w:tabs>
      <w:spacing w:after="0" w:line="240" w:lineRule="auto"/>
    </w:pPr>
  </w:style>
  <w:style w:type="character" w:customStyle="1" w:styleId="RodapChar">
    <w:name w:val="Rodapé Char"/>
    <w:basedOn w:val="Fontepargpadro"/>
    <w:link w:val="Rodap"/>
    <w:uiPriority w:val="99"/>
    <w:rsid w:val="00F65A4D"/>
  </w:style>
  <w:style w:type="paragraph" w:customStyle="1" w:styleId="cvgsua">
    <w:name w:val="cvgsua"/>
    <w:basedOn w:val="Normal"/>
    <w:rsid w:val="00F65A4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customStyle="1" w:styleId="oypena">
    <w:name w:val="oypena"/>
    <w:basedOn w:val="Fontepargpadro"/>
    <w:rsid w:val="00F65A4D"/>
  </w:style>
  <w:style w:type="paragraph" w:styleId="NormalWeb">
    <w:name w:val="Normal (Web)"/>
    <w:basedOn w:val="Normal"/>
    <w:uiPriority w:val="99"/>
    <w:unhideWhenUsed/>
    <w:rsid w:val="00B57619"/>
    <w:pPr>
      <w:spacing w:before="100" w:beforeAutospacing="1" w:after="100" w:afterAutospacing="1" w:line="240" w:lineRule="auto"/>
    </w:pPr>
    <w:rPr>
      <w:rFonts w:ascii="Times New Roman" w:eastAsiaTheme="minorEastAsia" w:hAnsi="Times New Roman" w:cs="Times New Roman"/>
      <w:kern w:val="0"/>
      <w:sz w:val="24"/>
      <w:szCs w:val="24"/>
      <w:lang w:eastAsia="pt-BR"/>
      <w14:ligatures w14:val="none"/>
    </w:rPr>
  </w:style>
  <w:style w:type="character" w:styleId="Hyperlink">
    <w:name w:val="Hyperlink"/>
    <w:basedOn w:val="Fontepargpadro"/>
    <w:uiPriority w:val="99"/>
    <w:unhideWhenUsed/>
    <w:rsid w:val="0029189C"/>
    <w:rPr>
      <w:color w:val="467886" w:themeColor="hyperlink"/>
      <w:u w:val="single"/>
    </w:rPr>
  </w:style>
  <w:style w:type="character" w:styleId="MenoPendente">
    <w:name w:val="Unresolved Mention"/>
    <w:basedOn w:val="Fontepargpadro"/>
    <w:uiPriority w:val="99"/>
    <w:semiHidden/>
    <w:unhideWhenUsed/>
    <w:rsid w:val="00C911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763437">
      <w:bodyDiv w:val="1"/>
      <w:marLeft w:val="0"/>
      <w:marRight w:val="0"/>
      <w:marTop w:val="0"/>
      <w:marBottom w:val="0"/>
      <w:divBdr>
        <w:top w:val="none" w:sz="0" w:space="0" w:color="auto"/>
        <w:left w:val="none" w:sz="0" w:space="0" w:color="auto"/>
        <w:bottom w:val="none" w:sz="0" w:space="0" w:color="auto"/>
        <w:right w:val="none" w:sz="0" w:space="0" w:color="auto"/>
      </w:divBdr>
      <w:divsChild>
        <w:div w:id="446241886">
          <w:marLeft w:val="0"/>
          <w:marRight w:val="0"/>
          <w:marTop w:val="0"/>
          <w:marBottom w:val="0"/>
          <w:divBdr>
            <w:top w:val="none" w:sz="0" w:space="0" w:color="auto"/>
            <w:left w:val="none" w:sz="0" w:space="0" w:color="auto"/>
            <w:bottom w:val="none" w:sz="0" w:space="0" w:color="auto"/>
            <w:right w:val="none" w:sz="0" w:space="0" w:color="auto"/>
          </w:divBdr>
          <w:divsChild>
            <w:div w:id="1143042607">
              <w:marLeft w:val="0"/>
              <w:marRight w:val="0"/>
              <w:marTop w:val="0"/>
              <w:marBottom w:val="0"/>
              <w:divBdr>
                <w:top w:val="none" w:sz="0" w:space="0" w:color="auto"/>
                <w:left w:val="none" w:sz="0" w:space="0" w:color="auto"/>
                <w:bottom w:val="none" w:sz="0" w:space="0" w:color="auto"/>
                <w:right w:val="none" w:sz="0" w:space="0" w:color="auto"/>
              </w:divBdr>
            </w:div>
            <w:div w:id="109982538">
              <w:marLeft w:val="0"/>
              <w:marRight w:val="0"/>
              <w:marTop w:val="0"/>
              <w:marBottom w:val="0"/>
              <w:divBdr>
                <w:top w:val="none" w:sz="0" w:space="0" w:color="auto"/>
                <w:left w:val="none" w:sz="0" w:space="0" w:color="auto"/>
                <w:bottom w:val="none" w:sz="0" w:space="0" w:color="auto"/>
                <w:right w:val="none" w:sz="0" w:space="0" w:color="auto"/>
              </w:divBdr>
            </w:div>
            <w:div w:id="114808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229082">
      <w:bodyDiv w:val="1"/>
      <w:marLeft w:val="0"/>
      <w:marRight w:val="0"/>
      <w:marTop w:val="0"/>
      <w:marBottom w:val="0"/>
      <w:divBdr>
        <w:top w:val="none" w:sz="0" w:space="0" w:color="auto"/>
        <w:left w:val="none" w:sz="0" w:space="0" w:color="auto"/>
        <w:bottom w:val="none" w:sz="0" w:space="0" w:color="auto"/>
        <w:right w:val="none" w:sz="0" w:space="0" w:color="auto"/>
      </w:divBdr>
    </w:div>
    <w:div w:id="1128427992">
      <w:bodyDiv w:val="1"/>
      <w:marLeft w:val="0"/>
      <w:marRight w:val="0"/>
      <w:marTop w:val="0"/>
      <w:marBottom w:val="0"/>
      <w:divBdr>
        <w:top w:val="none" w:sz="0" w:space="0" w:color="auto"/>
        <w:left w:val="none" w:sz="0" w:space="0" w:color="auto"/>
        <w:bottom w:val="none" w:sz="0" w:space="0" w:color="auto"/>
        <w:right w:val="none" w:sz="0" w:space="0" w:color="auto"/>
      </w:divBdr>
    </w:div>
    <w:div w:id="138209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toriamargon@outlook.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e-mail@gmail.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mailto:e-mail@gmail.com" TargetMode="External"/><Relationship Id="rId4" Type="http://schemas.openxmlformats.org/officeDocument/2006/relationships/footnotes" Target="footnotes.xml"/><Relationship Id="rId9" Type="http://schemas.openxmlformats.org/officeDocument/2006/relationships/hyperlink" Target="mailto:isadoramoulinlrc@gmail.com" TargetMode="Externa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929</Words>
  <Characters>5017</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Souza</dc:creator>
  <cp:keywords/>
  <dc:description/>
  <cp:lastModifiedBy>REBECA DA SILVEIRA FERREIRA</cp:lastModifiedBy>
  <cp:revision>2</cp:revision>
  <dcterms:created xsi:type="dcterms:W3CDTF">2024-07-23T15:38:00Z</dcterms:created>
  <dcterms:modified xsi:type="dcterms:W3CDTF">2024-07-23T15:38:00Z</dcterms:modified>
</cp:coreProperties>
</file>