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2C" w:rsidRPr="00FC765F" w:rsidRDefault="0029672C" w:rsidP="0029672C">
      <w:pPr>
        <w:jc w:val="center"/>
        <w:rPr>
          <w:b/>
        </w:rPr>
      </w:pPr>
      <w:r w:rsidRPr="00FC765F">
        <w:rPr>
          <w:b/>
        </w:rPr>
        <w:t>ANÁLISE DE VIABILIDADE FINANCEIRA NA IMPLANTAÇÃO DE UM SISTEMA DE MICROGERAÇÃO FOTOVOLTAICA</w:t>
      </w:r>
    </w:p>
    <w:p w:rsidR="00184763" w:rsidRPr="00184763" w:rsidRDefault="00C26290" w:rsidP="00C2629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4763" w:rsidRPr="00184763">
        <w:t>Filipe Alves Barboza</w:t>
      </w:r>
      <w:r>
        <w:t xml:space="preserve">, </w:t>
      </w:r>
      <w:r w:rsidR="00184763">
        <w:t>(UNIVASF</w:t>
      </w:r>
      <w:proofErr w:type="gramStart"/>
      <w:r w:rsidR="00184763">
        <w:t>)</w:t>
      </w:r>
      <w:proofErr w:type="gramEnd"/>
    </w:p>
    <w:p w:rsidR="00184763" w:rsidRDefault="00184763" w:rsidP="00184763">
      <w:pPr>
        <w:jc w:val="right"/>
      </w:pPr>
      <w:r>
        <w:t>felipibarbosa96@gmail.com</w:t>
      </w:r>
    </w:p>
    <w:p w:rsidR="00184763" w:rsidRPr="00184763" w:rsidRDefault="00184763" w:rsidP="00184763">
      <w:pPr>
        <w:jc w:val="right"/>
      </w:pPr>
      <w:r w:rsidRPr="00184763">
        <w:t>Lucas Lira Souza</w:t>
      </w:r>
      <w:r w:rsidR="00C26290">
        <w:t>,</w:t>
      </w:r>
      <w:r>
        <w:t xml:space="preserve"> (UNIVASF</w:t>
      </w:r>
      <w:proofErr w:type="gramStart"/>
      <w:r>
        <w:t>)</w:t>
      </w:r>
      <w:proofErr w:type="gramEnd"/>
    </w:p>
    <w:p w:rsidR="00184763" w:rsidRDefault="00184763" w:rsidP="00184763">
      <w:pPr>
        <w:jc w:val="right"/>
      </w:pPr>
      <w:r>
        <w:t>lucaslira.nls@gmail.com</w:t>
      </w:r>
    </w:p>
    <w:p w:rsidR="00184763" w:rsidRPr="00184763" w:rsidRDefault="00184763" w:rsidP="00184763">
      <w:pPr>
        <w:jc w:val="right"/>
        <w:rPr>
          <w:lang w:val="en-US"/>
        </w:rPr>
      </w:pPr>
      <w:proofErr w:type="spellStart"/>
      <w:r w:rsidRPr="00184763">
        <w:rPr>
          <w:lang w:val="en-US"/>
        </w:rPr>
        <w:t>Adeon</w:t>
      </w:r>
      <w:proofErr w:type="spellEnd"/>
      <w:r w:rsidRPr="00184763">
        <w:rPr>
          <w:lang w:val="en-US"/>
        </w:rPr>
        <w:t xml:space="preserve"> </w:t>
      </w:r>
      <w:proofErr w:type="spellStart"/>
      <w:r w:rsidRPr="00184763">
        <w:rPr>
          <w:lang w:val="en-US"/>
        </w:rPr>
        <w:t>Cecilio</w:t>
      </w:r>
      <w:proofErr w:type="spellEnd"/>
      <w:r w:rsidRPr="00184763">
        <w:rPr>
          <w:lang w:val="en-US"/>
        </w:rPr>
        <w:t xml:space="preserve"> Pinto</w:t>
      </w:r>
      <w:r w:rsidR="00C26290">
        <w:rPr>
          <w:lang w:val="en-US"/>
        </w:rPr>
        <w:t>,</w:t>
      </w:r>
      <w:r>
        <w:rPr>
          <w:lang w:val="en-US"/>
        </w:rPr>
        <w:t xml:space="preserve"> </w:t>
      </w:r>
      <w:r>
        <w:t>(UNIVASF)</w:t>
      </w:r>
    </w:p>
    <w:p w:rsidR="00184763" w:rsidRDefault="00184763" w:rsidP="00184763">
      <w:pPr>
        <w:jc w:val="right"/>
        <w:rPr>
          <w:lang w:val="en-US"/>
        </w:rPr>
      </w:pPr>
      <w:r w:rsidRPr="005F74C2">
        <w:rPr>
          <w:lang w:val="en-US"/>
        </w:rPr>
        <w:t>adeon.pinto@univasf.edu.br</w:t>
      </w:r>
    </w:p>
    <w:p w:rsidR="00050E48" w:rsidRDefault="00050E48" w:rsidP="00800B44">
      <w:r w:rsidRPr="00BC5AB8">
        <w:rPr>
          <w:b/>
        </w:rPr>
        <w:t>Resumo</w:t>
      </w:r>
      <w:r>
        <w:t>:</w:t>
      </w:r>
      <w:r w:rsidR="0029672C" w:rsidRPr="0029672C">
        <w:t xml:space="preserve"> </w:t>
      </w:r>
      <w:r w:rsidR="0029672C" w:rsidRPr="00311018">
        <w:t>Este artigo traz uma avaliação de viabilidade econômica para uma possível instalação de um sistema fotovoltaico em uma residência familiar, no estado de Pernambuco, que possui alto consumo. Para atingir o objetivo traçado, foi realizado um levantamento de custos relativos ao equipamento, e às tarifas de energia praticadas pela Companhia Elétrica de P</w:t>
      </w:r>
      <w:r w:rsidR="00F62895">
        <w:t>ernambuco (CELPE) nos últimos 17</w:t>
      </w:r>
      <w:r w:rsidR="0029672C" w:rsidRPr="00311018">
        <w:t xml:space="preserve"> anos, buscando transmitir veracidade ao estudo em questão. Na análise financeira, </w:t>
      </w:r>
      <w:proofErr w:type="gramStart"/>
      <w:r w:rsidR="0029672C" w:rsidRPr="00311018">
        <w:t>utilizou-se</w:t>
      </w:r>
      <w:proofErr w:type="gramEnd"/>
      <w:r w:rsidR="0029672C" w:rsidRPr="00311018">
        <w:t xml:space="preserve"> as principais ferramentas empregadas em avaliações de projetos, sendo elas o Valor Presente Líquido (VPL), o </w:t>
      </w:r>
      <w:proofErr w:type="spellStart"/>
      <w:r w:rsidR="0029672C" w:rsidRPr="00311018">
        <w:rPr>
          <w:i/>
        </w:rPr>
        <w:t>Payback</w:t>
      </w:r>
      <w:proofErr w:type="spellEnd"/>
      <w:r w:rsidR="0029672C" w:rsidRPr="00311018">
        <w:rPr>
          <w:i/>
        </w:rPr>
        <w:t xml:space="preserve">, </w:t>
      </w:r>
      <w:r w:rsidR="0029672C" w:rsidRPr="00311018">
        <w:t>e a Taxa Interna de Retorno (TIR). Tais indicadores fornecem informações que auxiliam o processo decisório e trazem à luz a capacidade de liquidez da aplicação, assim como sua rentabilidade. Após a aplicação dessas técnicas, foi possível observar que o investimento retorna o capital investido em poucos anos, quando comparado à sua vida útil, e apresenta alto grau de lucratividade, sendo sua renda superior em até três vezes do valor inicial. Sendo assim, é seguro afirmar que, nas condições trabalhadas, a viabilidade do projeto é evidente. Dessa forma, tendo em vista a atratividade financeira, buscou-se incentivar e disseminar esse tipo de geração de energia, através de uma abordagem econômica.</w:t>
      </w:r>
    </w:p>
    <w:p w:rsidR="0029672C" w:rsidRDefault="007A0EAF" w:rsidP="0029672C">
      <w:r w:rsidRPr="007A0EAF">
        <w:rPr>
          <w:b/>
        </w:rPr>
        <w:t>Palavras-chave</w:t>
      </w:r>
      <w:r>
        <w:t xml:space="preserve">: </w:t>
      </w:r>
      <w:r w:rsidR="0029672C">
        <w:t>Viabilidade econômica, an</w:t>
      </w:r>
      <w:r w:rsidR="00C01805">
        <w:t>álise financeira, investimentos,</w:t>
      </w:r>
      <w:bookmarkStart w:id="0" w:name="_GoBack"/>
      <w:bookmarkEnd w:id="0"/>
      <w:r w:rsidR="0029672C">
        <w:t xml:space="preserve"> sistema fotovoltaico.</w:t>
      </w:r>
    </w:p>
    <w:p w:rsidR="007A0EAF" w:rsidRDefault="007A0EAF" w:rsidP="00800B44"/>
    <w:p w:rsidR="00800B44" w:rsidRPr="0034061B" w:rsidRDefault="00800B44" w:rsidP="0034061B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29672C">
        <w:rPr>
          <w:rFonts w:ascii="Times New Roman" w:hAnsi="Times New Roman"/>
          <w:bCs w:val="0"/>
          <w:i w:val="0"/>
          <w:iCs w:val="0"/>
          <w:sz w:val="24"/>
          <w:szCs w:val="24"/>
        </w:rPr>
        <w:lastRenderedPageBreak/>
        <w:t>1.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3C0B49" w:rsidRPr="00800B44">
        <w:rPr>
          <w:rFonts w:ascii="Times New Roman" w:hAnsi="Times New Roman"/>
          <w:i w:val="0"/>
          <w:sz w:val="24"/>
          <w:szCs w:val="24"/>
        </w:rPr>
        <w:t>Introdução</w:t>
      </w:r>
    </w:p>
    <w:p w:rsidR="0029672C" w:rsidRDefault="0029672C" w:rsidP="0029672C">
      <w:pPr>
        <w:ind w:firstLine="720"/>
      </w:pPr>
      <w:r>
        <w:t xml:space="preserve">A ideia de utilização de fontes alternativas de energias adquiriu grande notoriedade nos últimos anos devido, principalmente, a conscientização da provável escassez dos recursos fósseis, </w:t>
      </w:r>
      <w:proofErr w:type="gramStart"/>
      <w:r>
        <w:t>por exemplo</w:t>
      </w:r>
      <w:proofErr w:type="gramEnd"/>
      <w:r>
        <w:t xml:space="preserve"> petróleo, e a necessidade de reduzir as emissões de gases nocivos à atmosfera. Um exemplo das fontes de energia são os painéis fotovoltaicos que transformam a energia proveniente dos raios solares incidentes em energia elétrica.</w:t>
      </w:r>
    </w:p>
    <w:p w:rsidR="0029672C" w:rsidRDefault="0029672C" w:rsidP="0029672C">
      <w:pPr>
        <w:ind w:firstLine="720"/>
      </w:pPr>
      <w:r>
        <w:t xml:space="preserve">O Brasil conta com um enorme potencial para geração de energia solar devido a sua localização geográfica, onde a maior parte de seu território situa-se próximo à linha do equador, consequentemente recebe a incidência de luz praticamente constante durante todo o dia.  Todavia, esta ainda segue negligenciada pela falta de incentivo financeiro e de políticas que estimulem a utilização de novos meios para produção de energia. </w:t>
      </w:r>
    </w:p>
    <w:p w:rsidR="0029672C" w:rsidRDefault="0029672C" w:rsidP="00184763">
      <w:pPr>
        <w:spacing w:after="0"/>
        <w:ind w:firstLine="720"/>
        <w:contextualSpacing/>
      </w:pPr>
      <w:r>
        <w:t>O não/mau aproveitamento de recursos alternativos causa uma dependência de outras fontes. As hidrelétricas dominam a matriz de energia brasileira, como é possível observar na Figura 1, seguidas por fontes não renováveis, sendo estas uma segunda via para geração.</w:t>
      </w:r>
    </w:p>
    <w:p w:rsidR="00184763" w:rsidRDefault="00184763" w:rsidP="002946B3">
      <w:pPr>
        <w:spacing w:after="0"/>
        <w:contextualSpacing/>
        <w:jc w:val="center"/>
        <w:rPr>
          <w:sz w:val="20"/>
        </w:rPr>
      </w:pPr>
    </w:p>
    <w:p w:rsidR="002946B3" w:rsidRPr="002946B3" w:rsidRDefault="002946B3" w:rsidP="002946B3">
      <w:pPr>
        <w:spacing w:after="0"/>
        <w:contextualSpacing/>
        <w:jc w:val="center"/>
        <w:rPr>
          <w:sz w:val="20"/>
        </w:rPr>
      </w:pPr>
      <w:r w:rsidRPr="002946B3">
        <w:rPr>
          <w:sz w:val="20"/>
        </w:rPr>
        <w:t>Figura 1 - Capacidade Instalada de Geração Elétrica no Brasil (em porcentagem)</w:t>
      </w:r>
    </w:p>
    <w:p w:rsidR="002946B3" w:rsidRDefault="002946B3" w:rsidP="0029672C">
      <w:pPr>
        <w:spacing w:before="240" w:after="240"/>
        <w:contextualSpacing/>
        <w:jc w:val="center"/>
        <w:rPr>
          <w:b/>
          <w:color w:val="FF0000"/>
        </w:rPr>
      </w:pPr>
      <w:r>
        <w:rPr>
          <w:noProof/>
          <w:lang w:eastAsia="pt-BR"/>
        </w:rPr>
        <w:drawing>
          <wp:inline distT="0" distB="0" distL="0" distR="0" wp14:anchorId="3BAC6C0C" wp14:editId="60B9CD11">
            <wp:extent cx="5759450" cy="2760501"/>
            <wp:effectExtent l="0" t="0" r="0" b="19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946B3" w:rsidRPr="00184763" w:rsidRDefault="002946B3" w:rsidP="00184763">
      <w:pPr>
        <w:spacing w:after="0"/>
        <w:contextualSpacing/>
        <w:jc w:val="center"/>
      </w:pPr>
      <w:r>
        <w:rPr>
          <w:sz w:val="20"/>
        </w:rPr>
        <w:t>Fonte: Adaptado ANEEL 2015</w:t>
      </w:r>
    </w:p>
    <w:p w:rsidR="0029672C" w:rsidRDefault="0029672C" w:rsidP="0029672C">
      <w:pPr>
        <w:ind w:firstLine="720"/>
        <w:rPr>
          <w:color w:val="FF0000"/>
        </w:rPr>
      </w:pPr>
      <w:r>
        <w:t xml:space="preserve">A fonte hidráulica, apesar de ser renovável acarreta uma série de impactos ambientais e exige habilidade gerencial para administrar esses enormes empreendimentos. Ademais, devido aos níveis de pluviosidade </w:t>
      </w:r>
      <w:proofErr w:type="gramStart"/>
      <w:r>
        <w:t>estarem</w:t>
      </w:r>
      <w:proofErr w:type="gramEnd"/>
      <w:r>
        <w:t xml:space="preserve"> abaixo dos normais em áreas específicas, a </w:t>
      </w:r>
      <w:r>
        <w:lastRenderedPageBreak/>
        <w:t>utilização de usinas termelétricas como meio de suprir a energia demandada, tornou-se uma atividade frequente. Estas possuem alto custo quando ativadas, resultando em aumentos no sistema tarifário, e influenciando, consequentemente, no orçamento população, que paga pelo custo extra.</w:t>
      </w:r>
    </w:p>
    <w:p w:rsidR="0029672C" w:rsidRDefault="0029672C" w:rsidP="0029672C">
      <w:pPr>
        <w:ind w:firstLine="720"/>
      </w:pPr>
      <w:r>
        <w:t>O sistema tarifário brasileiro é, segundo a ANEEL (</w:t>
      </w:r>
      <w:r>
        <w:rPr>
          <w:highlight w:val="white"/>
        </w:rPr>
        <w:t>Agência Nacional de Energia Elétrica</w:t>
      </w:r>
      <w:proofErr w:type="gramStart"/>
      <w:r>
        <w:rPr>
          <w:highlight w:val="white"/>
        </w:rPr>
        <w:t>)(</w:t>
      </w:r>
      <w:proofErr w:type="gramEnd"/>
      <w:r>
        <w:rPr>
          <w:highlight w:val="white"/>
        </w:rPr>
        <w:t>2016)</w:t>
      </w:r>
      <w:r>
        <w:t>, estruturado em um conjunto de tarifas, as quais variam de acordo com o grupo o qual estão sendo aplicadas. A tarifa corresponde ao valor monetário da energia elétrica (R$/kWh), e para as residências, que se encontram no subgrupo B1 (ANEEL, 2010), ela é aplicada de forma convencional, ou seja, caracteriza-se por um valor fixo que independe do horário de utilização do dia ou época do ano.</w:t>
      </w:r>
    </w:p>
    <w:p w:rsidR="0029672C" w:rsidRDefault="0029672C" w:rsidP="0029672C">
      <w:pPr>
        <w:ind w:firstLine="720"/>
      </w:pPr>
      <w:r>
        <w:t>Como expresso anteriormente, a capacidade para geração de energia solar é vasta, tendo em vista as particularidades territoriais. Esta pode ser utilizada como segunda opção para produção de energia em ocasiões na qual a geração convencional através das hidrelétricas não seja suficiente, tornando assim desnecessário o uso das termelétricas.</w:t>
      </w:r>
    </w:p>
    <w:p w:rsidR="0029672C" w:rsidRDefault="0029672C" w:rsidP="0029672C">
      <w:pPr>
        <w:ind w:firstLine="720"/>
        <w:rPr>
          <w:highlight w:val="white"/>
        </w:rPr>
      </w:pPr>
      <w:r>
        <w:t xml:space="preserve">De acordo com o Portal Solar (2015), a instalação de sistemas fotovoltaicos tem se tornada atrativa nos últimos anos devido à redução de custo contínua dos painéis. </w:t>
      </w:r>
      <w:r>
        <w:rPr>
          <w:highlight w:val="white"/>
        </w:rPr>
        <w:t xml:space="preserve">O preço dos mesmos é agora cerca da metade do preço que eles estavam em 2008, e cerca de 100 vezes menor do que eram em 1977. Ademais, esse sistema possui uma vida útil de aproximadamente 25 anos, não necessitando de manutenções periódicas frequentes, mostrando-se um investimento </w:t>
      </w:r>
      <w:proofErr w:type="gramStart"/>
      <w:r>
        <w:rPr>
          <w:highlight w:val="white"/>
        </w:rPr>
        <w:t>a longo prazo</w:t>
      </w:r>
      <w:proofErr w:type="gramEnd"/>
      <w:r>
        <w:rPr>
          <w:highlight w:val="white"/>
        </w:rPr>
        <w:t>, o qual têm retorno mensal durante seu ciclo de vida, diminuindo seus custos à medida do uso.</w:t>
      </w:r>
    </w:p>
    <w:p w:rsidR="0029672C" w:rsidRDefault="0029672C" w:rsidP="0029672C">
      <w:pPr>
        <w:ind w:firstLine="720"/>
        <w:rPr>
          <w:highlight w:val="white"/>
        </w:rPr>
      </w:pPr>
      <w:r>
        <w:rPr>
          <w:highlight w:val="white"/>
        </w:rPr>
        <w:t>As condições para o desenvolvimento dessa forma de produção energética estão cada vez mais favoráveis, visto que apresenta uma trajetória de custos decrescentes ano após ano (NAKABAYASHI, 2015).</w:t>
      </w:r>
    </w:p>
    <w:p w:rsidR="0029672C" w:rsidRDefault="0029672C" w:rsidP="0029672C">
      <w:pPr>
        <w:ind w:firstLine="720"/>
        <w:rPr>
          <w:highlight w:val="white"/>
        </w:rPr>
      </w:pPr>
      <w:r>
        <w:rPr>
          <w:highlight w:val="white"/>
        </w:rPr>
        <w:t xml:space="preserve">Segundo o Portal Solar (2014), os painéis fotovoltaicos, geralmente fabricados de Silício cristalino, são 99% recicláveis e produzem energia elétrica por mais de 40 anos sem poluir. A grande maioria desses </w:t>
      </w:r>
      <w:proofErr w:type="gramStart"/>
      <w:r>
        <w:rPr>
          <w:highlight w:val="white"/>
        </w:rPr>
        <w:t>chegam</w:t>
      </w:r>
      <w:proofErr w:type="gramEnd"/>
      <w:r>
        <w:rPr>
          <w:highlight w:val="white"/>
        </w:rPr>
        <w:t xml:space="preserve"> ao final de vida útil com 80% de sua potência original. A eficiência comercial varia de 13% a 16%, sendo os que possuem um índice superior a 16% considerados </w:t>
      </w:r>
      <w:proofErr w:type="spellStart"/>
      <w:proofErr w:type="gramStart"/>
      <w:r>
        <w:rPr>
          <w:i/>
          <w:highlight w:val="white"/>
        </w:rPr>
        <w:t>premium</w:t>
      </w:r>
      <w:proofErr w:type="spellEnd"/>
      <w:proofErr w:type="gramEnd"/>
      <w:r>
        <w:rPr>
          <w:highlight w:val="white"/>
        </w:rPr>
        <w:t>, os quais evidentemente, apresentam maiores custos.</w:t>
      </w:r>
    </w:p>
    <w:p w:rsidR="0029672C" w:rsidRDefault="0029672C" w:rsidP="0029672C">
      <w:pPr>
        <w:ind w:firstLine="709"/>
        <w:rPr>
          <w:highlight w:val="white"/>
        </w:rPr>
      </w:pPr>
      <w:r>
        <w:rPr>
          <w:highlight w:val="white"/>
        </w:rPr>
        <w:lastRenderedPageBreak/>
        <w:t xml:space="preserve">A ANEEL aprovou a Resolução Normativa 687/2015, a qual faz modificações na Resolução 482/2012, classificando os sistemas de micro e </w:t>
      </w:r>
      <w:proofErr w:type="spellStart"/>
      <w:r>
        <w:rPr>
          <w:highlight w:val="white"/>
        </w:rPr>
        <w:t>minigeração</w:t>
      </w:r>
      <w:proofErr w:type="spellEnd"/>
      <w:r>
        <w:rPr>
          <w:highlight w:val="white"/>
        </w:rPr>
        <w:t xml:space="preserve"> distribuída, buscando reduzir as barreiras econômicas e facilitar a inserção dessa fonte alternativa, através do sistema de compensação de energia. </w:t>
      </w:r>
    </w:p>
    <w:p w:rsidR="0029672C" w:rsidRDefault="0029672C" w:rsidP="0029672C">
      <w:pPr>
        <w:ind w:firstLine="720"/>
        <w:rPr>
          <w:highlight w:val="white"/>
        </w:rPr>
      </w:pPr>
      <w:r>
        <w:rPr>
          <w:highlight w:val="white"/>
        </w:rPr>
        <w:t>O sistema de compensação baseia-se em créditos de energia. Quando a energia gerada com a energia consumida apresentarem um balanço líquido positivo, são gerados créditos que podem ser utilizados para abater o consumo nos meses subsequentes por um período de até 60 meses. Portanto, é possível que o consumidor de energia elétrica passe a gerar energia para consumo próprio e exportação dos excedentes para a rede elétrica (NAKABAYASHI, 2015).</w:t>
      </w:r>
    </w:p>
    <w:p w:rsidR="0029672C" w:rsidRDefault="0029672C" w:rsidP="0029672C">
      <w:pPr>
        <w:ind w:firstLine="720"/>
        <w:rPr>
          <w:highlight w:val="white"/>
        </w:rPr>
      </w:pPr>
      <w:r>
        <w:rPr>
          <w:highlight w:val="white"/>
        </w:rPr>
        <w:t xml:space="preserve">No que refere-se </w:t>
      </w:r>
      <w:proofErr w:type="gramStart"/>
      <w:r>
        <w:rPr>
          <w:highlight w:val="white"/>
        </w:rPr>
        <w:t>a</w:t>
      </w:r>
      <w:proofErr w:type="gramEnd"/>
      <w:r>
        <w:rPr>
          <w:highlight w:val="white"/>
        </w:rPr>
        <w:t xml:space="preserve"> literatura acerca do tema que será abordado, é observado que esta ainda permanece escassa e o conteúdo científico apresentado por demais autores apresentam limitações. É constatado que para realização de estudo de viabilidade econômica para investimentos de longo prazo, faz-se necessário calcular a variação dos valores que estiverem em função das taxas flutuantes do mercado, porém devido </w:t>
      </w:r>
      <w:proofErr w:type="gramStart"/>
      <w:r>
        <w:rPr>
          <w:highlight w:val="white"/>
        </w:rPr>
        <w:t>a</w:t>
      </w:r>
      <w:proofErr w:type="gramEnd"/>
      <w:r>
        <w:rPr>
          <w:highlight w:val="white"/>
        </w:rPr>
        <w:t xml:space="preserve"> dificuldade de realizar tal cálculo, alguns autores optam por manter estas taxas fixas ao longo do tempo de estudo (SANTOS </w:t>
      </w:r>
      <w:r>
        <w:rPr>
          <w:i/>
          <w:highlight w:val="white"/>
        </w:rPr>
        <w:t>et al</w:t>
      </w:r>
      <w:r>
        <w:rPr>
          <w:highlight w:val="white"/>
        </w:rPr>
        <w:t xml:space="preserve">, 2016; NASSI </w:t>
      </w:r>
      <w:r>
        <w:rPr>
          <w:i/>
          <w:highlight w:val="white"/>
        </w:rPr>
        <w:t>et al</w:t>
      </w:r>
      <w:r>
        <w:rPr>
          <w:highlight w:val="white"/>
        </w:rPr>
        <w:t>, 2015).</w:t>
      </w:r>
    </w:p>
    <w:p w:rsidR="0029672C" w:rsidRDefault="0029672C" w:rsidP="0029672C">
      <w:pPr>
        <w:ind w:firstLine="720"/>
        <w:rPr>
          <w:highlight w:val="white"/>
        </w:rPr>
      </w:pPr>
      <w:r>
        <w:rPr>
          <w:highlight w:val="white"/>
        </w:rPr>
        <w:t>Todavia, a pesquisa em destaque realizará uma projeção para mensurar a variação dessas taxas, utilizando de valores anteriores à data da atual pesquisa e estimando as futuras alterações que acontecerão ao longo do tempo de investimento estipulado. A utilização desse artifício tem como objetivo atenuar as discrepâncias entre os valores teóricos que serão apresentados e os valores reais.</w:t>
      </w:r>
    </w:p>
    <w:p w:rsidR="0029672C" w:rsidRDefault="0029672C" w:rsidP="0029672C">
      <w:pPr>
        <w:ind w:firstLine="720"/>
      </w:pPr>
      <w:r>
        <w:rPr>
          <w:highlight w:val="white"/>
        </w:rPr>
        <w:t xml:space="preserve">Apesar de toda atratividade e de fatores positivos, socioeconômicos e ambientais, a geração de energia solar ainda não está difundida significativamente. </w:t>
      </w:r>
      <w:r>
        <w:t xml:space="preserve">Diante disso, </w:t>
      </w:r>
      <w:r>
        <w:rPr>
          <w:highlight w:val="white"/>
        </w:rPr>
        <w:t xml:space="preserve">o presente artigo tem como objetivo, através da simulação de uma implantação de um sistema fotovoltaico, realizar uma análise de viabilidade econômica, empregando técnicas de análise de investimento. O estudo terá como base uma residência na qual o consumo médio é de 570 kWh, no estado de Pernambuco. </w:t>
      </w:r>
      <w:r>
        <w:t xml:space="preserve">Dado tal enfoque, buscar-se-á destacar aspectos favoráveis à utilização da </w:t>
      </w:r>
      <w:proofErr w:type="spellStart"/>
      <w:r>
        <w:t>microgeração</w:t>
      </w:r>
      <w:proofErr w:type="spellEnd"/>
      <w:r>
        <w:t xml:space="preserve">, evidenciando indicadores financeiros que auxiliem no processo decisório do projeto. </w:t>
      </w:r>
      <w:r>
        <w:rPr>
          <w:highlight w:val="white"/>
        </w:rPr>
        <w:t xml:space="preserve">Procurando informar e </w:t>
      </w:r>
      <w:r w:rsidRPr="00877091">
        <w:t xml:space="preserve">trazer </w:t>
      </w:r>
      <w:r>
        <w:rPr>
          <w:highlight w:val="white"/>
        </w:rPr>
        <w:t xml:space="preserve">tal tecnologia à realidade, fez-se necessária </w:t>
      </w:r>
      <w:r>
        <w:rPr>
          <w:highlight w:val="white"/>
        </w:rPr>
        <w:lastRenderedPageBreak/>
        <w:t>uma pesquisa dessa natureza, a fim de avaliar aspectos relativos à utilização da energia solar fotovoltaica.</w:t>
      </w:r>
    </w:p>
    <w:p w:rsidR="003C0B49" w:rsidRPr="00800B44" w:rsidRDefault="003C0B49" w:rsidP="003C0B49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800B44" w:rsidRPr="0034061B" w:rsidRDefault="003C0B49" w:rsidP="0034061B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800B44">
        <w:rPr>
          <w:rFonts w:ascii="Times New Roman" w:hAnsi="Times New Roman"/>
          <w:i w:val="0"/>
          <w:sz w:val="24"/>
          <w:szCs w:val="24"/>
        </w:rPr>
        <w:t xml:space="preserve">2. </w:t>
      </w:r>
      <w:r w:rsidR="0029672C">
        <w:rPr>
          <w:rFonts w:ascii="Times New Roman" w:hAnsi="Times New Roman"/>
          <w:i w:val="0"/>
          <w:sz w:val="24"/>
          <w:szCs w:val="24"/>
        </w:rPr>
        <w:t>Metodologia</w:t>
      </w:r>
    </w:p>
    <w:p w:rsidR="0029672C" w:rsidRDefault="0029672C" w:rsidP="0029672C">
      <w:pPr>
        <w:ind w:firstLine="709"/>
      </w:pPr>
      <w:r>
        <w:t>A pesquisa é configurada pela realização de um estudo de viabilidade econômica, fundamentada no levantamento de dados referentes aos custos de um sistema fotovoltaico, avaliando sua rentabilidade e liquidez.</w:t>
      </w:r>
    </w:p>
    <w:p w:rsidR="0029672C" w:rsidRDefault="0029672C" w:rsidP="0029672C">
      <w:pPr>
        <w:ind w:firstLine="709"/>
      </w:pPr>
      <w:r>
        <w:t xml:space="preserve">O estudo trata-se de caráter científico acadêmico, tendo por método a pesquisa quantitativa, buscando interpretar resultados obtidos numericamente, a fim de trazer </w:t>
      </w:r>
      <w:r>
        <w:rPr>
          <w:i/>
        </w:rPr>
        <w:t xml:space="preserve">insights </w:t>
      </w:r>
      <w:r>
        <w:t>que possibilitem uma tomada de decisão correta acerca da situação.</w:t>
      </w:r>
    </w:p>
    <w:p w:rsidR="0029672C" w:rsidRDefault="0029672C" w:rsidP="0029672C">
      <w:pPr>
        <w:ind w:firstLine="709"/>
      </w:pPr>
      <w:r>
        <w:t xml:space="preserve">Este artigo caracteriza-se no método exploratório, utilizando-se da investigação de fatos e fazendo uma análise do que se sucede na realidade, na qual os dados são interpretados com respaldo em um embasamento teórico consistente, tencionando explorar a problemática estabelecida. </w:t>
      </w:r>
    </w:p>
    <w:p w:rsidR="0029672C" w:rsidRPr="00435E24" w:rsidRDefault="0029672C" w:rsidP="0029672C">
      <w:pPr>
        <w:ind w:firstLine="709"/>
        <w:rPr>
          <w:b/>
        </w:rPr>
      </w:pPr>
      <w:r>
        <w:t xml:space="preserve">Tem como foco proporcionar maior familiaridade com o problema, de forma a torná-lo mais explícito. Pode-se dizer que </w:t>
      </w:r>
      <w:proofErr w:type="gramStart"/>
      <w:r>
        <w:t>esse tipo de pesquisa têm</w:t>
      </w:r>
      <w:proofErr w:type="gramEnd"/>
      <w:r>
        <w:t xml:space="preserve"> como objetivo principal o aprimoramento de ideias ou a descoberta de intuições (KAUARK; MANHÃES; MEDEIROS, 2010).</w:t>
      </w:r>
    </w:p>
    <w:p w:rsidR="0029672C" w:rsidRDefault="0029672C" w:rsidP="0029672C">
      <w:pPr>
        <w:ind w:firstLine="709"/>
      </w:pPr>
      <w:r>
        <w:t xml:space="preserve">A estrutura da análise financeira consiste em </w:t>
      </w:r>
      <w:proofErr w:type="gramStart"/>
      <w:r>
        <w:t>3</w:t>
      </w:r>
      <w:proofErr w:type="gramEnd"/>
      <w:r>
        <w:t xml:space="preserve"> etapas: estimativa de custos; definição de taxas; e aplicação de métodos.</w:t>
      </w:r>
    </w:p>
    <w:p w:rsidR="0029672C" w:rsidRDefault="0029672C" w:rsidP="0029672C">
      <w:pPr>
        <w:ind w:firstLine="720"/>
      </w:pPr>
      <w:r>
        <w:t xml:space="preserve"> Inicialmente serão estimados todos os custos que envolvem o processo de </w:t>
      </w:r>
      <w:proofErr w:type="gramStart"/>
      <w:r>
        <w:t>implementação</w:t>
      </w:r>
      <w:proofErr w:type="gramEnd"/>
      <w:r>
        <w:t xml:space="preserve"> do sistema, sejam eles de materiais, de instalação ou de planejamento. Em seguida serão determinadas as informações necessárias para a execução das técnicas financeiras. E por fim, considerando os custos associados à primeira etapa, juntamente com os resultados da segunda, faz-se a aplicação dos indicadores.</w:t>
      </w:r>
    </w:p>
    <w:p w:rsidR="0029672C" w:rsidRDefault="0029672C" w:rsidP="0029672C">
      <w:pPr>
        <w:spacing w:after="0"/>
      </w:pPr>
    </w:p>
    <w:p w:rsidR="0029672C" w:rsidRDefault="0029672C" w:rsidP="00E1310E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2.1 Análise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 investimentos</w:t>
      </w:r>
    </w:p>
    <w:p w:rsidR="0029672C" w:rsidRDefault="0029672C" w:rsidP="0029672C">
      <w:pPr>
        <w:ind w:firstLine="720"/>
      </w:pPr>
      <w:r>
        <w:t xml:space="preserve">A análise de investimentos estuda a aplicação de recursos, baseando-se em artifícios financeiros para apontar a melhor alocação de investimento, considerando os custos </w:t>
      </w:r>
      <w:r>
        <w:lastRenderedPageBreak/>
        <w:t>precedentes e resultados posteriores, a fim de proporcionar rentabilidade e identificar capacidade de liquidez e segurança em projetos.</w:t>
      </w:r>
    </w:p>
    <w:p w:rsidR="0029672C" w:rsidRDefault="0029672C" w:rsidP="0029672C">
      <w:pPr>
        <w:ind w:firstLine="720"/>
      </w:pPr>
      <w:r>
        <w:t>Com o intuito de realizar uma pesquisa abrangente e prover resultados confiáveis, utilizar-se-á três métodos para avaliar a viabilidade na implantação de um sistema fotovoltaico. Isso decorre do fato de que cada procedimento possui limitações e que a aplicação de apenas um deles não é satisfatória para obter respostas consistentes.</w:t>
      </w:r>
    </w:p>
    <w:p w:rsidR="0029672C" w:rsidRDefault="0029672C" w:rsidP="0029672C">
      <w:pPr>
        <w:ind w:firstLine="720"/>
      </w:pPr>
      <w:r>
        <w:t>De acordo com Puccini (2011), o conhecimento desses métodos é importante para apoiar a boa qualidade da tomada de decisão de investimentos.</w:t>
      </w:r>
    </w:p>
    <w:p w:rsidR="0029672C" w:rsidRDefault="0029672C" w:rsidP="0029672C">
      <w:pPr>
        <w:spacing w:after="0"/>
      </w:pPr>
    </w:p>
    <w:p w:rsidR="0029672C" w:rsidRDefault="0029672C" w:rsidP="00E1310E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Técnicas de análise de investimentos</w:t>
      </w:r>
    </w:p>
    <w:p w:rsidR="0029672C" w:rsidRDefault="0029672C" w:rsidP="00E1310E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72C" w:rsidRDefault="0029672C" w:rsidP="0034061B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 Valor presente líquido (VPL)</w:t>
      </w:r>
    </w:p>
    <w:p w:rsidR="0029672C" w:rsidRDefault="0029672C" w:rsidP="0029672C">
      <w:pPr>
        <w:ind w:firstLine="709"/>
        <w:rPr>
          <w:b/>
        </w:rPr>
      </w:pPr>
      <w:r>
        <w:t xml:space="preserve">O Valor Presente Líquido (VPL) ou </w:t>
      </w:r>
      <w:r>
        <w:rPr>
          <w:i/>
        </w:rPr>
        <w:t xml:space="preserve">Net </w:t>
      </w:r>
      <w:proofErr w:type="spellStart"/>
      <w:r>
        <w:rPr>
          <w:i/>
        </w:rPr>
        <w:t>Present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Value</w:t>
      </w:r>
      <w:proofErr w:type="spellEnd"/>
      <w:r>
        <w:t xml:space="preserve"> (NPV), é considerado um método sofisticado, o que o torna um dos mais empregados em análise financeira de projetos, sendo possível calcular o valor do dinheiro no tempo levando em consideração as taxas de juros correntes.  Por meio deste, as entradas e saídas de recursos (</w:t>
      </w:r>
      <w:r>
        <w:rPr>
          <w:i/>
        </w:rPr>
        <w:t>cash-</w:t>
      </w:r>
      <w:proofErr w:type="spellStart"/>
      <w:r>
        <w:rPr>
          <w:i/>
        </w:rPr>
        <w:t>flow</w:t>
      </w:r>
      <w:proofErr w:type="spellEnd"/>
      <w:r>
        <w:t>)</w:t>
      </w:r>
      <w:r>
        <w:rPr>
          <w:b/>
        </w:rPr>
        <w:t xml:space="preserve"> </w:t>
      </w:r>
      <w:r>
        <w:t>projetadas são trazidas para o valor atual, possibilitando ser comparadas ao investimento.</w:t>
      </w:r>
    </w:p>
    <w:p w:rsidR="0029672C" w:rsidRDefault="0029672C" w:rsidP="0029672C">
      <w:pPr>
        <w:ind w:firstLine="709"/>
        <w:rPr>
          <w:highlight w:val="white"/>
        </w:rPr>
      </w:pPr>
      <w:r>
        <w:rPr>
          <w:highlight w:val="white"/>
        </w:rPr>
        <w:t xml:space="preserve">Através do VPL, os fluxos de retorno do investimento são descontados a uma taxa específica. Esta taxa, chamada de taxa de desconto se refere ao retorno mínimo que um investimento deve ter para ser considerado atrativo, de forma a cobrir o seu </w:t>
      </w:r>
      <w:hyperlink r:id="rId10">
        <w:r>
          <w:rPr>
            <w:highlight w:val="white"/>
          </w:rPr>
          <w:t>custo de oportunidade</w:t>
        </w:r>
      </w:hyperlink>
      <w:r>
        <w:rPr>
          <w:highlight w:val="white"/>
        </w:rPr>
        <w:t xml:space="preserve"> (BONA, 2016a).</w:t>
      </w:r>
    </w:p>
    <w:p w:rsidR="0029672C" w:rsidRDefault="0029672C" w:rsidP="0029672C">
      <w:pPr>
        <w:ind w:firstLine="709"/>
        <w:rPr>
          <w:highlight w:val="white"/>
        </w:rPr>
      </w:pPr>
      <w:r>
        <w:rPr>
          <w:highlight w:val="white"/>
        </w:rPr>
        <w:t>O custo de oportunidade é a avaliação de quanto está custando perder a oportunidade de investir em outra coisa, que tem por característica ser líquida e certa (BONA, 2016b).</w:t>
      </w:r>
    </w:p>
    <w:p w:rsidR="0029672C" w:rsidRDefault="0029672C" w:rsidP="0029672C">
      <w:pPr>
        <w:ind w:firstLine="720"/>
        <w:rPr>
          <w:highlight w:val="white"/>
        </w:rPr>
      </w:pPr>
      <w:r>
        <w:rPr>
          <w:highlight w:val="white"/>
        </w:rPr>
        <w:t xml:space="preserve">A taxa de desconto, também conhecida como taxa média de atratividade (TMA), segundo Warren, Reeve e </w:t>
      </w:r>
      <w:proofErr w:type="spellStart"/>
      <w:r>
        <w:rPr>
          <w:highlight w:val="white"/>
        </w:rPr>
        <w:t>Fess</w:t>
      </w:r>
      <w:proofErr w:type="spellEnd"/>
      <w:r>
        <w:rPr>
          <w:highlight w:val="white"/>
        </w:rPr>
        <w:t xml:space="preserve"> (2001), baseia-se em fatores como natureza do negócio, objetivo do investimento, custo dos fundos de garantia para o investimento e taxa de retorno mínimo desejável e é sempre estabelecida pela gerência. </w:t>
      </w:r>
    </w:p>
    <w:p w:rsidR="0029672C" w:rsidRDefault="0029672C" w:rsidP="0029672C">
      <w:pPr>
        <w:ind w:firstLine="720"/>
        <w:rPr>
          <w:highlight w:val="white"/>
        </w:rPr>
      </w:pPr>
      <w:r>
        <w:rPr>
          <w:highlight w:val="white"/>
        </w:rPr>
        <w:t xml:space="preserve">Através do valor do VPL, define-se a viabilidade ou não do investimento. Se este for maior que zero, considera-se o projeto atrativo, já que possui rentabilidade e é capaz de </w:t>
      </w:r>
      <w:r>
        <w:rPr>
          <w:highlight w:val="white"/>
        </w:rPr>
        <w:lastRenderedPageBreak/>
        <w:t xml:space="preserve">remunerar o capital aplicado com garantia. Quando o VPL tiver valor inferior </w:t>
      </w:r>
      <w:proofErr w:type="gramStart"/>
      <w:r>
        <w:rPr>
          <w:highlight w:val="white"/>
        </w:rPr>
        <w:t>a</w:t>
      </w:r>
      <w:proofErr w:type="gramEnd"/>
      <w:r>
        <w:rPr>
          <w:highlight w:val="white"/>
        </w:rPr>
        <w:t xml:space="preserve"> zero, o investimento é classificado como inviável, pois seu rendimento não será capaz de cobrir integralmente os custos, ocasionando prejuízos. Se igual </w:t>
      </w:r>
      <w:proofErr w:type="gramStart"/>
      <w:r>
        <w:rPr>
          <w:highlight w:val="white"/>
        </w:rPr>
        <w:t>a</w:t>
      </w:r>
      <w:proofErr w:type="gramEnd"/>
      <w:r>
        <w:rPr>
          <w:highlight w:val="white"/>
        </w:rPr>
        <w:t xml:space="preserve"> zero, julga-se o investimento como indiferente, este não apresentará rentabilidade, porém não será capaz de gerar perdas.</w:t>
      </w:r>
    </w:p>
    <w:p w:rsidR="0029672C" w:rsidRDefault="0029672C" w:rsidP="0029672C">
      <w:pPr>
        <w:ind w:firstLine="720"/>
        <w:rPr>
          <w:highlight w:val="white"/>
        </w:rPr>
      </w:pPr>
      <w:r>
        <w:rPr>
          <w:highlight w:val="white"/>
        </w:rPr>
        <w:t>O cálculo do valor presente líquido se dá por meio da equação abaixo.</w:t>
      </w:r>
    </w:p>
    <w:p w:rsidR="0029672C" w:rsidRPr="00423544" w:rsidRDefault="0029672C" w:rsidP="0029672C"/>
    <w:p w:rsidR="0029672C" w:rsidRPr="00F903C3" w:rsidRDefault="0029672C" w:rsidP="0029672C">
      <w:pPr>
        <w:tabs>
          <w:tab w:val="center" w:pos="4536"/>
          <w:tab w:val="right" w:pos="9029"/>
        </w:tabs>
        <w:rPr>
          <w:highlight w:val="white"/>
        </w:rPr>
      </w:pPr>
      <w:r>
        <w:rPr>
          <w:sz w:val="32"/>
          <w:szCs w:val="36"/>
          <w:highlight w:val="white"/>
        </w:rPr>
        <w:tab/>
      </w:r>
      <m:oMath>
        <m:r>
          <w:rPr>
            <w:rFonts w:ascii="Cambria Math" w:hAnsi="Cambria Math"/>
            <w:sz w:val="32"/>
            <w:szCs w:val="24"/>
          </w:rPr>
          <m:t xml:space="preserve">VPL=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24"/>
              </w:rPr>
            </m:ctrlPr>
          </m:naryPr>
          <m:sub>
            <m:r>
              <w:rPr>
                <w:rFonts w:ascii="Cambria Math" w:hAnsi="Cambria Math"/>
                <w:sz w:val="32"/>
                <w:szCs w:val="24"/>
              </w:rPr>
              <m:t>n=0</m:t>
            </m:r>
          </m:sub>
          <m:sup>
            <m:r>
              <w:rPr>
                <w:rFonts w:ascii="Cambria Math" w:hAnsi="Cambria Math"/>
                <w:sz w:val="32"/>
                <w:szCs w:val="24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FC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n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(1+TMA)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24"/>
                      </w:rPr>
                      <m:t>n</m:t>
                    </m:r>
                  </m:sup>
                </m:sSup>
              </m:den>
            </m:f>
          </m:e>
        </m:nary>
      </m:oMath>
      <w:r>
        <w:rPr>
          <w:sz w:val="32"/>
          <w:szCs w:val="36"/>
        </w:rPr>
        <w:tab/>
      </w:r>
      <w:r>
        <w:t>(1)</w:t>
      </w:r>
    </w:p>
    <w:p w:rsidR="0029672C" w:rsidRDefault="0029672C" w:rsidP="0029672C">
      <w:pPr>
        <w:rPr>
          <w:highlight w:val="white"/>
        </w:rPr>
      </w:pPr>
    </w:p>
    <w:p w:rsidR="0029672C" w:rsidRDefault="0029672C" w:rsidP="0029672C">
      <w:pPr>
        <w:ind w:firstLine="709"/>
        <w:rPr>
          <w:highlight w:val="white"/>
        </w:rPr>
      </w:pPr>
      <w:r>
        <w:rPr>
          <w:highlight w:val="white"/>
        </w:rPr>
        <w:t xml:space="preserve">O termo </w:t>
      </w:r>
      <m:oMath>
        <m:r>
          <w:rPr>
            <w:rFonts w:ascii="Cambria Math" w:hAnsi="Cambria Math"/>
            <w:highlight w:val="white"/>
          </w:rPr>
          <m:t>N</m:t>
        </m:r>
      </m:oMath>
      <w:r>
        <w:rPr>
          <w:highlight w:val="white"/>
        </w:rPr>
        <w:t xml:space="preserve"> representa o número de parcelas,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 xml:space="preserve">representa o fluxo de caixa no período </w:t>
      </w:r>
      <m:oMath>
        <m:r>
          <w:rPr>
            <w:rFonts w:ascii="Cambria Math" w:hAnsi="Cambria Math"/>
            <w:szCs w:val="24"/>
          </w:rPr>
          <m:t>n</m:t>
        </m:r>
      </m:oMath>
      <w:r>
        <w:t xml:space="preserve">, sendo a primeira parcela contabilizada negativa, pois </w:t>
      </w:r>
      <w:proofErr w:type="gramStart"/>
      <w:r>
        <w:t>refere-se</w:t>
      </w:r>
      <w:proofErr w:type="gramEnd"/>
      <w:r>
        <w:t xml:space="preserve"> ao investimento inicial e a </w:t>
      </w:r>
      <m:oMath>
        <m:r>
          <w:rPr>
            <w:rFonts w:ascii="Cambria Math" w:hAnsi="Cambria Math"/>
          </w:rPr>
          <m:t>TMA</m:t>
        </m:r>
      </m:oMath>
      <w:r>
        <w:t xml:space="preserve"> (taxa média de atratividade) representa o mínimo valor de retorno que o investidor pretende obter.</w:t>
      </w:r>
    </w:p>
    <w:p w:rsidR="0029672C" w:rsidRDefault="0029672C" w:rsidP="0029672C">
      <w:pPr>
        <w:ind w:firstLine="720"/>
      </w:pPr>
      <w:r>
        <w:rPr>
          <w:highlight w:val="white"/>
        </w:rPr>
        <w:t>A técnica VPL não consegue fornecer os benefícios e prejuízos de um investimento. Para estudar a viabilidade financeira deverão ser utilizados outros parâmetros complementares, como a Taxa Interna de Retorno (TIR).</w:t>
      </w:r>
    </w:p>
    <w:p w:rsidR="0029672C" w:rsidRDefault="0029672C" w:rsidP="0029672C">
      <w:pPr>
        <w:ind w:firstLine="720"/>
      </w:pPr>
    </w:p>
    <w:p w:rsidR="0029672C" w:rsidRDefault="0034061B" w:rsidP="0034061B">
      <w:pPr>
        <w:spacing w:after="0"/>
        <w:jc w:val="left"/>
        <w:rPr>
          <w:b/>
        </w:rPr>
      </w:pPr>
      <w:r>
        <w:rPr>
          <w:b/>
        </w:rPr>
        <w:t>2.2.2 Taxa interna de retorno (TIR)</w:t>
      </w:r>
    </w:p>
    <w:p w:rsidR="0034061B" w:rsidRDefault="0034061B" w:rsidP="0034061B">
      <w:pPr>
        <w:ind w:firstLine="709"/>
      </w:pPr>
      <w:r>
        <w:t xml:space="preserve">A Taxa Interna de Retorno (TIR) ou </w:t>
      </w:r>
      <w:proofErr w:type="spellStart"/>
      <w:r>
        <w:rPr>
          <w:i/>
        </w:rPr>
        <w:t>Internal</w:t>
      </w:r>
      <w:proofErr w:type="spellEnd"/>
      <w:r>
        <w:rPr>
          <w:i/>
        </w:rPr>
        <w:t xml:space="preserve"> Rate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Return</w:t>
      </w:r>
      <w:proofErr w:type="spellEnd"/>
      <w:r>
        <w:t xml:space="preserve"> (IRR), consiste na taxa de desconto que iguala o VPL a zero, fazendo com que as entradas (</w:t>
      </w:r>
      <w:r>
        <w:rPr>
          <w:i/>
        </w:rPr>
        <w:t>inputs</w:t>
      </w:r>
      <w:r>
        <w:t>) se igualem as saídas (</w:t>
      </w:r>
      <w:r>
        <w:rPr>
          <w:i/>
        </w:rPr>
        <w:t>outputs</w:t>
      </w:r>
      <w:r>
        <w:t>), isto é, representa o lucro real a ser acumulado no investimento.</w:t>
      </w:r>
    </w:p>
    <w:p w:rsidR="0034061B" w:rsidRDefault="0034061B" w:rsidP="0034061B">
      <w:pPr>
        <w:ind w:firstLine="709"/>
      </w:pPr>
      <w:r>
        <w:t xml:space="preserve">Para Pilão e </w:t>
      </w:r>
      <w:proofErr w:type="spellStart"/>
      <w:r>
        <w:t>Hummel</w:t>
      </w:r>
      <w:proofErr w:type="spellEnd"/>
      <w:r>
        <w:t xml:space="preserve"> (2004), realizar uma análise pela TIR </w:t>
      </w:r>
      <w:r>
        <w:rPr>
          <w:highlight w:val="white"/>
        </w:rPr>
        <w:t>é extrair do projeto o percentual de ganho que ele oferece ao investidor.</w:t>
      </w:r>
    </w:p>
    <w:p w:rsidR="0034061B" w:rsidRDefault="0034061B" w:rsidP="0034061B">
      <w:pPr>
        <w:ind w:firstLine="709"/>
      </w:pPr>
      <w:r>
        <w:t>Empregando essa técnica, o critério a ser avaliado consiste na comparação entre a TIR e a TMA. Se a taxa interna de retorno for maior que a taxa média de atratividade traçada inicialmente, o investimento é tido como viável, caso contrário, é tomado como inviável.</w:t>
      </w:r>
    </w:p>
    <w:p w:rsidR="0034061B" w:rsidRDefault="0034061B" w:rsidP="0034061B">
      <w:pPr>
        <w:ind w:firstLine="709"/>
        <w:rPr>
          <w:highlight w:val="white"/>
        </w:rPr>
      </w:pPr>
      <w:r>
        <w:t xml:space="preserve">De acordo com Bona (2012), </w:t>
      </w:r>
      <w:r>
        <w:rPr>
          <w:highlight w:val="white"/>
        </w:rPr>
        <w:t xml:space="preserve">a TIR possui como maior vantagem possibilitar a comparação de investimentos de diferentes tipos e de considerar o prazo total e a escala dos </w:t>
      </w:r>
      <w:r>
        <w:rPr>
          <w:highlight w:val="white"/>
        </w:rPr>
        <w:lastRenderedPageBreak/>
        <w:t>mesmos, pois ela tem o caráter relativo, expressando seus resultados percentualmente, e não em valores absolutos, como o VPL.</w:t>
      </w:r>
    </w:p>
    <w:p w:rsidR="0034061B" w:rsidRDefault="0034061B" w:rsidP="0034061B">
      <w:pPr>
        <w:spacing w:after="0"/>
        <w:ind w:firstLine="709"/>
        <w:rPr>
          <w:highlight w:val="white"/>
        </w:rPr>
      </w:pPr>
    </w:p>
    <w:p w:rsidR="0034061B" w:rsidRDefault="0034061B" w:rsidP="0034061B">
      <w:pPr>
        <w:spacing w:after="0"/>
        <w:jc w:val="left"/>
        <w:rPr>
          <w:b/>
          <w:i/>
        </w:rPr>
      </w:pPr>
      <w:r>
        <w:rPr>
          <w:b/>
        </w:rPr>
        <w:t xml:space="preserve">2.2.3 </w:t>
      </w:r>
      <w:proofErr w:type="spellStart"/>
      <w:r>
        <w:rPr>
          <w:b/>
          <w:i/>
        </w:rPr>
        <w:t>Payback</w:t>
      </w:r>
      <w:proofErr w:type="spellEnd"/>
      <w:r>
        <w:rPr>
          <w:b/>
          <w:i/>
        </w:rPr>
        <w:t xml:space="preserve"> time</w:t>
      </w:r>
    </w:p>
    <w:p w:rsidR="0034061B" w:rsidRDefault="0034061B" w:rsidP="0034061B">
      <w:pPr>
        <w:ind w:firstLine="709"/>
      </w:pPr>
      <w:r>
        <w:t xml:space="preserve">O termo </w:t>
      </w:r>
      <w:proofErr w:type="spellStart"/>
      <w:r>
        <w:rPr>
          <w:i/>
        </w:rPr>
        <w:t>payback</w:t>
      </w:r>
      <w:proofErr w:type="spellEnd"/>
      <w:r>
        <w:t xml:space="preserve"> significa “retorno” e representa </w:t>
      </w:r>
      <w:proofErr w:type="gramStart"/>
      <w:r>
        <w:t>um indicador utilizados</w:t>
      </w:r>
      <w:proofErr w:type="gramEnd"/>
      <w:r>
        <w:t xml:space="preserve"> pelas empresas para mensurar o período de tempo de retorno financeiro de um investimento, ou seja, o tempo necessário para igualar todos os rendimentos provenientes de um investimento ao o valor inicial deste.</w:t>
      </w:r>
    </w:p>
    <w:p w:rsidR="0034061B" w:rsidRDefault="0034061B" w:rsidP="0034061B">
      <w:pPr>
        <w:ind w:firstLine="709"/>
      </w:pPr>
      <w:r>
        <w:t xml:space="preserve">As principais vantagens apresentadas pelo cálculo do </w:t>
      </w:r>
      <w:proofErr w:type="spellStart"/>
      <w:r>
        <w:rPr>
          <w:i/>
        </w:rPr>
        <w:t>payback</w:t>
      </w:r>
      <w:proofErr w:type="spellEnd"/>
      <w:r>
        <w:t xml:space="preserve"> são principalmente a sua fórmula simples e de fácil aplicação, oferecendo uma estimativa do nível de risco de um investimento. Em contrapartida, apresenta algumas desvantagens, pois para projetos de longa duração esses rendimentos podem apresenta</w:t>
      </w:r>
      <w:r w:rsidR="006B35F4">
        <w:t xml:space="preserve">r uma grande taxa de variação, </w:t>
      </w:r>
      <w:r>
        <w:t>dificultando assim o cálculo.</w:t>
      </w:r>
    </w:p>
    <w:p w:rsidR="0034061B" w:rsidRDefault="0034061B" w:rsidP="0034061B">
      <w:pPr>
        <w:ind w:firstLine="709"/>
      </w:pPr>
      <w:r>
        <w:t>O cálculo do</w:t>
      </w:r>
      <w:r>
        <w:rPr>
          <w:i/>
        </w:rPr>
        <w:t xml:space="preserve"> </w:t>
      </w:r>
      <w:proofErr w:type="spellStart"/>
      <w:r>
        <w:rPr>
          <w:i/>
        </w:rPr>
        <w:t>payback</w:t>
      </w:r>
      <w:proofErr w:type="spellEnd"/>
      <w:r>
        <w:t xml:space="preserve"> envolve uma fórmula sim</w:t>
      </w:r>
      <w:r w:rsidR="006B35F4">
        <w:t>ples, pois todas as variáveis sã</w:t>
      </w:r>
      <w:r>
        <w:t>o fáceis de serem estimadas. Ele consiste numa divisão do investimento inicial pelo resultado da média de rendimentos provenientes desse investimento (MESQUITA, 2017).</w:t>
      </w:r>
    </w:p>
    <w:p w:rsidR="0034061B" w:rsidRDefault="0034061B" w:rsidP="0034061B">
      <w:pPr>
        <w:ind w:firstLine="709"/>
      </w:pPr>
      <w:r>
        <w:t xml:space="preserve">Todavia, a simplicidade do </w:t>
      </w:r>
      <w:proofErr w:type="spellStart"/>
      <w:r>
        <w:rPr>
          <w:i/>
        </w:rPr>
        <w:t>payback</w:t>
      </w:r>
      <w:proofErr w:type="spellEnd"/>
      <w:r>
        <w:t xml:space="preserve"> o torna um método incorreto na perspectiva matemátic</w:t>
      </w:r>
      <w:r w:rsidR="006B35F4">
        <w:t>a, pois não considera</w:t>
      </w:r>
      <w:r>
        <w:t xml:space="preserve"> os princípios de equivalência de taxas ao longo do tempo estabelecidos pela matemática financeira. E para suprir essa deficiência seu cálculo foi aprimorado e denominado </w:t>
      </w:r>
      <w:proofErr w:type="spellStart"/>
      <w:r>
        <w:rPr>
          <w:i/>
        </w:rPr>
        <w:t>payback</w:t>
      </w:r>
      <w:proofErr w:type="spellEnd"/>
      <w:r>
        <w:t xml:space="preserve"> descontado, que por sua vez utiliza uma taxa de desconto que representa a valorização do capital ao longo do tempo. A taxa de desconto usualmente utilizada é a TMA (Taxa Mínima de Atratividade).</w:t>
      </w:r>
    </w:p>
    <w:p w:rsidR="0034061B" w:rsidRDefault="0034061B" w:rsidP="0034061B">
      <w:pPr>
        <w:ind w:firstLine="709"/>
        <w:rPr>
          <w:b/>
        </w:rPr>
      </w:pPr>
      <w:r>
        <w:t>Para o novo cálculo é necessário descontar a taxa utilizada dos fluxos de caixas presentes no período de investimento analisado, somando os valores das referidas parcelas por fim realizar o cálculo do</w:t>
      </w:r>
      <w:r>
        <w:rPr>
          <w:i/>
        </w:rPr>
        <w:t xml:space="preserve"> </w:t>
      </w:r>
      <w:proofErr w:type="spellStart"/>
      <w:r>
        <w:rPr>
          <w:i/>
        </w:rPr>
        <w:t>payback</w:t>
      </w:r>
      <w:proofErr w:type="spellEnd"/>
      <w:r>
        <w:t xml:space="preserve"> original.</w:t>
      </w:r>
    </w:p>
    <w:p w:rsidR="0029672C" w:rsidRPr="0029672C" w:rsidRDefault="0029672C" w:rsidP="00E1310E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B44" w:rsidRPr="0034061B" w:rsidRDefault="003C0B49" w:rsidP="0034061B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800B44">
        <w:rPr>
          <w:rFonts w:ascii="Times New Roman" w:hAnsi="Times New Roman"/>
          <w:i w:val="0"/>
          <w:sz w:val="24"/>
          <w:szCs w:val="24"/>
        </w:rPr>
        <w:t xml:space="preserve">3. </w:t>
      </w:r>
      <w:r w:rsidR="0034061B">
        <w:rPr>
          <w:rFonts w:ascii="Times New Roman" w:hAnsi="Times New Roman"/>
          <w:i w:val="0"/>
          <w:sz w:val="24"/>
          <w:szCs w:val="24"/>
        </w:rPr>
        <w:t>Resultados e discussões</w:t>
      </w:r>
    </w:p>
    <w:p w:rsidR="0034061B" w:rsidRDefault="0034061B" w:rsidP="0034061B">
      <w:pPr>
        <w:ind w:firstLine="709"/>
      </w:pPr>
      <w:r>
        <w:t>Seguindo a divisão proposta na metodologia, foi feito um levantamento de dados através de uma pesquisa de mercado, buscando quantificar custos e descrevê-los, assim como todas as informações relativas à instalação de um sistema. A Tabela 1 mostra tais custos.</w:t>
      </w:r>
    </w:p>
    <w:p w:rsidR="0034061B" w:rsidRDefault="0034061B" w:rsidP="0034061B">
      <w:pPr>
        <w:ind w:firstLine="709"/>
      </w:pPr>
      <w:r>
        <w:lastRenderedPageBreak/>
        <w:t xml:space="preserve">Foi escolhido, para esse estudo, uma residência onde o consumo médio mensal é de 570 kWh, na qual o equipamento fotovoltaico teria capacidade para gerar 584 kWh/mês, de forma que seria compensado 108% do consumo da casa. Para atender essa demanda de energia, o sistema necessita de 16 painéis fotovoltaicos, fazendo-se necessário utilizar uma área de 25,60 m² e tendo capacidade total de 4,32 </w:t>
      </w:r>
      <w:proofErr w:type="spellStart"/>
      <w:proofErr w:type="gramStart"/>
      <w:r>
        <w:t>kWp</w:t>
      </w:r>
      <w:proofErr w:type="spellEnd"/>
      <w:proofErr w:type="gramEnd"/>
      <w:r>
        <w:t>.</w:t>
      </w:r>
    </w:p>
    <w:p w:rsidR="0034061B" w:rsidRPr="0034061B" w:rsidRDefault="0034061B" w:rsidP="0034061B">
      <w:pPr>
        <w:ind w:firstLine="709"/>
        <w:jc w:val="center"/>
        <w:rPr>
          <w:sz w:val="20"/>
        </w:rPr>
      </w:pPr>
      <w:r>
        <w:rPr>
          <w:sz w:val="20"/>
        </w:rPr>
        <w:t>Tabela 1 – Custos do projeto</w:t>
      </w:r>
    </w:p>
    <w:tbl>
      <w:tblPr>
        <w:tblW w:w="90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8"/>
        <w:gridCol w:w="2231"/>
      </w:tblGrid>
      <w:tr w:rsidR="0034061B" w:rsidTr="000E3D75">
        <w:trPr>
          <w:trHeight w:val="70"/>
        </w:trPr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Default="0034061B" w:rsidP="000E3D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Descrição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Default="0034061B" w:rsidP="000E3D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</w:tc>
      </w:tr>
      <w:tr w:rsidR="0034061B" w:rsidTr="000E3D75">
        <w:trPr>
          <w:trHeight w:val="70"/>
        </w:trPr>
        <w:tc>
          <w:tcPr>
            <w:tcW w:w="6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Default="0034061B" w:rsidP="000E3D75">
            <w:pPr>
              <w:rPr>
                <w:sz w:val="20"/>
              </w:rPr>
            </w:pPr>
            <w:r>
              <w:rPr>
                <w:sz w:val="20"/>
              </w:rPr>
              <w:t>Kit Gerador Solar Fotovoltaico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Default="0034061B" w:rsidP="000E3D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R$       25.291,00 </w:t>
            </w:r>
          </w:p>
        </w:tc>
      </w:tr>
      <w:tr w:rsidR="0034061B" w:rsidTr="000E3D75">
        <w:trPr>
          <w:trHeight w:val="80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Default="0034061B" w:rsidP="000E3D75">
            <w:pPr>
              <w:rPr>
                <w:sz w:val="20"/>
              </w:rPr>
            </w:pPr>
            <w:r>
              <w:rPr>
                <w:sz w:val="20"/>
              </w:rPr>
              <w:t>Custos de Instalação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Default="0034061B" w:rsidP="000E3D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R$         3.456,00 </w:t>
            </w:r>
          </w:p>
        </w:tc>
      </w:tr>
      <w:tr w:rsidR="0034061B" w:rsidTr="000E3D75">
        <w:trPr>
          <w:trHeight w:val="80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Default="0034061B" w:rsidP="000E3D75">
            <w:pPr>
              <w:rPr>
                <w:sz w:val="20"/>
              </w:rPr>
            </w:pPr>
            <w:r>
              <w:rPr>
                <w:sz w:val="20"/>
              </w:rPr>
              <w:t>Layout de Projeto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Default="0034061B" w:rsidP="000E3D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R$            500,00 </w:t>
            </w:r>
          </w:p>
        </w:tc>
      </w:tr>
      <w:tr w:rsidR="0034061B" w:rsidTr="000E3D75">
        <w:trPr>
          <w:trHeight w:val="83"/>
        </w:trPr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Default="0034061B" w:rsidP="000E3D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Default="0034061B" w:rsidP="000E3D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R$       29.247,00 </w:t>
            </w:r>
          </w:p>
        </w:tc>
      </w:tr>
    </w:tbl>
    <w:p w:rsidR="003C0B49" w:rsidRPr="006B35F4" w:rsidRDefault="0034061B" w:rsidP="006B35F4">
      <w:pPr>
        <w:pStyle w:val="Corpodetexto"/>
        <w:spacing w:before="0" w:beforeAutospacing="0" w:after="24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Fonte: Autores</w:t>
      </w:r>
    </w:p>
    <w:p w:rsidR="0034061B" w:rsidRDefault="0034061B" w:rsidP="0034061B">
      <w:pPr>
        <w:ind w:firstLine="720"/>
      </w:pPr>
      <w:r>
        <w:t xml:space="preserve">No que tange à manutenção dos equipamentos, esta ocorre apenas esporadicamente, tendo um custo mínimo, quando comparada ao do sistema, e variável, visto que depende de qual empresa/estabelecimento irá realizá-la. Os custos de adaptação para instalar o mecanismo também são variáveis e não há ao certo como mensurá-los, pois </w:t>
      </w:r>
      <w:proofErr w:type="gramStart"/>
      <w:r>
        <w:t>baseiam-se</w:t>
      </w:r>
      <w:proofErr w:type="gramEnd"/>
      <w:r>
        <w:t xml:space="preserve"> na estrutura da residência. </w:t>
      </w:r>
    </w:p>
    <w:p w:rsidR="0034061B" w:rsidRDefault="0034061B" w:rsidP="0034061B">
      <w:pPr>
        <w:ind w:firstLine="709"/>
        <w:rPr>
          <w:highlight w:val="white"/>
        </w:rPr>
      </w:pPr>
      <w:r>
        <w:rPr>
          <w:highlight w:val="white"/>
        </w:rPr>
        <w:t>Para poder aplicar o método VPL, é necessário calcular o retorno financeiro em pelo menos um ano, só a partir deste é possível projetar as próximas entradas de capital. Sabendo que o sistema gera 7008 kWh/ano e o consumo é de 6840 kWh/ano, considerando a tarifa de energia média de</w:t>
      </w:r>
      <w:r w:rsidRPr="004D7702">
        <w:rPr>
          <w:color w:val="FF0000"/>
          <w:highlight w:val="white"/>
        </w:rPr>
        <w:t xml:space="preserve"> </w:t>
      </w:r>
      <w:r w:rsidRPr="00147D9F">
        <w:rPr>
          <w:highlight w:val="white"/>
        </w:rPr>
        <w:t>2017</w:t>
      </w:r>
      <w:r>
        <w:rPr>
          <w:highlight w:val="white"/>
        </w:rPr>
        <w:t>, tem-se a seguinte situação descrita na Tabela 2.</w:t>
      </w:r>
    </w:p>
    <w:p w:rsidR="0034061B" w:rsidRPr="0034061B" w:rsidRDefault="0034061B" w:rsidP="0034061B">
      <w:pPr>
        <w:spacing w:before="240"/>
        <w:jc w:val="center"/>
        <w:rPr>
          <w:color w:val="FF0000"/>
          <w:sz w:val="32"/>
          <w:highlight w:val="white"/>
        </w:rPr>
      </w:pPr>
      <w:r w:rsidRPr="0034061B">
        <w:rPr>
          <w:sz w:val="20"/>
          <w:highlight w:val="white"/>
        </w:rPr>
        <w:t xml:space="preserve">Tabela 2 – Consumo e geração </w:t>
      </w:r>
    </w:p>
    <w:tbl>
      <w:tblPr>
        <w:tblW w:w="92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2"/>
        <w:gridCol w:w="2290"/>
        <w:gridCol w:w="3069"/>
      </w:tblGrid>
      <w:tr w:rsidR="0034061B" w:rsidRPr="00147D9F" w:rsidTr="000E3D75">
        <w:trPr>
          <w:trHeight w:val="203"/>
        </w:trPr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Pr="00147D9F" w:rsidRDefault="0034061B" w:rsidP="000E3D75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147D9F">
              <w:rPr>
                <w:rFonts w:eastAsia="Times New Roman"/>
                <w:b/>
                <w:bCs/>
                <w:sz w:val="20"/>
              </w:rPr>
              <w:t>Consumo Anual (kWh)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Pr="00147D9F" w:rsidRDefault="0034061B" w:rsidP="000E3D75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147D9F">
              <w:rPr>
                <w:rFonts w:eastAsia="Times New Roman"/>
                <w:b/>
                <w:bCs/>
                <w:sz w:val="20"/>
              </w:rPr>
              <w:t>Tarifa (RS/kWh)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Pr="00147D9F" w:rsidRDefault="0034061B" w:rsidP="000E3D75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147D9F">
              <w:rPr>
                <w:rFonts w:eastAsia="Times New Roman"/>
                <w:b/>
                <w:bCs/>
                <w:sz w:val="20"/>
              </w:rPr>
              <w:t xml:space="preserve">Despesa Anual </w:t>
            </w:r>
          </w:p>
        </w:tc>
      </w:tr>
      <w:tr w:rsidR="0034061B" w:rsidRPr="00147D9F" w:rsidTr="000E3D75">
        <w:trPr>
          <w:trHeight w:val="70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Pr="00147D9F" w:rsidRDefault="0034061B" w:rsidP="000E3D75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147D9F">
              <w:rPr>
                <w:rFonts w:eastAsia="Times New Roman"/>
                <w:sz w:val="20"/>
              </w:rPr>
              <w:t>6840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Pr="00147D9F" w:rsidRDefault="006B35F4" w:rsidP="000E3D75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0,66557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Pr="00147D9F" w:rsidRDefault="006B35F4" w:rsidP="000E3D75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R$                       4.552,50</w:t>
            </w:r>
            <w:r w:rsidR="0034061B" w:rsidRPr="00147D9F">
              <w:rPr>
                <w:rFonts w:eastAsia="Times New Roman"/>
                <w:sz w:val="20"/>
              </w:rPr>
              <w:t xml:space="preserve"> </w:t>
            </w:r>
          </w:p>
        </w:tc>
      </w:tr>
      <w:tr w:rsidR="0034061B" w:rsidRPr="00147D9F" w:rsidTr="000E3D75">
        <w:trPr>
          <w:trHeight w:val="70"/>
        </w:trPr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Pr="00147D9F" w:rsidRDefault="0034061B" w:rsidP="000E3D75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147D9F">
              <w:rPr>
                <w:rFonts w:eastAsia="Times New Roman"/>
                <w:b/>
                <w:bCs/>
                <w:sz w:val="20"/>
              </w:rPr>
              <w:t>Geração Anual (kWh)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Pr="00147D9F" w:rsidRDefault="0034061B" w:rsidP="000E3D75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147D9F">
              <w:rPr>
                <w:rFonts w:eastAsia="Times New Roman"/>
                <w:b/>
                <w:bCs/>
                <w:sz w:val="20"/>
              </w:rPr>
              <w:t>Tarifa (R$/kWh)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Pr="00147D9F" w:rsidRDefault="0034061B" w:rsidP="000E3D75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</w:rPr>
            </w:pPr>
            <w:r w:rsidRPr="00147D9F">
              <w:rPr>
                <w:rFonts w:eastAsia="Times New Roman"/>
                <w:b/>
                <w:bCs/>
                <w:sz w:val="20"/>
              </w:rPr>
              <w:t>Economia Anual</w:t>
            </w:r>
          </w:p>
        </w:tc>
      </w:tr>
      <w:tr w:rsidR="0034061B" w:rsidRPr="00147D9F" w:rsidTr="000E3D75">
        <w:trPr>
          <w:trHeight w:val="70"/>
        </w:trPr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Pr="00147D9F" w:rsidRDefault="0034061B" w:rsidP="000E3D75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 w:rsidRPr="00147D9F">
              <w:rPr>
                <w:rFonts w:eastAsia="Times New Roman"/>
                <w:sz w:val="20"/>
              </w:rPr>
              <w:t>7008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Pr="00147D9F" w:rsidRDefault="006B35F4" w:rsidP="000E3D75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0,66557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61B" w:rsidRPr="00147D9F" w:rsidRDefault="006B35F4" w:rsidP="000E3D75">
            <w:pPr>
              <w:spacing w:line="240" w:lineRule="auto"/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 xml:space="preserve"> R$                       4.6</w:t>
            </w:r>
            <w:r w:rsidR="0034061B" w:rsidRPr="00147D9F">
              <w:rPr>
                <w:rFonts w:eastAsia="Times New Roman"/>
                <w:sz w:val="20"/>
              </w:rPr>
              <w:t xml:space="preserve">64,31 </w:t>
            </w:r>
          </w:p>
        </w:tc>
      </w:tr>
    </w:tbl>
    <w:p w:rsidR="0034061B" w:rsidRPr="0034061B" w:rsidRDefault="0034061B" w:rsidP="0034061B">
      <w:pPr>
        <w:spacing w:after="240"/>
        <w:jc w:val="center"/>
        <w:rPr>
          <w:sz w:val="20"/>
          <w:highlight w:val="white"/>
        </w:rPr>
      </w:pPr>
      <w:r w:rsidRPr="0034061B">
        <w:rPr>
          <w:sz w:val="20"/>
          <w:highlight w:val="white"/>
        </w:rPr>
        <w:t>Fonte: Autores</w:t>
      </w:r>
    </w:p>
    <w:p w:rsidR="0034061B" w:rsidRDefault="0034061B" w:rsidP="0034061B">
      <w:pPr>
        <w:spacing w:after="240"/>
        <w:ind w:firstLine="709"/>
      </w:pPr>
      <w:r>
        <w:rPr>
          <w:highlight w:val="white"/>
        </w:rPr>
        <w:t xml:space="preserve">Feito esse cálculo, pode-se construir o fluxo financeiro. Entretanto, as entradas não serão as mesmas a cada ano, visto que a tarifa energética não se mantém constante, sofrendo </w:t>
      </w:r>
      <w:r>
        <w:rPr>
          <w:highlight w:val="white"/>
        </w:rPr>
        <w:lastRenderedPageBreak/>
        <w:t>variações ao longo do tempo. Dessa forma, procurando estabelecer um balanceamento, foi feita uma média da variação das tarifas entre os anos de 2001 e 2017, como é possível observar</w:t>
      </w:r>
      <w:r>
        <w:t xml:space="preserve"> na tabela 3</w:t>
      </w:r>
      <w:r w:rsidRPr="00311018">
        <w:t>.</w:t>
      </w:r>
      <w:r>
        <w:t xml:space="preserve"> Na figura 2, essa variação é posta de forma gráfica em valores percentuais para melhor compreensão.</w:t>
      </w:r>
      <w:r w:rsidRPr="00311018">
        <w:t xml:space="preserve"> É importante ressaltar que as tarifas aqui trabalhadas já recebem incidência de impostos, e que estes estão sendo considerados nos cálculos realizados.</w:t>
      </w:r>
    </w:p>
    <w:p w:rsidR="0034061B" w:rsidRPr="006B35F4" w:rsidRDefault="006B35F4" w:rsidP="0034061B">
      <w:pPr>
        <w:pStyle w:val="Corpodetexto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B35F4">
        <w:rPr>
          <w:rFonts w:ascii="Times New Roman" w:hAnsi="Times New Roman" w:cs="Times New Roman"/>
          <w:sz w:val="20"/>
          <w:szCs w:val="24"/>
        </w:rPr>
        <w:t>Tabela 3 – Média das tarifas</w:t>
      </w:r>
    </w:p>
    <w:tbl>
      <w:tblPr>
        <w:tblW w:w="30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040"/>
        <w:gridCol w:w="980"/>
      </w:tblGrid>
      <w:tr w:rsidR="006B35F4" w:rsidRPr="006B35F4" w:rsidTr="000E3D75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Variação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Média</w:t>
            </w:r>
          </w:p>
        </w:tc>
      </w:tr>
      <w:tr w:rsidR="006B35F4" w:rsidRPr="006B35F4" w:rsidTr="00184763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sz w:val="20"/>
                <w:lang w:eastAsia="pt-BR"/>
              </w:rPr>
              <w:t>2001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35F4" w:rsidRPr="006B35F4" w:rsidRDefault="006B35F4" w:rsidP="00184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8,9166%</w:t>
            </w:r>
          </w:p>
        </w:tc>
      </w:tr>
      <w:tr w:rsidR="006B35F4" w:rsidRPr="006B35F4" w:rsidTr="000E3D75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sz w:val="20"/>
                <w:lang w:eastAsia="pt-BR"/>
              </w:rPr>
              <w:t>2002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14,161%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</w:p>
        </w:tc>
      </w:tr>
      <w:tr w:rsidR="006B35F4" w:rsidRPr="006B35F4" w:rsidTr="000E3D75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sz w:val="20"/>
                <w:lang w:eastAsia="pt-BR"/>
              </w:rPr>
              <w:t>2003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21,528%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</w:p>
        </w:tc>
      </w:tr>
      <w:tr w:rsidR="006B35F4" w:rsidRPr="006B35F4" w:rsidTr="000E3D75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sz w:val="20"/>
                <w:lang w:eastAsia="pt-BR"/>
              </w:rPr>
              <w:t>2004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32,374%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</w:p>
        </w:tc>
      </w:tr>
      <w:tr w:rsidR="006B35F4" w:rsidRPr="006B35F4" w:rsidTr="000E3D75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sz w:val="20"/>
                <w:lang w:eastAsia="pt-BR"/>
              </w:rPr>
              <w:t>2005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19,231%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</w:p>
        </w:tc>
      </w:tr>
      <w:tr w:rsidR="006B35F4" w:rsidRPr="006B35F4" w:rsidTr="000E3D75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sz w:val="20"/>
                <w:lang w:eastAsia="pt-BR"/>
              </w:rPr>
              <w:t>2006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17,526%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</w:p>
        </w:tc>
      </w:tr>
      <w:tr w:rsidR="006B35F4" w:rsidRPr="006B35F4" w:rsidTr="000E3D75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sz w:val="20"/>
                <w:lang w:eastAsia="pt-BR"/>
              </w:rPr>
              <w:t>2007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3,492%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</w:p>
        </w:tc>
      </w:tr>
      <w:tr w:rsidR="006B35F4" w:rsidRPr="006B35F4" w:rsidTr="000E3D75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sz w:val="20"/>
                <w:lang w:eastAsia="pt-BR"/>
              </w:rPr>
              <w:t>2008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1,214%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</w:p>
        </w:tc>
      </w:tr>
      <w:tr w:rsidR="006B35F4" w:rsidRPr="006B35F4" w:rsidTr="000E3D75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sz w:val="20"/>
                <w:lang w:eastAsia="pt-BR"/>
              </w:rPr>
              <w:t>2009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-0,940%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</w:p>
        </w:tc>
      </w:tr>
      <w:tr w:rsidR="006B35F4" w:rsidRPr="006B35F4" w:rsidTr="000E3D75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sz w:val="20"/>
                <w:lang w:eastAsia="pt-BR"/>
              </w:rPr>
              <w:t>2010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3,353%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</w:p>
        </w:tc>
      </w:tr>
      <w:tr w:rsidR="006B35F4" w:rsidRPr="006B35F4" w:rsidTr="000E3D75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sz w:val="20"/>
                <w:lang w:eastAsia="pt-BR"/>
              </w:rPr>
              <w:t>2011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-3,142%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</w:p>
        </w:tc>
      </w:tr>
      <w:tr w:rsidR="006B35F4" w:rsidRPr="006B35F4" w:rsidTr="000E3D75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sz w:val="20"/>
                <w:lang w:eastAsia="pt-BR"/>
              </w:rPr>
              <w:t>2012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3,642%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</w:p>
        </w:tc>
      </w:tr>
      <w:tr w:rsidR="006B35F4" w:rsidRPr="006B35F4" w:rsidTr="000E3D75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sz w:val="20"/>
                <w:lang w:eastAsia="pt-BR"/>
              </w:rPr>
              <w:t>2013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-15,182%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</w:p>
        </w:tc>
      </w:tr>
      <w:tr w:rsidR="006B35F4" w:rsidRPr="006B35F4" w:rsidTr="000E3D75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sz w:val="20"/>
                <w:lang w:eastAsia="pt-BR"/>
              </w:rPr>
              <w:t>2014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15,481%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</w:p>
        </w:tc>
      </w:tr>
      <w:tr w:rsidR="006B35F4" w:rsidRPr="006B35F4" w:rsidTr="000E3D75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sz w:val="20"/>
                <w:lang w:eastAsia="pt-BR"/>
              </w:rPr>
              <w:t>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4,761%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</w:p>
        </w:tc>
      </w:tr>
      <w:tr w:rsidR="006B35F4" w:rsidRPr="006B35F4" w:rsidTr="000E3D75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16,936%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</w:p>
        </w:tc>
      </w:tr>
      <w:tr w:rsidR="006B35F4" w:rsidRPr="006B35F4" w:rsidTr="000E3D75">
        <w:trPr>
          <w:trHeight w:val="300"/>
          <w:jc w:val="center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8,230%</w:t>
            </w:r>
          </w:p>
        </w:tc>
        <w:tc>
          <w:tcPr>
            <w:tcW w:w="9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</w:p>
        </w:tc>
      </w:tr>
    </w:tbl>
    <w:p w:rsidR="006B35F4" w:rsidRPr="006B35F4" w:rsidRDefault="006B35F4" w:rsidP="006B35F4">
      <w:pPr>
        <w:pStyle w:val="Corpodetexto"/>
        <w:spacing w:before="0" w:beforeAutospacing="0" w:after="24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Fonte: Autores</w:t>
      </w:r>
    </w:p>
    <w:p w:rsidR="006B35F4" w:rsidRDefault="006B35F4" w:rsidP="006B35F4">
      <w:pPr>
        <w:pStyle w:val="Corpodetexto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Figura 2 – Variação tarifária percentual em relação ao ano anterior</w:t>
      </w:r>
    </w:p>
    <w:p w:rsidR="006B35F4" w:rsidRDefault="006B35F4" w:rsidP="006B35F4">
      <w:pPr>
        <w:pStyle w:val="Corpodetexto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noProof/>
        </w:rPr>
        <w:drawing>
          <wp:inline distT="0" distB="0" distL="0" distR="0" wp14:anchorId="71060036" wp14:editId="7AA61665">
            <wp:extent cx="4943475" cy="2352675"/>
            <wp:effectExtent l="0" t="0" r="952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35F4" w:rsidRPr="006B35F4" w:rsidRDefault="006B35F4" w:rsidP="006B35F4">
      <w:pPr>
        <w:pStyle w:val="Corpodetexto"/>
        <w:spacing w:before="0" w:beforeAutospacing="0" w:after="24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Fonte: Autores</w:t>
      </w:r>
    </w:p>
    <w:p w:rsidR="0034061B" w:rsidRDefault="0034061B" w:rsidP="0034061B">
      <w:pPr>
        <w:ind w:firstLine="720"/>
        <w:rPr>
          <w:highlight w:val="white"/>
        </w:rPr>
      </w:pPr>
      <w:r>
        <w:rPr>
          <w:highlight w:val="white"/>
        </w:rPr>
        <w:t xml:space="preserve">Para de fato calcular o valor presente líquido, utiliza-se a taxa média de atratividade (TMA), a qual será considerada a taxa de rendimento anual da poupança, 6,7% a.a. Esta foi determinada com base no retorno mínimo necessário para que o investimento em energia solar se mostrasse lucrativo. As projeções do fluxo de caixa do investimento foram realizadas a partir da primeira e sendo aplicada sobre esta a alteração média da tarifa de energia. Na tabela abaixo </w:t>
      </w:r>
      <w:proofErr w:type="gramStart"/>
      <w:r>
        <w:rPr>
          <w:highlight w:val="white"/>
        </w:rPr>
        <w:t>tem-se</w:t>
      </w:r>
      <w:proofErr w:type="gramEnd"/>
      <w:r>
        <w:rPr>
          <w:highlight w:val="white"/>
        </w:rPr>
        <w:t xml:space="preserve"> o fluxo de caixa e o VPL.</w:t>
      </w:r>
    </w:p>
    <w:p w:rsidR="0034061B" w:rsidRPr="000E3D75" w:rsidRDefault="000E3D75" w:rsidP="0034061B">
      <w:pPr>
        <w:pStyle w:val="Corpodetexto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Tabela 4 – </w:t>
      </w:r>
      <w:r>
        <w:rPr>
          <w:rFonts w:ascii="Times New Roman" w:hAnsi="Times New Roman" w:cs="Times New Roman"/>
          <w:i/>
          <w:sz w:val="20"/>
          <w:szCs w:val="24"/>
        </w:rPr>
        <w:t>Cash-</w:t>
      </w:r>
      <w:proofErr w:type="spellStart"/>
      <w:r>
        <w:rPr>
          <w:rFonts w:ascii="Times New Roman" w:hAnsi="Times New Roman" w:cs="Times New Roman"/>
          <w:i/>
          <w:sz w:val="20"/>
          <w:szCs w:val="24"/>
        </w:rPr>
        <w:t>flow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e VPL</w:t>
      </w:r>
    </w:p>
    <w:tbl>
      <w:tblPr>
        <w:tblW w:w="5730" w:type="dxa"/>
        <w:tblInd w:w="1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2470"/>
      </w:tblGrid>
      <w:tr w:rsidR="006B35F4" w:rsidRPr="006B35F4" w:rsidTr="000E3D75">
        <w:trPr>
          <w:trHeight w:val="298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Período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Ano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pt-BR"/>
              </w:rPr>
              <w:t>Cash-</w:t>
            </w:r>
            <w:proofErr w:type="spellStart"/>
            <w:r w:rsidRPr="006B35F4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pt-BR"/>
              </w:rPr>
              <w:t>flow</w:t>
            </w:r>
            <w:proofErr w:type="spellEnd"/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2017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-R$     29.247,00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2018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  4.552,50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2019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  4.958,43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3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2020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  5.400,55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2021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  5.882,10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5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2022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  6.406,58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2023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  6.977,83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7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2024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  7.600,01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8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2025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  8.277,67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9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2026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  9.015,76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2027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  9.819,66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2028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10.695,24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2029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11.648,89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2030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12.687,58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2031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13.818,88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2032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15.051,05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2033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16.393,10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2034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17.854,80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2035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19.446,84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2036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21.180,84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2037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23.069,45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2038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25.126,46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2039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27.366,89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2040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29.807,08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2041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32.464,86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2042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color w:val="000000"/>
                <w:sz w:val="20"/>
                <w:lang w:eastAsia="pt-BR"/>
              </w:rPr>
              <w:t>R$      35.359,63</w:t>
            </w:r>
          </w:p>
        </w:tc>
      </w:tr>
      <w:tr w:rsidR="006B35F4" w:rsidRPr="006B35F4" w:rsidTr="000E3D75">
        <w:trPr>
          <w:trHeight w:val="298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VPL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35F4" w:rsidRPr="006B35F4" w:rsidRDefault="006B35F4" w:rsidP="000E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6B35F4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R$ 108.773,81</w:t>
            </w:r>
          </w:p>
        </w:tc>
      </w:tr>
    </w:tbl>
    <w:p w:rsidR="006B35F4" w:rsidRPr="000E3D75" w:rsidRDefault="000E3D75" w:rsidP="000E3D75">
      <w:pPr>
        <w:pStyle w:val="Corpodetexto"/>
        <w:spacing w:before="0" w:beforeAutospacing="0" w:after="24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Fonte: Autores</w:t>
      </w:r>
    </w:p>
    <w:p w:rsidR="0034061B" w:rsidRDefault="0034061B" w:rsidP="0034061B">
      <w:pPr>
        <w:ind w:firstLine="709"/>
        <w:rPr>
          <w:highlight w:val="white"/>
        </w:rPr>
      </w:pPr>
      <w:r>
        <w:rPr>
          <w:highlight w:val="white"/>
        </w:rPr>
        <w:lastRenderedPageBreak/>
        <w:t xml:space="preserve">Tratando-se do </w:t>
      </w:r>
      <w:proofErr w:type="spellStart"/>
      <w:r>
        <w:rPr>
          <w:i/>
          <w:highlight w:val="white"/>
        </w:rPr>
        <w:t>payback</w:t>
      </w:r>
      <w:proofErr w:type="spellEnd"/>
      <w:r>
        <w:rPr>
          <w:highlight w:val="white"/>
        </w:rPr>
        <w:t xml:space="preserve">, foi descontado no valor inicial do investimento, o valor da economia anual de energia, e assim sucessivamente com os valores atualizados mediante a taxa média de aumento, até 25 anos subsequentes. A partir desse mecanismo, torna-se possível </w:t>
      </w:r>
      <w:proofErr w:type="gramStart"/>
      <w:r>
        <w:rPr>
          <w:highlight w:val="white"/>
        </w:rPr>
        <w:t>a</w:t>
      </w:r>
      <w:proofErr w:type="gramEnd"/>
      <w:r>
        <w:rPr>
          <w:highlight w:val="white"/>
        </w:rPr>
        <w:t xml:space="preserve"> </w:t>
      </w:r>
      <w:r w:rsidR="000E3D75">
        <w:rPr>
          <w:highlight w:val="white"/>
        </w:rPr>
        <w:t xml:space="preserve">visualização do sistema de auto </w:t>
      </w:r>
      <w:r>
        <w:rPr>
          <w:highlight w:val="white"/>
        </w:rPr>
        <w:t xml:space="preserve">pagamento oferecido pelo </w:t>
      </w:r>
      <w:proofErr w:type="spellStart"/>
      <w:r>
        <w:rPr>
          <w:i/>
          <w:highlight w:val="white"/>
        </w:rPr>
        <w:t>payback</w:t>
      </w:r>
      <w:proofErr w:type="spellEnd"/>
      <w:r>
        <w:rPr>
          <w:highlight w:val="white"/>
        </w:rPr>
        <w:t>. Em posse dos dados de entrada e saída (</w:t>
      </w:r>
      <w:r>
        <w:rPr>
          <w:i/>
          <w:highlight w:val="white"/>
        </w:rPr>
        <w:t>cash-</w:t>
      </w:r>
      <w:proofErr w:type="spellStart"/>
      <w:r>
        <w:rPr>
          <w:i/>
          <w:highlight w:val="white"/>
        </w:rPr>
        <w:t>flow</w:t>
      </w:r>
      <w:proofErr w:type="spellEnd"/>
      <w:r>
        <w:rPr>
          <w:highlight w:val="white"/>
        </w:rPr>
        <w:t xml:space="preserve">), é realizável o cálculo da taxa interna de retorno, a qual expressa </w:t>
      </w:r>
      <w:proofErr w:type="gramStart"/>
      <w:r>
        <w:rPr>
          <w:highlight w:val="white"/>
        </w:rPr>
        <w:t>a</w:t>
      </w:r>
      <w:proofErr w:type="gramEnd"/>
      <w:r>
        <w:rPr>
          <w:highlight w:val="white"/>
        </w:rPr>
        <w:t xml:space="preserve"> remuneração do capital investido. A tabela 5 retrata a situação trabalhada.</w:t>
      </w:r>
    </w:p>
    <w:p w:rsidR="0034061B" w:rsidRPr="000E3D75" w:rsidRDefault="000E3D75" w:rsidP="0034061B">
      <w:pPr>
        <w:pStyle w:val="Corpodetexto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Tabela 5 – </w:t>
      </w:r>
      <w:proofErr w:type="spellStart"/>
      <w:r>
        <w:rPr>
          <w:rFonts w:ascii="Times New Roman" w:hAnsi="Times New Roman" w:cs="Times New Roman"/>
          <w:i/>
          <w:sz w:val="20"/>
          <w:szCs w:val="24"/>
        </w:rPr>
        <w:t>Payback</w:t>
      </w:r>
      <w:proofErr w:type="spellEnd"/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e TIR</w:t>
      </w:r>
    </w:p>
    <w:tbl>
      <w:tblPr>
        <w:tblW w:w="7533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1817"/>
        <w:gridCol w:w="1866"/>
        <w:gridCol w:w="1915"/>
      </w:tblGrid>
      <w:tr w:rsidR="000E3D75" w:rsidRPr="000E3D75" w:rsidTr="000E3D75">
        <w:trPr>
          <w:trHeight w:val="298"/>
        </w:trPr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Período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Ano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pt-BR"/>
              </w:rPr>
              <w:t>Cash-</w:t>
            </w:r>
            <w:proofErr w:type="spellStart"/>
            <w:r w:rsidRPr="000E3D75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pt-BR"/>
              </w:rPr>
              <w:t>flow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pt-BR"/>
              </w:rPr>
            </w:pPr>
            <w:proofErr w:type="spellStart"/>
            <w:r w:rsidRPr="000E3D75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lang w:eastAsia="pt-BR"/>
              </w:rPr>
              <w:t>Payback</w:t>
            </w:r>
            <w:proofErr w:type="spellEnd"/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0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2017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-R$     29.247,00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-R$      29.247,00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1</w:t>
            </w:r>
            <w:proofErr w:type="gram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2018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 4.552,50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-R$      24.694,50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2019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 4.958,43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-R$      19.736,07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3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2020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 5.400,55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-R$      14.335,52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4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2021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 5.882,10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-R$         8.453,43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5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2022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 6.406,58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-R$         2.046,85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6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2023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 6.977,83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  4.930,98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7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2024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 7.600,01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  4.930,98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8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2025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 8.277,67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20.808,66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proofErr w:type="gramStart"/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9</w:t>
            </w:r>
            <w:proofErr w:type="gram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2026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 9.015,76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29.824,43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10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2027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 9.819,66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39.644,09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2028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10.695,24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50.339,33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12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2029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11.648,89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61.988,22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13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12.687,58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74.675,80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2031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13.818,88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 88.494,68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15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2032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15.051,05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103.545,73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16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2033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16.393,10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119.938,83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2034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17.854,80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137.793,63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18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2035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19.446,84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157.240,48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19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2036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21.180,84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157.240,48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2037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23.069,45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201.490,77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2038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25.126,46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226.617,23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2039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27.366,89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253.984,12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2040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29.807,08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283.791,21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2041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32.464,86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316.256,07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2042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 35.359,63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color w:val="000000"/>
                <w:sz w:val="20"/>
                <w:lang w:eastAsia="pt-BR"/>
              </w:rPr>
              <w:t>R$     351.615,70</w:t>
            </w:r>
          </w:p>
        </w:tc>
      </w:tr>
      <w:tr w:rsidR="000E3D75" w:rsidRPr="000E3D75" w:rsidTr="000E3D75">
        <w:trPr>
          <w:trHeight w:val="298"/>
        </w:trPr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TIR</w:t>
            </w: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3D75" w:rsidRPr="000E3D75" w:rsidRDefault="000E3D75" w:rsidP="000E3D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</w:pPr>
            <w:r w:rsidRPr="000E3D75">
              <w:rPr>
                <w:rFonts w:eastAsia="Times New Roman" w:cs="Times New Roman"/>
                <w:b/>
                <w:bCs/>
                <w:color w:val="000000"/>
                <w:sz w:val="20"/>
                <w:lang w:eastAsia="pt-BR"/>
              </w:rPr>
              <w:t>23,856%</w:t>
            </w:r>
          </w:p>
        </w:tc>
      </w:tr>
    </w:tbl>
    <w:p w:rsidR="000E3D75" w:rsidRPr="000E3D75" w:rsidRDefault="000E3D75" w:rsidP="000E3D75">
      <w:pPr>
        <w:pStyle w:val="Corpodetexto"/>
        <w:spacing w:before="0" w:beforeAutospacing="0" w:after="24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Fonte: Autores</w:t>
      </w:r>
    </w:p>
    <w:p w:rsidR="0034061B" w:rsidRDefault="0034061B" w:rsidP="0034061B">
      <w:pPr>
        <w:ind w:firstLine="720"/>
        <w:rPr>
          <w:highlight w:val="white"/>
        </w:rPr>
      </w:pPr>
      <w:r>
        <w:rPr>
          <w:highlight w:val="white"/>
        </w:rPr>
        <w:lastRenderedPageBreak/>
        <w:t>Para melhor compreensão e buscando uma forma mais intuitiva de organizar os dados, a figura 3 dispõe de um gráfico para ilustrar, em um intervalo de 25 anos, o tempo que o investimento leva para compensar o recurso empregado.</w:t>
      </w:r>
    </w:p>
    <w:p w:rsidR="0034061B" w:rsidRDefault="000E3D75" w:rsidP="0034061B">
      <w:pPr>
        <w:pStyle w:val="Corpodetexto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Figura 3 – </w:t>
      </w:r>
      <w:proofErr w:type="spellStart"/>
      <w:r>
        <w:rPr>
          <w:rFonts w:ascii="Times New Roman" w:hAnsi="Times New Roman" w:cs="Times New Roman"/>
          <w:i/>
          <w:sz w:val="20"/>
          <w:szCs w:val="24"/>
        </w:rPr>
        <w:t>Payback</w:t>
      </w:r>
      <w:proofErr w:type="spellEnd"/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em 25 anos</w:t>
      </w:r>
    </w:p>
    <w:p w:rsidR="000E3D75" w:rsidRDefault="000E3D75" w:rsidP="000E3D75">
      <w:pPr>
        <w:pStyle w:val="Corpodetexto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noProof/>
        </w:rPr>
        <w:drawing>
          <wp:inline distT="0" distB="0" distL="0" distR="0" wp14:anchorId="0E4F7506" wp14:editId="5C588776">
            <wp:extent cx="5612130" cy="3691890"/>
            <wp:effectExtent l="0" t="0" r="26670" b="2286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E3D75" w:rsidRPr="000E3D75" w:rsidRDefault="000E3D75" w:rsidP="000E3D75">
      <w:pPr>
        <w:pStyle w:val="Corpodetexto"/>
        <w:spacing w:before="0" w:beforeAutospacing="0" w:after="24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Fonte: Autores</w:t>
      </w:r>
    </w:p>
    <w:p w:rsidR="0034061B" w:rsidRDefault="0034061B" w:rsidP="0034061B">
      <w:pPr>
        <w:ind w:firstLine="709"/>
        <w:rPr>
          <w:highlight w:val="white"/>
        </w:rPr>
      </w:pPr>
      <w:r>
        <w:rPr>
          <w:highlight w:val="white"/>
        </w:rPr>
        <w:t xml:space="preserve">De modo a dar um caráter diferenciado e prover maior quantidade de indicadores, assim como facilitar o processo decisório, ainda há abertura a mais um recurso avaliativo, o índice de lucratividade. De acordo com Reis </w:t>
      </w:r>
      <w:proofErr w:type="gramStart"/>
      <w:r>
        <w:rPr>
          <w:i/>
          <w:highlight w:val="white"/>
        </w:rPr>
        <w:t>et</w:t>
      </w:r>
      <w:proofErr w:type="gramEnd"/>
      <w:r>
        <w:rPr>
          <w:i/>
          <w:highlight w:val="white"/>
        </w:rPr>
        <w:t xml:space="preserve"> al </w:t>
      </w:r>
      <w:r>
        <w:rPr>
          <w:highlight w:val="white"/>
        </w:rPr>
        <w:t>(2015), o Índice de Lucratividade (IL) é uma medida relativa entre o valor presente dos fluxos de caixa recebidos e o investimento inicial.  A equação abaixo retrata a situação.</w:t>
      </w:r>
    </w:p>
    <w:p w:rsidR="0034061B" w:rsidRPr="00F903C3" w:rsidRDefault="0034061B" w:rsidP="0034061B">
      <w:pPr>
        <w:tabs>
          <w:tab w:val="center" w:pos="4536"/>
          <w:tab w:val="right" w:pos="9029"/>
        </w:tabs>
        <w:rPr>
          <w:highlight w:val="white"/>
        </w:rPr>
      </w:pPr>
      <w:r>
        <w:rPr>
          <w:sz w:val="32"/>
          <w:szCs w:val="36"/>
          <w:highlight w:val="white"/>
        </w:rPr>
        <w:tab/>
      </w:r>
      <m:oMath>
        <m:r>
          <w:rPr>
            <w:rFonts w:ascii="Cambria Math" w:hAnsi="Cambria Math"/>
            <w:sz w:val="32"/>
            <w:szCs w:val="36"/>
            <w:highlight w:val="white"/>
          </w:rPr>
          <m:t xml:space="preserve">IL= </m:t>
        </m:r>
        <m:f>
          <m:fPr>
            <m:ctrlPr>
              <w:rPr>
                <w:rFonts w:ascii="Cambria Math" w:hAnsi="Cambria Math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/>
                <w:sz w:val="32"/>
                <w:szCs w:val="36"/>
              </w:rPr>
              <m:t>VPL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6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6"/>
                  </w:rPr>
                  <m:t>0</m:t>
                </m:r>
              </m:sub>
            </m:sSub>
          </m:den>
        </m:f>
      </m:oMath>
      <w:r>
        <w:rPr>
          <w:sz w:val="32"/>
          <w:szCs w:val="36"/>
        </w:rPr>
        <w:tab/>
      </w:r>
      <w:r>
        <w:t>(2)</w:t>
      </w:r>
    </w:p>
    <w:p w:rsidR="0034061B" w:rsidRPr="00BE0747" w:rsidRDefault="0034061B" w:rsidP="0034061B">
      <w:pPr>
        <w:ind w:firstLine="709"/>
        <w:rPr>
          <w:highlight w:val="white"/>
        </w:rPr>
      </w:pPr>
      <w:r>
        <w:rPr>
          <w:highlight w:val="white"/>
        </w:rPr>
        <w:t xml:space="preserve">Sendo </w:t>
      </w:r>
      <m:oMath>
        <m:r>
          <w:rPr>
            <w:rFonts w:ascii="Cambria Math" w:hAnsi="Cambria Math"/>
            <w:szCs w:val="36"/>
          </w:rPr>
          <m:t>VPL</m:t>
        </m:r>
      </m:oMath>
      <w:r>
        <w:rPr>
          <w:highlight w:val="white"/>
        </w:rPr>
        <w:t xml:space="preserve"> o valor presente líquido e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36"/>
              </w:rPr>
            </m:ctrlPr>
          </m:sSubPr>
          <m:e>
            <m:r>
              <w:rPr>
                <w:rFonts w:ascii="Cambria Math" w:hAnsi="Cambria Math"/>
                <w:sz w:val="28"/>
                <w:szCs w:val="36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36"/>
              </w:rPr>
              <m:t>0</m:t>
            </m:r>
          </m:sub>
        </m:sSub>
      </m:oMath>
      <w:r>
        <w:rPr>
          <w:szCs w:val="36"/>
        </w:rPr>
        <w:t xml:space="preserve"> o investimento inicial. </w:t>
      </w:r>
    </w:p>
    <w:p w:rsidR="0034061B" w:rsidRPr="00311018" w:rsidRDefault="0034061B" w:rsidP="0034061B">
      <w:pPr>
        <w:ind w:firstLine="709"/>
      </w:pPr>
      <w:r>
        <w:rPr>
          <w:highlight w:val="white"/>
        </w:rPr>
        <w:lastRenderedPageBreak/>
        <w:t xml:space="preserve">O critério de decisão é muito simples. O investimento deve ser aceito se ao menos IL=1. Isso significa que a soma dos fluxos de caixa, descontados pela taxa escolhida, será </w:t>
      </w:r>
      <w:r w:rsidRPr="00311018">
        <w:t xml:space="preserve">pelo menos igual ao investimento inicial (BORDEAUX-RÊGO </w:t>
      </w:r>
      <w:proofErr w:type="gramStart"/>
      <w:r w:rsidRPr="00311018">
        <w:rPr>
          <w:i/>
        </w:rPr>
        <w:t>et</w:t>
      </w:r>
      <w:proofErr w:type="gramEnd"/>
      <w:r w:rsidRPr="00311018">
        <w:rPr>
          <w:i/>
        </w:rPr>
        <w:t xml:space="preserve"> al</w:t>
      </w:r>
      <w:r w:rsidRPr="00311018">
        <w:t xml:space="preserve">., 2006). </w:t>
      </w:r>
    </w:p>
    <w:p w:rsidR="0034061B" w:rsidRPr="00311018" w:rsidRDefault="0034061B" w:rsidP="0034061B">
      <w:pPr>
        <w:ind w:firstLine="720"/>
      </w:pPr>
      <w:r w:rsidRPr="00311018">
        <w:t>Aplicando os valores das variáveis à</w:t>
      </w:r>
      <w:r w:rsidR="000E3D75">
        <w:t xml:space="preserve"> fórmula, obtém-se um IL de 3,71</w:t>
      </w:r>
      <w:r w:rsidRPr="00311018">
        <w:t>, isto é, para cada R$ 1,00 investido, o retorno gerado pelo s</w:t>
      </w:r>
      <w:r w:rsidR="000E3D75">
        <w:t>istema fotovoltaico é de R$ 3,71</w:t>
      </w:r>
      <w:r w:rsidRPr="00311018">
        <w:t xml:space="preserve">. Assim, esse indicador solida os resultados anteriores, no tocante à rentabilidade, enfatizando a viabilidade nessa situação. </w:t>
      </w:r>
    </w:p>
    <w:p w:rsidR="0034061B" w:rsidRDefault="0034061B" w:rsidP="0034061B">
      <w:pPr>
        <w:ind w:firstLine="720"/>
        <w:rPr>
          <w:highlight w:val="white"/>
        </w:rPr>
      </w:pPr>
      <w:r>
        <w:rPr>
          <w:highlight w:val="white"/>
        </w:rPr>
        <w:t>Apesar de raramente utilizado, em virtude de sua simplicidade, tal índice é capaz de fornecer dados que podem agregar informações no que tange aos critérios de avaliação do investimento.</w:t>
      </w:r>
    </w:p>
    <w:p w:rsidR="0034061B" w:rsidRDefault="0034061B" w:rsidP="0034061B">
      <w:pPr>
        <w:ind w:firstLine="720"/>
        <w:rPr>
          <w:highlight w:val="white"/>
        </w:rPr>
      </w:pPr>
      <w:r>
        <w:rPr>
          <w:highlight w:val="white"/>
        </w:rPr>
        <w:t xml:space="preserve">Diante dos resultados expostos, pode-se afirmar, com base nos parâmetros adotados, que o investimento possui liquidez, e grande retorno do capital injetado, além de um tempo de </w:t>
      </w:r>
      <w:proofErr w:type="spellStart"/>
      <w:r>
        <w:rPr>
          <w:i/>
          <w:highlight w:val="white"/>
        </w:rPr>
        <w:t>payback</w:t>
      </w:r>
      <w:proofErr w:type="spellEnd"/>
      <w:r>
        <w:rPr>
          <w:highlight w:val="white"/>
        </w:rPr>
        <w:t xml:space="preserve"> considerado bastante atrativo, além de utilizar uma fonte de energia considerada infinita. Como citado anteriormente nesta pesquisa, tal atratividade é fruto da desconstrução de barreiras econômicas e sociais, as quais limitavam e restringiam a utilização desse novo modelo de energia. Em virtude disso, se faz necessária uma difusão dessa prática, tendo como foco apresentar os aspectos rentáveis, e assim, incentivar esse modelo de geração.</w:t>
      </w:r>
    </w:p>
    <w:p w:rsidR="002950F1" w:rsidRPr="00800B44" w:rsidRDefault="002950F1" w:rsidP="003C0B49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0B44" w:rsidRPr="00800B44" w:rsidRDefault="00846F5D" w:rsidP="003C0B49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Considerações finais</w:t>
      </w:r>
    </w:p>
    <w:p w:rsidR="00846F5D" w:rsidRPr="00311018" w:rsidRDefault="00846F5D" w:rsidP="00846F5D">
      <w:pPr>
        <w:ind w:firstLine="709"/>
        <w:rPr>
          <w:highlight w:val="white"/>
        </w:rPr>
      </w:pPr>
      <w:r w:rsidRPr="00311018">
        <w:rPr>
          <w:highlight w:val="white"/>
        </w:rPr>
        <w:t xml:space="preserve">O presente estudo obteve êxito </w:t>
      </w:r>
      <w:r>
        <w:rPr>
          <w:highlight w:val="white"/>
        </w:rPr>
        <w:t>em realizar a análise econômico-</w:t>
      </w:r>
      <w:r w:rsidRPr="00311018">
        <w:rPr>
          <w:highlight w:val="white"/>
        </w:rPr>
        <w:t xml:space="preserve">financeira proposta, </w:t>
      </w:r>
      <w:r>
        <w:rPr>
          <w:highlight w:val="white"/>
        </w:rPr>
        <w:t xml:space="preserve">empregando </w:t>
      </w:r>
      <w:r w:rsidRPr="00311018">
        <w:rPr>
          <w:highlight w:val="white"/>
        </w:rPr>
        <w:t xml:space="preserve">os métodos de análise de investimento descritos, no objeto </w:t>
      </w:r>
      <w:r>
        <w:rPr>
          <w:highlight w:val="white"/>
        </w:rPr>
        <w:t>de estudo em destaque</w:t>
      </w:r>
      <w:r w:rsidRPr="00311018">
        <w:rPr>
          <w:highlight w:val="white"/>
        </w:rPr>
        <w:t>, bem como identificar os pontos favoráveis da utilização d</w:t>
      </w:r>
      <w:r>
        <w:rPr>
          <w:highlight w:val="white"/>
        </w:rPr>
        <w:t>a energia fotovoltaica</w:t>
      </w:r>
      <w:r w:rsidRPr="00311018">
        <w:rPr>
          <w:highlight w:val="white"/>
        </w:rPr>
        <w:t>.</w:t>
      </w:r>
    </w:p>
    <w:p w:rsidR="00846F5D" w:rsidRPr="00311018" w:rsidRDefault="00846F5D" w:rsidP="00846F5D">
      <w:pPr>
        <w:ind w:firstLine="709"/>
        <w:rPr>
          <w:highlight w:val="white"/>
        </w:rPr>
      </w:pPr>
      <w:r w:rsidRPr="00311018">
        <w:rPr>
          <w:highlight w:val="white"/>
        </w:rPr>
        <w:t xml:space="preserve">A isenção de ICMS sobre a </w:t>
      </w:r>
      <w:proofErr w:type="spellStart"/>
      <w:r w:rsidRPr="00311018">
        <w:rPr>
          <w:highlight w:val="white"/>
        </w:rPr>
        <w:t>microg</w:t>
      </w:r>
      <w:r>
        <w:rPr>
          <w:highlight w:val="white"/>
        </w:rPr>
        <w:t>eração</w:t>
      </w:r>
      <w:proofErr w:type="spellEnd"/>
      <w:r>
        <w:rPr>
          <w:highlight w:val="white"/>
        </w:rPr>
        <w:t xml:space="preserve"> no estado de Pernambuco foi</w:t>
      </w:r>
      <w:r w:rsidRPr="00311018">
        <w:rPr>
          <w:highlight w:val="white"/>
        </w:rPr>
        <w:t xml:space="preserve"> o fator primordial para que o tempo de </w:t>
      </w:r>
      <w:proofErr w:type="spellStart"/>
      <w:r w:rsidRPr="00311018">
        <w:rPr>
          <w:i/>
          <w:highlight w:val="white"/>
        </w:rPr>
        <w:t>payback</w:t>
      </w:r>
      <w:proofErr w:type="spellEnd"/>
      <w:r w:rsidRPr="00311018">
        <w:rPr>
          <w:i/>
          <w:highlight w:val="white"/>
        </w:rPr>
        <w:t xml:space="preserve"> </w:t>
      </w:r>
      <w:r w:rsidRPr="00311018">
        <w:rPr>
          <w:highlight w:val="white"/>
        </w:rPr>
        <w:t>se tornasse tão atrativo, visto que essa liberação ocasiona um aumento na economia anual, a qual tem influência di</w:t>
      </w:r>
      <w:r>
        <w:rPr>
          <w:highlight w:val="white"/>
        </w:rPr>
        <w:t>reta neste indicador econômico.</w:t>
      </w:r>
    </w:p>
    <w:p w:rsidR="00846F5D" w:rsidRPr="00311018" w:rsidRDefault="00846F5D" w:rsidP="00846F5D">
      <w:pPr>
        <w:ind w:firstLine="709"/>
        <w:rPr>
          <w:highlight w:val="white"/>
        </w:rPr>
      </w:pPr>
      <w:r w:rsidRPr="00311018">
        <w:rPr>
          <w:highlight w:val="white"/>
        </w:rPr>
        <w:t xml:space="preserve">Em suma, nas condições em que a simulação foi realizada, é notória a viabilidade de investimento. Vários aspectos contribuíram significativamente para a obtenção de resultados de tal magnitude, além da isenção de ICMS, como citado, o aumento médio da tarifa de </w:t>
      </w:r>
      <w:r w:rsidRPr="00311018">
        <w:rPr>
          <w:highlight w:val="white"/>
        </w:rPr>
        <w:lastRenderedPageBreak/>
        <w:t>energia, o qual foi um valor alto em virtude das alterações nos últimos anos, fez elevar as projeções do fluxo de caixa, o que acarretou em uma maior rapidez no tempo de pagamento.</w:t>
      </w:r>
    </w:p>
    <w:p w:rsidR="00846F5D" w:rsidRPr="00311018" w:rsidRDefault="00846F5D" w:rsidP="00846F5D">
      <w:pPr>
        <w:ind w:firstLine="709"/>
        <w:rPr>
          <w:highlight w:val="white"/>
        </w:rPr>
      </w:pPr>
      <w:r w:rsidRPr="00311018">
        <w:rPr>
          <w:highlight w:val="white"/>
        </w:rPr>
        <w:t xml:space="preserve">Ademais, a taxa mínima de atratividade escolhida nesse caso, foi baixa em comparação </w:t>
      </w:r>
      <w:proofErr w:type="gramStart"/>
      <w:r w:rsidRPr="00311018">
        <w:rPr>
          <w:highlight w:val="white"/>
        </w:rPr>
        <w:t>à</w:t>
      </w:r>
      <w:proofErr w:type="gramEnd"/>
      <w:r w:rsidRPr="00311018">
        <w:rPr>
          <w:highlight w:val="white"/>
        </w:rPr>
        <w:t xml:space="preserve"> outros estudos presentes na literatura acerca da temática, porém, as razões para escolha foram sólidas. O valor utilizado foi o rendimento médio da poup</w:t>
      </w:r>
      <w:r>
        <w:rPr>
          <w:highlight w:val="white"/>
        </w:rPr>
        <w:t>ança, caso a proposta se mostrasse</w:t>
      </w:r>
      <w:r w:rsidRPr="00311018">
        <w:rPr>
          <w:highlight w:val="white"/>
        </w:rPr>
        <w:t xml:space="preserve"> inviável, seria mais proveitoso aplicar o recurso no banco do que empregá-lo na </w:t>
      </w:r>
      <w:r>
        <w:rPr>
          <w:highlight w:val="white"/>
        </w:rPr>
        <w:t>aquisição</w:t>
      </w:r>
      <w:r w:rsidRPr="00311018">
        <w:rPr>
          <w:highlight w:val="white"/>
        </w:rPr>
        <w:t xml:space="preserve"> de um sistema fotovoltaico. Visto que a designação da TMA é algo que não segue regras, mas sim um critério de decisão, cabe somente ao investidor definir.</w:t>
      </w:r>
    </w:p>
    <w:p w:rsidR="00846F5D" w:rsidRPr="00311018" w:rsidRDefault="00846F5D" w:rsidP="00846F5D">
      <w:pPr>
        <w:ind w:firstLine="709"/>
        <w:rPr>
          <w:highlight w:val="white"/>
        </w:rPr>
      </w:pPr>
      <w:r w:rsidRPr="00311018">
        <w:rPr>
          <w:highlight w:val="white"/>
        </w:rPr>
        <w:t>É válido salientar que</w:t>
      </w:r>
      <w:r>
        <w:rPr>
          <w:highlight w:val="white"/>
        </w:rPr>
        <w:t>,</w:t>
      </w:r>
      <w:r w:rsidRPr="00311018">
        <w:rPr>
          <w:highlight w:val="white"/>
        </w:rPr>
        <w:t xml:space="preserve"> as projeções aqui feitas são baseadas em um consumo de até 584 kWh mensais para o tipo de classificação destacada na seção 4 dest</w:t>
      </w:r>
      <w:r>
        <w:rPr>
          <w:highlight w:val="white"/>
        </w:rPr>
        <w:t>e trabalho</w:t>
      </w:r>
      <w:r w:rsidRPr="00311018">
        <w:rPr>
          <w:highlight w:val="white"/>
        </w:rPr>
        <w:t>, sendo necessário outro estudo, caso não se enquadre</w:t>
      </w:r>
      <w:r>
        <w:rPr>
          <w:highlight w:val="white"/>
        </w:rPr>
        <w:t xml:space="preserve"> às especificações utilizadas.</w:t>
      </w:r>
    </w:p>
    <w:p w:rsidR="00846F5D" w:rsidRDefault="00846F5D" w:rsidP="00846F5D">
      <w:pPr>
        <w:ind w:firstLine="709"/>
      </w:pPr>
      <w:r>
        <w:rPr>
          <w:highlight w:val="white"/>
        </w:rPr>
        <w:t>D</w:t>
      </w:r>
      <w:r w:rsidRPr="00311018">
        <w:rPr>
          <w:highlight w:val="white"/>
        </w:rPr>
        <w:t xml:space="preserve">evido </w:t>
      </w:r>
      <w:r>
        <w:rPr>
          <w:highlight w:val="white"/>
        </w:rPr>
        <w:t>à</w:t>
      </w:r>
      <w:r w:rsidRPr="00311018">
        <w:rPr>
          <w:highlight w:val="white"/>
        </w:rPr>
        <w:t xml:space="preserve"> flutuação constante das taxas do mercado, tais projeções se caracterizam como aproximações, podendo não ser os futuros valores reais. </w:t>
      </w:r>
      <w:r>
        <w:rPr>
          <w:highlight w:val="white"/>
        </w:rPr>
        <w:t xml:space="preserve">Isto pode </w:t>
      </w:r>
      <w:r w:rsidRPr="00311018">
        <w:rPr>
          <w:highlight w:val="white"/>
        </w:rPr>
        <w:t>configurar-se como limitação do presente artigo.</w:t>
      </w:r>
    </w:p>
    <w:p w:rsidR="003C0B49" w:rsidRPr="00846F5D" w:rsidRDefault="003C0B49" w:rsidP="000E3D75">
      <w:pPr>
        <w:rPr>
          <w:b/>
          <w:highlight w:val="white"/>
        </w:rPr>
      </w:pPr>
    </w:p>
    <w:p w:rsidR="00144CF8" w:rsidRPr="00144CF8" w:rsidRDefault="00144CF8" w:rsidP="00144CF8">
      <w:pPr>
        <w:tabs>
          <w:tab w:val="left" w:pos="1785"/>
        </w:tabs>
        <w:rPr>
          <w:b/>
          <w:i/>
          <w:szCs w:val="24"/>
        </w:rPr>
      </w:pPr>
      <w:r w:rsidRPr="00144CF8">
        <w:rPr>
          <w:b/>
          <w:szCs w:val="24"/>
        </w:rPr>
        <w:t>R</w:t>
      </w:r>
      <w:r w:rsidR="003C0B49" w:rsidRPr="00144CF8">
        <w:rPr>
          <w:b/>
          <w:szCs w:val="24"/>
        </w:rPr>
        <w:t>EFERÊNCIAS</w:t>
      </w: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t xml:space="preserve">ANEEL. </w:t>
      </w:r>
      <w:r w:rsidRPr="00846F5D">
        <w:rPr>
          <w:b/>
          <w:sz w:val="20"/>
          <w:highlight w:val="white"/>
        </w:rPr>
        <w:t xml:space="preserve">Resolução Normativa nº 414, de </w:t>
      </w:r>
      <w:proofErr w:type="gramStart"/>
      <w:r w:rsidRPr="00846F5D">
        <w:rPr>
          <w:b/>
          <w:sz w:val="20"/>
          <w:highlight w:val="white"/>
        </w:rPr>
        <w:t>9</w:t>
      </w:r>
      <w:proofErr w:type="gramEnd"/>
      <w:r w:rsidRPr="00846F5D">
        <w:rPr>
          <w:b/>
          <w:sz w:val="20"/>
          <w:highlight w:val="white"/>
        </w:rPr>
        <w:t xml:space="preserve"> de Setembro de 2010</w:t>
      </w:r>
      <w:r w:rsidRPr="00846F5D">
        <w:rPr>
          <w:sz w:val="20"/>
          <w:highlight w:val="white"/>
        </w:rPr>
        <w:t>. 2010. Disponível em: &lt;</w:t>
      </w:r>
      <w:hyperlink r:id="rId13">
        <w:r w:rsidRPr="00846F5D">
          <w:rPr>
            <w:color w:val="1155CC"/>
            <w:sz w:val="20"/>
            <w:highlight w:val="white"/>
            <w:u w:val="single"/>
          </w:rPr>
          <w:t>http://www2.aneel.gov.br/cedoc/ren2010414.pdf</w:t>
        </w:r>
      </w:hyperlink>
      <w:r w:rsidRPr="00846F5D">
        <w:rPr>
          <w:sz w:val="20"/>
          <w:highlight w:val="white"/>
        </w:rPr>
        <w:t>&gt;. Acesso em 18 jul. 2017.</w:t>
      </w: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t xml:space="preserve">ANEEL. </w:t>
      </w:r>
      <w:r w:rsidRPr="00846F5D">
        <w:rPr>
          <w:b/>
          <w:sz w:val="20"/>
          <w:highlight w:val="white"/>
        </w:rPr>
        <w:t>Resolução Normativa nº 482, de 17 de Abril de 2012</w:t>
      </w:r>
      <w:r w:rsidRPr="00846F5D">
        <w:rPr>
          <w:sz w:val="20"/>
          <w:highlight w:val="white"/>
        </w:rPr>
        <w:t>. 2012. Disponível em: &lt;</w:t>
      </w:r>
      <w:hyperlink r:id="rId14">
        <w:r w:rsidRPr="00846F5D">
          <w:rPr>
            <w:color w:val="1155CC"/>
            <w:sz w:val="20"/>
            <w:highlight w:val="white"/>
            <w:u w:val="single"/>
          </w:rPr>
          <w:t>http://www2.aneel.gov.br/cedoc/ren2012482.pdf</w:t>
        </w:r>
      </w:hyperlink>
      <w:r w:rsidRPr="00846F5D">
        <w:rPr>
          <w:sz w:val="20"/>
          <w:highlight w:val="white"/>
        </w:rPr>
        <w:t xml:space="preserve">&gt;. Acesso em </w:t>
      </w:r>
      <w:proofErr w:type="gramStart"/>
      <w:r w:rsidRPr="00846F5D">
        <w:rPr>
          <w:sz w:val="20"/>
          <w:highlight w:val="white"/>
        </w:rPr>
        <w:t xml:space="preserve">31 </w:t>
      </w:r>
      <w:proofErr w:type="spellStart"/>
      <w:r w:rsidRPr="00846F5D">
        <w:rPr>
          <w:sz w:val="20"/>
          <w:highlight w:val="white"/>
        </w:rPr>
        <w:t>ago</w:t>
      </w:r>
      <w:proofErr w:type="spellEnd"/>
      <w:proofErr w:type="gramEnd"/>
      <w:r w:rsidRPr="00846F5D">
        <w:rPr>
          <w:sz w:val="20"/>
          <w:highlight w:val="white"/>
        </w:rPr>
        <w:t xml:space="preserve"> 2017.</w:t>
      </w: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t xml:space="preserve">ANEEL. </w:t>
      </w:r>
      <w:r w:rsidRPr="00846F5D">
        <w:rPr>
          <w:b/>
          <w:sz w:val="20"/>
          <w:highlight w:val="white"/>
        </w:rPr>
        <w:t>Resolução Normativa nº 687, de 24 de Novembro de 2015</w:t>
      </w:r>
      <w:r w:rsidRPr="00846F5D">
        <w:rPr>
          <w:sz w:val="20"/>
          <w:highlight w:val="white"/>
        </w:rPr>
        <w:t>. 2015. Disponível em: &lt;</w:t>
      </w:r>
      <w:hyperlink r:id="rId15">
        <w:r w:rsidRPr="00846F5D">
          <w:rPr>
            <w:color w:val="1155CC"/>
            <w:sz w:val="20"/>
            <w:highlight w:val="white"/>
            <w:u w:val="single"/>
          </w:rPr>
          <w:t>http://www2.aneel.gov.br/cedoc/ren2015687.pdf</w:t>
        </w:r>
      </w:hyperlink>
      <w:r w:rsidRPr="00846F5D">
        <w:rPr>
          <w:sz w:val="20"/>
          <w:highlight w:val="white"/>
        </w:rPr>
        <w:t xml:space="preserve">&gt;. Acesso em </w:t>
      </w:r>
      <w:proofErr w:type="gramStart"/>
      <w:r w:rsidRPr="00846F5D">
        <w:rPr>
          <w:sz w:val="20"/>
          <w:highlight w:val="white"/>
        </w:rPr>
        <w:t xml:space="preserve">31 </w:t>
      </w:r>
      <w:proofErr w:type="spellStart"/>
      <w:r w:rsidRPr="00846F5D">
        <w:rPr>
          <w:sz w:val="20"/>
          <w:highlight w:val="white"/>
        </w:rPr>
        <w:t>ago</w:t>
      </w:r>
      <w:proofErr w:type="spellEnd"/>
      <w:proofErr w:type="gramEnd"/>
      <w:r w:rsidRPr="00846F5D">
        <w:rPr>
          <w:sz w:val="20"/>
          <w:highlight w:val="white"/>
        </w:rPr>
        <w:t xml:space="preserve"> 2017.</w:t>
      </w:r>
    </w:p>
    <w:p w:rsidR="00846F5D" w:rsidRPr="00846F5D" w:rsidRDefault="00846F5D" w:rsidP="00846F5D">
      <w:pPr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t xml:space="preserve">ANEEL. </w:t>
      </w:r>
      <w:r w:rsidRPr="00846F5D">
        <w:rPr>
          <w:b/>
          <w:sz w:val="20"/>
          <w:highlight w:val="white"/>
        </w:rPr>
        <w:t xml:space="preserve">Procedimentos de Distribuição de Energia Elétrica no Sistema Elétrico Nacional (PRODIST): </w:t>
      </w:r>
      <w:r w:rsidRPr="00846F5D">
        <w:rPr>
          <w:sz w:val="20"/>
          <w:highlight w:val="white"/>
        </w:rPr>
        <w:t>Módulo 1 - Introdução. 2016. Disponível em: &lt;</w:t>
      </w:r>
      <w:hyperlink r:id="rId16">
        <w:r w:rsidRPr="00846F5D">
          <w:rPr>
            <w:color w:val="1155CC"/>
            <w:sz w:val="20"/>
            <w:highlight w:val="white"/>
            <w:u w:val="single"/>
          </w:rPr>
          <w:t>http://www.aneel.gov.br/documents/656827/14866914/M%C3%B3dulo1_Revisao_9/1b78da82-6503-4965-abc1-a2266eb5f4d7</w:t>
        </w:r>
      </w:hyperlink>
      <w:r w:rsidRPr="00846F5D">
        <w:rPr>
          <w:sz w:val="20"/>
          <w:highlight w:val="white"/>
        </w:rPr>
        <w:t>&gt;. Acesso em 18 jul. 2017.</w:t>
      </w:r>
    </w:p>
    <w:p w:rsidR="00846F5D" w:rsidRPr="00846F5D" w:rsidRDefault="00846F5D" w:rsidP="00846F5D">
      <w:pPr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t xml:space="preserve">BONA, A.; </w:t>
      </w:r>
      <w:r w:rsidRPr="00846F5D">
        <w:rPr>
          <w:b/>
          <w:sz w:val="20"/>
          <w:highlight w:val="white"/>
        </w:rPr>
        <w:t>Conheça os métodos de análise de investimentos</w:t>
      </w:r>
      <w:r w:rsidRPr="00846F5D">
        <w:rPr>
          <w:sz w:val="20"/>
          <w:highlight w:val="white"/>
        </w:rPr>
        <w:t>. 2016. Disponível em: &lt;</w:t>
      </w:r>
      <w:hyperlink r:id="rId17">
        <w:r w:rsidRPr="00846F5D">
          <w:rPr>
            <w:color w:val="1155CC"/>
            <w:sz w:val="20"/>
            <w:highlight w:val="white"/>
            <w:u w:val="single"/>
          </w:rPr>
          <w:t>https://andrebona.com.br/analise-de-investimentos/</w:t>
        </w:r>
      </w:hyperlink>
      <w:r w:rsidRPr="00846F5D">
        <w:rPr>
          <w:sz w:val="20"/>
          <w:highlight w:val="white"/>
        </w:rPr>
        <w:t>&gt;. Acesso em 26 jul. 2017.</w:t>
      </w:r>
    </w:p>
    <w:p w:rsidR="00846F5D" w:rsidRPr="00846F5D" w:rsidRDefault="00846F5D" w:rsidP="00846F5D">
      <w:pPr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lastRenderedPageBreak/>
        <w:t xml:space="preserve">BONA, A.; </w:t>
      </w:r>
      <w:r w:rsidRPr="00846F5D">
        <w:rPr>
          <w:b/>
          <w:sz w:val="20"/>
          <w:highlight w:val="white"/>
        </w:rPr>
        <w:t>Como saber se o meu investimento está dando certo.</w:t>
      </w:r>
      <w:r w:rsidRPr="00846F5D">
        <w:rPr>
          <w:sz w:val="20"/>
          <w:highlight w:val="white"/>
        </w:rPr>
        <w:t xml:space="preserve"> 2016. Disponível em: &lt;</w:t>
      </w:r>
      <w:hyperlink r:id="rId18">
        <w:r w:rsidRPr="00846F5D">
          <w:rPr>
            <w:color w:val="1155CC"/>
            <w:sz w:val="20"/>
            <w:highlight w:val="white"/>
            <w:u w:val="single"/>
          </w:rPr>
          <w:t>https://andrebona.com.br/como-saber-se-o-meu-investimento-esta-dando-certo/</w:t>
        </w:r>
      </w:hyperlink>
      <w:r w:rsidRPr="00846F5D">
        <w:rPr>
          <w:sz w:val="20"/>
          <w:highlight w:val="white"/>
        </w:rPr>
        <w:t>&gt;. Acesso em 26 jul. 2017.</w:t>
      </w:r>
    </w:p>
    <w:p w:rsidR="00846F5D" w:rsidRPr="00846F5D" w:rsidRDefault="00846F5D" w:rsidP="00846F5D">
      <w:pPr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t xml:space="preserve">BORDEAUX-RÊGO, R.; PAULO, G. P.; SPRITZER, I. M. de P. A.; ZOTES, L. P.; </w:t>
      </w:r>
      <w:r w:rsidRPr="00846F5D">
        <w:rPr>
          <w:b/>
          <w:sz w:val="20"/>
          <w:highlight w:val="white"/>
        </w:rPr>
        <w:t>Viabilidade econômico-financeira de projetos</w:t>
      </w:r>
      <w:r w:rsidRPr="00846F5D">
        <w:rPr>
          <w:sz w:val="20"/>
          <w:highlight w:val="white"/>
        </w:rPr>
        <w:t xml:space="preserve">. Rio de Janeiro: Editora FGV, 2006. </w:t>
      </w:r>
    </w:p>
    <w:p w:rsidR="00846F5D" w:rsidRPr="00846F5D" w:rsidRDefault="00846F5D" w:rsidP="00846F5D">
      <w:pPr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t xml:space="preserve">CAVALCANTE, A. M.; </w:t>
      </w:r>
      <w:r w:rsidRPr="00846F5D">
        <w:rPr>
          <w:b/>
          <w:sz w:val="20"/>
          <w:highlight w:val="white"/>
        </w:rPr>
        <w:t xml:space="preserve">Análise de viabilidade técnica e econômica da implantação de uma subestação de 69 </w:t>
      </w:r>
      <w:proofErr w:type="gramStart"/>
      <w:r w:rsidRPr="00846F5D">
        <w:rPr>
          <w:b/>
          <w:sz w:val="20"/>
          <w:highlight w:val="white"/>
        </w:rPr>
        <w:t>kV</w:t>
      </w:r>
      <w:proofErr w:type="gramEnd"/>
      <w:r w:rsidRPr="00846F5D">
        <w:rPr>
          <w:b/>
          <w:sz w:val="20"/>
          <w:highlight w:val="white"/>
        </w:rPr>
        <w:t xml:space="preserve"> para um cliente previamente atendido em 13,8 kV. </w:t>
      </w:r>
      <w:r w:rsidRPr="00846F5D">
        <w:rPr>
          <w:sz w:val="20"/>
          <w:highlight w:val="white"/>
        </w:rPr>
        <w:t>113 p. Trabalho de Conclusão de Curso - Engenharia Elétrica, Universidade Federal do Vale do São Francisco, 2017.</w:t>
      </w: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t xml:space="preserve">DASSI, J. A.; ZANIN, A.; BAGATINI, F. M.; TIBOLA, A.; BARICHELLO, R.; MOURA, G. D.D.; </w:t>
      </w:r>
      <w:r w:rsidRPr="00846F5D">
        <w:rPr>
          <w:b/>
          <w:sz w:val="20"/>
          <w:highlight w:val="white"/>
        </w:rPr>
        <w:t xml:space="preserve">Análise da viabilidade econômico-financeira da energia solar fotovoltaica em uma Instituição de Ensino Superior do Sul do Brasil. </w:t>
      </w:r>
      <w:r w:rsidRPr="00846F5D">
        <w:rPr>
          <w:sz w:val="20"/>
          <w:highlight w:val="white"/>
        </w:rPr>
        <w:t>Em: Congresso Brasileiro de custos, XXII, Foz do Iguaçu, PR, 2015. 16 p.</w:t>
      </w: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t xml:space="preserve">KAUARK, F.; MANHÃES, F. C.; MEDEIROS, C. H.; </w:t>
      </w:r>
      <w:r w:rsidRPr="00846F5D">
        <w:rPr>
          <w:b/>
          <w:sz w:val="20"/>
          <w:highlight w:val="white"/>
        </w:rPr>
        <w:t>Metodologia da Pesquisa</w:t>
      </w:r>
      <w:r w:rsidRPr="00846F5D">
        <w:rPr>
          <w:sz w:val="20"/>
          <w:highlight w:val="white"/>
        </w:rPr>
        <w:t xml:space="preserve">: Um guia prático. Itabuna: Via </w:t>
      </w:r>
      <w:proofErr w:type="spellStart"/>
      <w:r w:rsidRPr="00846F5D">
        <w:rPr>
          <w:sz w:val="20"/>
          <w:highlight w:val="white"/>
        </w:rPr>
        <w:t>Litterarum</w:t>
      </w:r>
      <w:proofErr w:type="spellEnd"/>
      <w:r w:rsidRPr="00846F5D">
        <w:rPr>
          <w:sz w:val="20"/>
          <w:highlight w:val="white"/>
        </w:rPr>
        <w:t>, 2010.</w:t>
      </w: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t xml:space="preserve">MESQUITA, R.; </w:t>
      </w:r>
      <w:proofErr w:type="spellStart"/>
      <w:r w:rsidRPr="00846F5D">
        <w:rPr>
          <w:b/>
          <w:sz w:val="20"/>
          <w:highlight w:val="white"/>
        </w:rPr>
        <w:t>Payback</w:t>
      </w:r>
      <w:proofErr w:type="spellEnd"/>
      <w:r w:rsidRPr="00846F5D">
        <w:rPr>
          <w:b/>
          <w:sz w:val="20"/>
          <w:highlight w:val="white"/>
        </w:rPr>
        <w:t xml:space="preserve">: </w:t>
      </w:r>
      <w:r w:rsidRPr="00846F5D">
        <w:rPr>
          <w:sz w:val="20"/>
          <w:highlight w:val="white"/>
        </w:rPr>
        <w:t>O que é e como calcular o da sua empresa. Disponível em:&lt;</w:t>
      </w:r>
      <w:hyperlink r:id="rId19">
        <w:r w:rsidRPr="00846F5D">
          <w:rPr>
            <w:color w:val="1155CC"/>
            <w:sz w:val="20"/>
            <w:highlight w:val="white"/>
            <w:u w:val="single"/>
          </w:rPr>
          <w:t>http://saiadolugar.com.br/payback/</w:t>
        </w:r>
      </w:hyperlink>
      <w:r w:rsidRPr="00846F5D">
        <w:rPr>
          <w:sz w:val="20"/>
          <w:highlight w:val="white"/>
        </w:rPr>
        <w:t xml:space="preserve">&gt;. Acesso em 26 jul. 2017. </w:t>
      </w: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t xml:space="preserve">NAKABAYASHI, R.; </w:t>
      </w:r>
      <w:proofErr w:type="spellStart"/>
      <w:r w:rsidRPr="00846F5D">
        <w:rPr>
          <w:b/>
          <w:sz w:val="20"/>
          <w:highlight w:val="white"/>
        </w:rPr>
        <w:t>Microgeração</w:t>
      </w:r>
      <w:proofErr w:type="spellEnd"/>
      <w:r w:rsidRPr="00846F5D">
        <w:rPr>
          <w:b/>
          <w:sz w:val="20"/>
          <w:highlight w:val="white"/>
        </w:rPr>
        <w:t xml:space="preserve"> fotovoltaica no Brasil</w:t>
      </w:r>
      <w:r w:rsidRPr="00846F5D">
        <w:rPr>
          <w:sz w:val="20"/>
          <w:highlight w:val="white"/>
        </w:rPr>
        <w:t>: Viabilidade econômica. 2015. 107 p. Dissertação (Mestrado em Ciências) - Instituto de Energia e Ambiente. Universidade de São Paulo, São Paulo. 2015</w:t>
      </w:r>
    </w:p>
    <w:p w:rsidR="00846F5D" w:rsidRPr="00846F5D" w:rsidRDefault="00846F5D" w:rsidP="00846F5D">
      <w:pPr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t>PILÃO, N. E</w:t>
      </w:r>
      <w:proofErr w:type="gramStart"/>
      <w:r w:rsidRPr="00846F5D">
        <w:rPr>
          <w:sz w:val="20"/>
          <w:highlight w:val="white"/>
        </w:rPr>
        <w:t>.;</w:t>
      </w:r>
      <w:proofErr w:type="gramEnd"/>
      <w:r w:rsidRPr="00846F5D">
        <w:rPr>
          <w:sz w:val="20"/>
          <w:highlight w:val="white"/>
        </w:rPr>
        <w:t xml:space="preserve"> HUMMEL, P. R. V.; </w:t>
      </w:r>
      <w:r w:rsidRPr="00846F5D">
        <w:rPr>
          <w:b/>
          <w:sz w:val="20"/>
          <w:highlight w:val="white"/>
        </w:rPr>
        <w:t>Matemática financeira e engenharia econômica</w:t>
      </w:r>
      <w:r w:rsidRPr="00846F5D">
        <w:rPr>
          <w:sz w:val="20"/>
          <w:highlight w:val="white"/>
        </w:rPr>
        <w:t>: a teoria e a prática da análise de projetos de investimento. São Paulo: Pioneira Thomson Learning, 2004.</w:t>
      </w:r>
    </w:p>
    <w:p w:rsidR="00846F5D" w:rsidRPr="00846F5D" w:rsidRDefault="00846F5D" w:rsidP="00846F5D">
      <w:pPr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t xml:space="preserve">PORTAL SOLAR. </w:t>
      </w:r>
      <w:r w:rsidRPr="00846F5D">
        <w:rPr>
          <w:b/>
          <w:sz w:val="20"/>
          <w:highlight w:val="white"/>
        </w:rPr>
        <w:t xml:space="preserve">Escolhendo o Painel Fotovoltaico - 10 Coisas Para Saber. </w:t>
      </w:r>
      <w:r w:rsidRPr="00846F5D">
        <w:rPr>
          <w:sz w:val="20"/>
          <w:highlight w:val="white"/>
        </w:rPr>
        <w:t xml:space="preserve"> 2014. Disponível em: &lt;</w:t>
      </w:r>
      <w:hyperlink r:id="rId20">
        <w:r w:rsidRPr="00846F5D">
          <w:rPr>
            <w:color w:val="1155CC"/>
            <w:sz w:val="20"/>
            <w:highlight w:val="white"/>
            <w:u w:val="single"/>
          </w:rPr>
          <w:t>http://www.portalsolar.com.br/escolhendo-o-painel-fotovoltaico--10-coisas-para-saber.htm</w:t>
        </w:r>
      </w:hyperlink>
      <w:r w:rsidRPr="00846F5D">
        <w:rPr>
          <w:sz w:val="20"/>
          <w:highlight w:val="white"/>
        </w:rPr>
        <w:t>&gt;. Acesso em 16 jul. 2017.</w:t>
      </w:r>
    </w:p>
    <w:p w:rsidR="00846F5D" w:rsidRPr="00846F5D" w:rsidRDefault="00846F5D" w:rsidP="00846F5D">
      <w:pPr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t xml:space="preserve">PORTAL SOLAR. </w:t>
      </w:r>
      <w:r w:rsidRPr="00846F5D">
        <w:rPr>
          <w:b/>
          <w:sz w:val="20"/>
          <w:highlight w:val="white"/>
        </w:rPr>
        <w:t>Placa Solar Preço</w:t>
      </w:r>
      <w:r w:rsidRPr="00846F5D">
        <w:rPr>
          <w:sz w:val="20"/>
          <w:highlight w:val="white"/>
        </w:rPr>
        <w:t>. 2015. Disponível em: &lt;</w:t>
      </w:r>
      <w:hyperlink r:id="rId21">
        <w:r w:rsidRPr="00846F5D">
          <w:rPr>
            <w:color w:val="1155CC"/>
            <w:sz w:val="20"/>
            <w:highlight w:val="white"/>
            <w:u w:val="single"/>
          </w:rPr>
          <w:t>http://www.portalsolar.com.br/placa-solar-preco.html</w:t>
        </w:r>
      </w:hyperlink>
      <w:r w:rsidRPr="00846F5D">
        <w:rPr>
          <w:sz w:val="20"/>
          <w:highlight w:val="white"/>
        </w:rPr>
        <w:t>&gt;. Acesso em 16 jul. 2017.</w:t>
      </w: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t xml:space="preserve">PUCCINI, E. C.; </w:t>
      </w:r>
      <w:r w:rsidRPr="00846F5D">
        <w:rPr>
          <w:b/>
          <w:sz w:val="20"/>
          <w:highlight w:val="white"/>
        </w:rPr>
        <w:t>Matemática Financeira e Análise de Investimentos,</w:t>
      </w:r>
      <w:r w:rsidRPr="00846F5D">
        <w:rPr>
          <w:sz w:val="20"/>
          <w:highlight w:val="white"/>
        </w:rPr>
        <w:t xml:space="preserve"> Departamento de Ciências da Administração. Universidade Federal de Santa Catarina,</w:t>
      </w:r>
      <w:proofErr w:type="gramStart"/>
      <w:r w:rsidRPr="00846F5D">
        <w:rPr>
          <w:sz w:val="20"/>
          <w:highlight w:val="white"/>
        </w:rPr>
        <w:t xml:space="preserve">  </w:t>
      </w:r>
      <w:proofErr w:type="gramEnd"/>
      <w:r w:rsidRPr="00846F5D">
        <w:rPr>
          <w:sz w:val="20"/>
          <w:highlight w:val="white"/>
        </w:rPr>
        <w:t>Florianópolis. CAPES: UAB, 2011. 204 p.</w:t>
      </w: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t xml:space="preserve">REIS, V. V; VALVERDE, A. R.; MENDONÇA, R. </w:t>
      </w:r>
      <w:proofErr w:type="gramStart"/>
      <w:r w:rsidRPr="00846F5D">
        <w:rPr>
          <w:sz w:val="20"/>
          <w:highlight w:val="white"/>
        </w:rPr>
        <w:t>R.</w:t>
      </w:r>
      <w:proofErr w:type="gramEnd"/>
      <w:r w:rsidRPr="00846F5D">
        <w:rPr>
          <w:sz w:val="20"/>
          <w:highlight w:val="white"/>
        </w:rPr>
        <w:t xml:space="preserve"> de; </w:t>
      </w:r>
      <w:r w:rsidRPr="00846F5D">
        <w:rPr>
          <w:b/>
          <w:sz w:val="20"/>
          <w:highlight w:val="white"/>
        </w:rPr>
        <w:t xml:space="preserve">Viabilidade econômica de um projeto de </w:t>
      </w:r>
      <w:proofErr w:type="spellStart"/>
      <w:r w:rsidRPr="00846F5D">
        <w:rPr>
          <w:b/>
          <w:sz w:val="20"/>
          <w:highlight w:val="white"/>
        </w:rPr>
        <w:t>microgeração</w:t>
      </w:r>
      <w:proofErr w:type="spellEnd"/>
      <w:r w:rsidRPr="00846F5D">
        <w:rPr>
          <w:b/>
          <w:sz w:val="20"/>
          <w:highlight w:val="white"/>
        </w:rPr>
        <w:t xml:space="preserve"> fotovoltaica residencial no ambiente de compensação de energia elétrica</w:t>
      </w:r>
      <w:r w:rsidRPr="00846F5D">
        <w:rPr>
          <w:sz w:val="20"/>
          <w:highlight w:val="white"/>
        </w:rPr>
        <w:t xml:space="preserve">. In: Congresso Virtual Brasileiro de Administração. XII. 2015. </w:t>
      </w: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lastRenderedPageBreak/>
        <w:t>SANTOS, F. A.; SOUZA, C.A.; DALFIOR, V. A. O</w:t>
      </w:r>
      <w:proofErr w:type="gramStart"/>
      <w:r w:rsidRPr="00846F5D">
        <w:rPr>
          <w:sz w:val="20"/>
          <w:highlight w:val="white"/>
        </w:rPr>
        <w:t>.;</w:t>
      </w:r>
      <w:proofErr w:type="gramEnd"/>
      <w:r w:rsidRPr="00846F5D">
        <w:rPr>
          <w:sz w:val="20"/>
          <w:highlight w:val="white"/>
        </w:rPr>
        <w:t xml:space="preserve"> </w:t>
      </w:r>
      <w:r w:rsidRPr="00846F5D">
        <w:rPr>
          <w:b/>
          <w:sz w:val="20"/>
          <w:highlight w:val="white"/>
        </w:rPr>
        <w:t xml:space="preserve">ENERGIA SOLAR:  </w:t>
      </w:r>
      <w:r w:rsidRPr="00846F5D">
        <w:rPr>
          <w:sz w:val="20"/>
          <w:highlight w:val="white"/>
        </w:rPr>
        <w:t>um estudo sobre a viabilidade econômica de instalação do sistema fotovoltaico em uma residência em Ipatinga-MG. Em: Simpósio de excelência em Gestão e Tecnologia, XIII, Rio de Janeiro, RJ, 2016. 14 p.</w:t>
      </w: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</w:p>
    <w:p w:rsidR="00846F5D" w:rsidRPr="00846F5D" w:rsidRDefault="00846F5D" w:rsidP="00846F5D">
      <w:pPr>
        <w:spacing w:line="240" w:lineRule="auto"/>
        <w:rPr>
          <w:sz w:val="20"/>
          <w:highlight w:val="white"/>
        </w:rPr>
      </w:pPr>
      <w:r w:rsidRPr="00846F5D">
        <w:rPr>
          <w:sz w:val="20"/>
          <w:highlight w:val="white"/>
        </w:rPr>
        <w:t>WARREN, C. S.; REEVE, J. M.; FESS, P. E</w:t>
      </w:r>
      <w:proofErr w:type="gramStart"/>
      <w:r w:rsidRPr="00846F5D">
        <w:rPr>
          <w:sz w:val="20"/>
          <w:highlight w:val="white"/>
        </w:rPr>
        <w:t>.;</w:t>
      </w:r>
      <w:proofErr w:type="gramEnd"/>
      <w:r w:rsidRPr="00846F5D">
        <w:rPr>
          <w:sz w:val="20"/>
          <w:highlight w:val="white"/>
        </w:rPr>
        <w:t xml:space="preserve"> </w:t>
      </w:r>
      <w:r w:rsidRPr="00846F5D">
        <w:rPr>
          <w:b/>
          <w:sz w:val="20"/>
          <w:highlight w:val="white"/>
        </w:rPr>
        <w:t xml:space="preserve">Contabilidade Gerencial. </w:t>
      </w:r>
      <w:r w:rsidRPr="00846F5D">
        <w:rPr>
          <w:sz w:val="20"/>
          <w:highlight w:val="white"/>
        </w:rPr>
        <w:t>São Paulo: Pioneira Thomson Learning, 2001.</w:t>
      </w:r>
    </w:p>
    <w:p w:rsidR="00612DEA" w:rsidRPr="00144CF8" w:rsidRDefault="00612DEA" w:rsidP="00846F5D">
      <w:pPr>
        <w:tabs>
          <w:tab w:val="left" w:pos="2070"/>
        </w:tabs>
        <w:rPr>
          <w:rFonts w:cs="Times New Roman"/>
          <w:szCs w:val="24"/>
        </w:rPr>
      </w:pPr>
    </w:p>
    <w:sectPr w:rsidR="00612DEA" w:rsidRPr="00144CF8" w:rsidSect="00800B44">
      <w:headerReference w:type="default" r:id="rId22"/>
      <w:footerReference w:type="even" r:id="rId23"/>
      <w:footerReference w:type="default" r:id="rId24"/>
      <w:pgSz w:w="11906" w:h="16838" w:code="9"/>
      <w:pgMar w:top="680" w:right="1418" w:bottom="680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04" w:rsidRDefault="00BC3104">
      <w:pPr>
        <w:spacing w:after="0" w:line="240" w:lineRule="auto"/>
      </w:pPr>
      <w:r>
        <w:separator/>
      </w:r>
    </w:p>
  </w:endnote>
  <w:endnote w:type="continuationSeparator" w:id="0">
    <w:p w:rsidR="00BC3104" w:rsidRDefault="00BC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Cn BT">
    <w:altName w:val="Arial Narrow"/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75" w:rsidRDefault="000E3D75" w:rsidP="005B34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3D75" w:rsidRDefault="000E3D75" w:rsidP="004217B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75" w:rsidRPr="008157FB" w:rsidRDefault="000E3D75" w:rsidP="005B3461">
    <w:pPr>
      <w:pStyle w:val="Rodap"/>
      <w:tabs>
        <w:tab w:val="right" w:pos="9071"/>
        <w:tab w:val="right" w:pos="9120"/>
        <w:tab w:val="left" w:pos="9204"/>
      </w:tabs>
      <w:ind w:right="360"/>
      <w:rPr>
        <w:rFonts w:ascii="Arial" w:hAnsi="Arial" w:cs="Arial"/>
        <w:b/>
        <w:color w:val="333333"/>
        <w:sz w:val="22"/>
        <w:szCs w:val="22"/>
      </w:rPr>
    </w:pPr>
  </w:p>
  <w:p w:rsidR="000E3D75" w:rsidRPr="005B3461" w:rsidRDefault="000E3D75" w:rsidP="005B34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04" w:rsidRDefault="00BC3104">
      <w:pPr>
        <w:spacing w:after="0" w:line="240" w:lineRule="auto"/>
      </w:pPr>
      <w:r>
        <w:separator/>
      </w:r>
    </w:p>
  </w:footnote>
  <w:footnote w:type="continuationSeparator" w:id="0">
    <w:p w:rsidR="00BC3104" w:rsidRDefault="00BC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D75" w:rsidRPr="004513FF" w:rsidRDefault="000E3D75" w:rsidP="003C0B49">
    <w:pPr>
      <w:jc w:val="right"/>
      <w:rPr>
        <w:rFonts w:ascii="Swis721 Cn BT" w:hAnsi="Swis721 Cn BT"/>
        <w:sz w:val="20"/>
      </w:rPr>
    </w:pPr>
    <w:r>
      <w:rPr>
        <w:noProof/>
        <w:sz w:val="14"/>
        <w:szCs w:val="1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-431800</wp:posOffset>
          </wp:positionV>
          <wp:extent cx="7743825" cy="2011680"/>
          <wp:effectExtent l="0" t="0" r="9525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-br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01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5221">
      <w:rPr>
        <w:rFonts w:ascii="Swis721 Cn BT" w:hAnsi="Swis721 Cn BT"/>
        <w:sz w:val="18"/>
        <w:szCs w:val="18"/>
      </w:rPr>
      <w:br/>
    </w:r>
  </w:p>
  <w:p w:rsidR="000E3D75" w:rsidRPr="00C35221" w:rsidRDefault="000E3D75" w:rsidP="00E75EB3">
    <w:pPr>
      <w:jc w:val="right"/>
      <w:rPr>
        <w:sz w:val="14"/>
        <w:szCs w:val="14"/>
      </w:rPr>
    </w:pPr>
  </w:p>
  <w:p w:rsidR="000E3D75" w:rsidRPr="00EB2059" w:rsidRDefault="000E3D75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0E3D75" w:rsidRDefault="000E3D75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0E3D75" w:rsidRPr="005B3461" w:rsidRDefault="000E3D75" w:rsidP="005B34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189"/>
    <w:multiLevelType w:val="hybridMultilevel"/>
    <w:tmpl w:val="C2C6BE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AU" w:vendorID="64" w:dllVersion="131078" w:nlCheck="1" w:checkStyle="1"/>
  <w:activeWritingStyle w:appName="MSWord" w:lang="pt-BR" w:vendorID="64" w:dllVersion="0" w:nlCheck="1" w:checkStyle="0"/>
  <w:activeWritingStyle w:appName="MSWord" w:lang="en-US" w:vendorID="64" w:dllVersion="131078" w:nlCheck="1" w:checkStyle="1"/>
  <w:proofState w:spelling="clean" w:grammar="clean"/>
  <w:documentProtection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E2"/>
    <w:rsid w:val="00000CC6"/>
    <w:rsid w:val="00005C91"/>
    <w:rsid w:val="00017F84"/>
    <w:rsid w:val="000271BB"/>
    <w:rsid w:val="00027E8F"/>
    <w:rsid w:val="000307BA"/>
    <w:rsid w:val="00050E48"/>
    <w:rsid w:val="00061DCC"/>
    <w:rsid w:val="00066DBC"/>
    <w:rsid w:val="00082187"/>
    <w:rsid w:val="00091D53"/>
    <w:rsid w:val="000B417B"/>
    <w:rsid w:val="000C61AB"/>
    <w:rsid w:val="000D111A"/>
    <w:rsid w:val="000D6016"/>
    <w:rsid w:val="000E00A8"/>
    <w:rsid w:val="000E0D27"/>
    <w:rsid w:val="000E3D75"/>
    <w:rsid w:val="000E79B9"/>
    <w:rsid w:val="000E7EB2"/>
    <w:rsid w:val="00106848"/>
    <w:rsid w:val="00106E54"/>
    <w:rsid w:val="001148A8"/>
    <w:rsid w:val="0011518A"/>
    <w:rsid w:val="001277C2"/>
    <w:rsid w:val="0013224E"/>
    <w:rsid w:val="0013561C"/>
    <w:rsid w:val="00141B94"/>
    <w:rsid w:val="00142D82"/>
    <w:rsid w:val="00144CF8"/>
    <w:rsid w:val="00146865"/>
    <w:rsid w:val="001532FA"/>
    <w:rsid w:val="00166ABF"/>
    <w:rsid w:val="00184763"/>
    <w:rsid w:val="00184BEA"/>
    <w:rsid w:val="00194BD9"/>
    <w:rsid w:val="001A0309"/>
    <w:rsid w:val="001A0FD7"/>
    <w:rsid w:val="001A3650"/>
    <w:rsid w:val="001A38A1"/>
    <w:rsid w:val="001A546C"/>
    <w:rsid w:val="001B2E8C"/>
    <w:rsid w:val="001B6AEA"/>
    <w:rsid w:val="001C6937"/>
    <w:rsid w:val="001E4599"/>
    <w:rsid w:val="001F358D"/>
    <w:rsid w:val="001F5FCE"/>
    <w:rsid w:val="002006B1"/>
    <w:rsid w:val="00205A66"/>
    <w:rsid w:val="00213A24"/>
    <w:rsid w:val="00231FAA"/>
    <w:rsid w:val="00232168"/>
    <w:rsid w:val="002326A8"/>
    <w:rsid w:val="002362B0"/>
    <w:rsid w:val="00244A8B"/>
    <w:rsid w:val="00251C74"/>
    <w:rsid w:val="002639A2"/>
    <w:rsid w:val="00272A92"/>
    <w:rsid w:val="002832B3"/>
    <w:rsid w:val="00286D65"/>
    <w:rsid w:val="00287BA6"/>
    <w:rsid w:val="00287F4A"/>
    <w:rsid w:val="002946B3"/>
    <w:rsid w:val="002950F1"/>
    <w:rsid w:val="0029672C"/>
    <w:rsid w:val="002C24C8"/>
    <w:rsid w:val="002C25AC"/>
    <w:rsid w:val="002D4C0F"/>
    <w:rsid w:val="002D6D13"/>
    <w:rsid w:val="002E27FD"/>
    <w:rsid w:val="002E3645"/>
    <w:rsid w:val="002E51BD"/>
    <w:rsid w:val="002E76FD"/>
    <w:rsid w:val="002F1D5C"/>
    <w:rsid w:val="002F631A"/>
    <w:rsid w:val="00311B2E"/>
    <w:rsid w:val="00320ED9"/>
    <w:rsid w:val="00330B04"/>
    <w:rsid w:val="00332CC6"/>
    <w:rsid w:val="00334A54"/>
    <w:rsid w:val="0034061B"/>
    <w:rsid w:val="0034783A"/>
    <w:rsid w:val="003741F3"/>
    <w:rsid w:val="00387D54"/>
    <w:rsid w:val="003A3408"/>
    <w:rsid w:val="003C0B49"/>
    <w:rsid w:val="003C4480"/>
    <w:rsid w:val="003C7A61"/>
    <w:rsid w:val="003D0305"/>
    <w:rsid w:val="003D4584"/>
    <w:rsid w:val="003D6393"/>
    <w:rsid w:val="003D6D34"/>
    <w:rsid w:val="003E4A9F"/>
    <w:rsid w:val="003E4E91"/>
    <w:rsid w:val="003F6615"/>
    <w:rsid w:val="0040424A"/>
    <w:rsid w:val="00406D36"/>
    <w:rsid w:val="004217BE"/>
    <w:rsid w:val="0043080E"/>
    <w:rsid w:val="00431210"/>
    <w:rsid w:val="00435862"/>
    <w:rsid w:val="004403A0"/>
    <w:rsid w:val="00453A4D"/>
    <w:rsid w:val="00454AC9"/>
    <w:rsid w:val="00455359"/>
    <w:rsid w:val="0045627D"/>
    <w:rsid w:val="004602DD"/>
    <w:rsid w:val="004613D4"/>
    <w:rsid w:val="00462F31"/>
    <w:rsid w:val="00464010"/>
    <w:rsid w:val="004645AB"/>
    <w:rsid w:val="00464E59"/>
    <w:rsid w:val="00466238"/>
    <w:rsid w:val="00481B48"/>
    <w:rsid w:val="00485205"/>
    <w:rsid w:val="004903D4"/>
    <w:rsid w:val="004A4C16"/>
    <w:rsid w:val="004A5F7F"/>
    <w:rsid w:val="004B684D"/>
    <w:rsid w:val="004C145E"/>
    <w:rsid w:val="004D0374"/>
    <w:rsid w:val="004D04E2"/>
    <w:rsid w:val="004D0FC4"/>
    <w:rsid w:val="004D420E"/>
    <w:rsid w:val="004F26A9"/>
    <w:rsid w:val="004F6D85"/>
    <w:rsid w:val="005050A4"/>
    <w:rsid w:val="0050779E"/>
    <w:rsid w:val="00511DBF"/>
    <w:rsid w:val="00520F36"/>
    <w:rsid w:val="0052213B"/>
    <w:rsid w:val="00531183"/>
    <w:rsid w:val="00536F33"/>
    <w:rsid w:val="00555536"/>
    <w:rsid w:val="00570741"/>
    <w:rsid w:val="00576518"/>
    <w:rsid w:val="00583510"/>
    <w:rsid w:val="00586EAF"/>
    <w:rsid w:val="00590F3B"/>
    <w:rsid w:val="00592BFA"/>
    <w:rsid w:val="005942B2"/>
    <w:rsid w:val="00594B70"/>
    <w:rsid w:val="005A62E0"/>
    <w:rsid w:val="005A66A0"/>
    <w:rsid w:val="005B3461"/>
    <w:rsid w:val="005B51B4"/>
    <w:rsid w:val="005B62F9"/>
    <w:rsid w:val="005C0ACC"/>
    <w:rsid w:val="005C2991"/>
    <w:rsid w:val="005C5D56"/>
    <w:rsid w:val="005D02BF"/>
    <w:rsid w:val="005F3BDF"/>
    <w:rsid w:val="005F728F"/>
    <w:rsid w:val="0060040A"/>
    <w:rsid w:val="00604A58"/>
    <w:rsid w:val="00612DEA"/>
    <w:rsid w:val="00623345"/>
    <w:rsid w:val="00623A6D"/>
    <w:rsid w:val="00633FA9"/>
    <w:rsid w:val="00652221"/>
    <w:rsid w:val="00652F59"/>
    <w:rsid w:val="00665550"/>
    <w:rsid w:val="006771DC"/>
    <w:rsid w:val="006779E0"/>
    <w:rsid w:val="00682F4F"/>
    <w:rsid w:val="00684C11"/>
    <w:rsid w:val="00694743"/>
    <w:rsid w:val="006B1801"/>
    <w:rsid w:val="006B256B"/>
    <w:rsid w:val="006B35F4"/>
    <w:rsid w:val="006B583F"/>
    <w:rsid w:val="006B5D09"/>
    <w:rsid w:val="006B61E1"/>
    <w:rsid w:val="006C0B4E"/>
    <w:rsid w:val="006D3FBA"/>
    <w:rsid w:val="006D4D67"/>
    <w:rsid w:val="006D68D7"/>
    <w:rsid w:val="006D6CD0"/>
    <w:rsid w:val="0070158A"/>
    <w:rsid w:val="00704FB5"/>
    <w:rsid w:val="00716F3A"/>
    <w:rsid w:val="007239EA"/>
    <w:rsid w:val="00733CB2"/>
    <w:rsid w:val="00743A6C"/>
    <w:rsid w:val="0075590D"/>
    <w:rsid w:val="007709EA"/>
    <w:rsid w:val="0077453A"/>
    <w:rsid w:val="00775F8B"/>
    <w:rsid w:val="007870D8"/>
    <w:rsid w:val="007964D8"/>
    <w:rsid w:val="007A0B8F"/>
    <w:rsid w:val="007A0EAF"/>
    <w:rsid w:val="007A3083"/>
    <w:rsid w:val="007B2113"/>
    <w:rsid w:val="007E5663"/>
    <w:rsid w:val="007E5F96"/>
    <w:rsid w:val="007F0B33"/>
    <w:rsid w:val="007F4C16"/>
    <w:rsid w:val="00800B44"/>
    <w:rsid w:val="008330ED"/>
    <w:rsid w:val="00842E34"/>
    <w:rsid w:val="00846F5D"/>
    <w:rsid w:val="0085415D"/>
    <w:rsid w:val="00856163"/>
    <w:rsid w:val="00860A58"/>
    <w:rsid w:val="00870416"/>
    <w:rsid w:val="0089002A"/>
    <w:rsid w:val="008A52FC"/>
    <w:rsid w:val="008B5276"/>
    <w:rsid w:val="008C0EAA"/>
    <w:rsid w:val="008C21C3"/>
    <w:rsid w:val="008C2503"/>
    <w:rsid w:val="008C548B"/>
    <w:rsid w:val="008C63BB"/>
    <w:rsid w:val="008D1B83"/>
    <w:rsid w:val="008E000E"/>
    <w:rsid w:val="008F6E5B"/>
    <w:rsid w:val="00930750"/>
    <w:rsid w:val="009318DB"/>
    <w:rsid w:val="0093258B"/>
    <w:rsid w:val="00944B44"/>
    <w:rsid w:val="00951654"/>
    <w:rsid w:val="00951AC8"/>
    <w:rsid w:val="00960C72"/>
    <w:rsid w:val="00965B17"/>
    <w:rsid w:val="00980F5A"/>
    <w:rsid w:val="0098322B"/>
    <w:rsid w:val="009928B0"/>
    <w:rsid w:val="009928B3"/>
    <w:rsid w:val="00993AD5"/>
    <w:rsid w:val="009A0882"/>
    <w:rsid w:val="009B188A"/>
    <w:rsid w:val="009B27A5"/>
    <w:rsid w:val="009C5479"/>
    <w:rsid w:val="009C6FEC"/>
    <w:rsid w:val="009D0C0B"/>
    <w:rsid w:val="009D1673"/>
    <w:rsid w:val="009D1B6F"/>
    <w:rsid w:val="009E3AC4"/>
    <w:rsid w:val="009E5401"/>
    <w:rsid w:val="009F02D0"/>
    <w:rsid w:val="00A14915"/>
    <w:rsid w:val="00A15354"/>
    <w:rsid w:val="00A24AC1"/>
    <w:rsid w:val="00A269D1"/>
    <w:rsid w:val="00A26A86"/>
    <w:rsid w:val="00A316FC"/>
    <w:rsid w:val="00A33852"/>
    <w:rsid w:val="00A36377"/>
    <w:rsid w:val="00A36C26"/>
    <w:rsid w:val="00A43DFB"/>
    <w:rsid w:val="00A539CF"/>
    <w:rsid w:val="00A6161D"/>
    <w:rsid w:val="00A66C8B"/>
    <w:rsid w:val="00A724C8"/>
    <w:rsid w:val="00A82B03"/>
    <w:rsid w:val="00A8585E"/>
    <w:rsid w:val="00A91124"/>
    <w:rsid w:val="00AA75C5"/>
    <w:rsid w:val="00AB7772"/>
    <w:rsid w:val="00AC4C47"/>
    <w:rsid w:val="00AD18D8"/>
    <w:rsid w:val="00AD4D66"/>
    <w:rsid w:val="00AE54E6"/>
    <w:rsid w:val="00AE5B08"/>
    <w:rsid w:val="00AF0FFA"/>
    <w:rsid w:val="00B12D05"/>
    <w:rsid w:val="00B133DF"/>
    <w:rsid w:val="00B200EF"/>
    <w:rsid w:val="00B204EB"/>
    <w:rsid w:val="00B23180"/>
    <w:rsid w:val="00B3368C"/>
    <w:rsid w:val="00B35265"/>
    <w:rsid w:val="00B46C71"/>
    <w:rsid w:val="00B50730"/>
    <w:rsid w:val="00B52FCC"/>
    <w:rsid w:val="00B56744"/>
    <w:rsid w:val="00B56BF0"/>
    <w:rsid w:val="00B73A0E"/>
    <w:rsid w:val="00B83A2B"/>
    <w:rsid w:val="00B83E19"/>
    <w:rsid w:val="00BA2BA6"/>
    <w:rsid w:val="00BA2F06"/>
    <w:rsid w:val="00BB1DD6"/>
    <w:rsid w:val="00BC2919"/>
    <w:rsid w:val="00BC3104"/>
    <w:rsid w:val="00BC37EA"/>
    <w:rsid w:val="00BC5764"/>
    <w:rsid w:val="00BC5AB8"/>
    <w:rsid w:val="00BC73A3"/>
    <w:rsid w:val="00BE66FE"/>
    <w:rsid w:val="00BF0BED"/>
    <w:rsid w:val="00BF67EA"/>
    <w:rsid w:val="00C01805"/>
    <w:rsid w:val="00C0322F"/>
    <w:rsid w:val="00C03E3D"/>
    <w:rsid w:val="00C17A3E"/>
    <w:rsid w:val="00C226FA"/>
    <w:rsid w:val="00C26290"/>
    <w:rsid w:val="00C324C1"/>
    <w:rsid w:val="00C34B5C"/>
    <w:rsid w:val="00C36177"/>
    <w:rsid w:val="00C4044E"/>
    <w:rsid w:val="00C4279F"/>
    <w:rsid w:val="00C512E2"/>
    <w:rsid w:val="00C547CA"/>
    <w:rsid w:val="00C57479"/>
    <w:rsid w:val="00CA512B"/>
    <w:rsid w:val="00CB4A2E"/>
    <w:rsid w:val="00CB539B"/>
    <w:rsid w:val="00CC1F94"/>
    <w:rsid w:val="00CC7870"/>
    <w:rsid w:val="00CE2ABD"/>
    <w:rsid w:val="00CF1542"/>
    <w:rsid w:val="00CF410B"/>
    <w:rsid w:val="00D05B5F"/>
    <w:rsid w:val="00D14D3C"/>
    <w:rsid w:val="00D200EE"/>
    <w:rsid w:val="00D25301"/>
    <w:rsid w:val="00D41575"/>
    <w:rsid w:val="00D45151"/>
    <w:rsid w:val="00D52F9C"/>
    <w:rsid w:val="00D534AD"/>
    <w:rsid w:val="00D56E18"/>
    <w:rsid w:val="00D57E9B"/>
    <w:rsid w:val="00D608FC"/>
    <w:rsid w:val="00D66E11"/>
    <w:rsid w:val="00D752FB"/>
    <w:rsid w:val="00D77F25"/>
    <w:rsid w:val="00D80047"/>
    <w:rsid w:val="00D826EE"/>
    <w:rsid w:val="00D8769E"/>
    <w:rsid w:val="00D90252"/>
    <w:rsid w:val="00D97598"/>
    <w:rsid w:val="00DA228F"/>
    <w:rsid w:val="00DA50D1"/>
    <w:rsid w:val="00DA5AA1"/>
    <w:rsid w:val="00DA75D5"/>
    <w:rsid w:val="00DB77E1"/>
    <w:rsid w:val="00DC06E1"/>
    <w:rsid w:val="00DD6CF5"/>
    <w:rsid w:val="00DE7D7F"/>
    <w:rsid w:val="00E013CD"/>
    <w:rsid w:val="00E12B8F"/>
    <w:rsid w:val="00E1310E"/>
    <w:rsid w:val="00E17044"/>
    <w:rsid w:val="00E2047A"/>
    <w:rsid w:val="00E35137"/>
    <w:rsid w:val="00E37C4D"/>
    <w:rsid w:val="00E50B57"/>
    <w:rsid w:val="00E608F0"/>
    <w:rsid w:val="00E6106F"/>
    <w:rsid w:val="00E74FC1"/>
    <w:rsid w:val="00E75EB3"/>
    <w:rsid w:val="00EA799C"/>
    <w:rsid w:val="00EB1794"/>
    <w:rsid w:val="00EB1B29"/>
    <w:rsid w:val="00EC4353"/>
    <w:rsid w:val="00EC7E7A"/>
    <w:rsid w:val="00ED120F"/>
    <w:rsid w:val="00ED48FE"/>
    <w:rsid w:val="00ED7F62"/>
    <w:rsid w:val="00EE1D8B"/>
    <w:rsid w:val="00EE4C83"/>
    <w:rsid w:val="00EE67B8"/>
    <w:rsid w:val="00EF3047"/>
    <w:rsid w:val="00EF3708"/>
    <w:rsid w:val="00F02119"/>
    <w:rsid w:val="00F0560C"/>
    <w:rsid w:val="00F06206"/>
    <w:rsid w:val="00F1001D"/>
    <w:rsid w:val="00F13285"/>
    <w:rsid w:val="00F24193"/>
    <w:rsid w:val="00F31122"/>
    <w:rsid w:val="00F32592"/>
    <w:rsid w:val="00F34985"/>
    <w:rsid w:val="00F40288"/>
    <w:rsid w:val="00F40483"/>
    <w:rsid w:val="00F62895"/>
    <w:rsid w:val="00F631D7"/>
    <w:rsid w:val="00F72948"/>
    <w:rsid w:val="00F91DAD"/>
    <w:rsid w:val="00F93AE8"/>
    <w:rsid w:val="00FA352B"/>
    <w:rsid w:val="00FB05D8"/>
    <w:rsid w:val="00FB5D98"/>
    <w:rsid w:val="00FC2C28"/>
    <w:rsid w:val="00FD1C91"/>
    <w:rsid w:val="00FF1A09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x-none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x-none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2.aneel.gov.br/cedoc/ren2010414.pdf" TargetMode="External"/><Relationship Id="rId18" Type="http://schemas.openxmlformats.org/officeDocument/2006/relationships/hyperlink" Target="https://andrebona.com.br/como-saber-se-o-meu-investimento-esta-dando-certo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portalsolar.com.br/placa-solar-preco.html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hyperlink" Target="https://andrebona.com.br/analise-de-investimento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neel.gov.br/documents/656827/14866914/M%C3%B3dulo1_Revisao_9/1b78da82-6503-4965-abc1-a2266eb5f4d7" TargetMode="External"/><Relationship Id="rId20" Type="http://schemas.openxmlformats.org/officeDocument/2006/relationships/hyperlink" Target="http://www.portalsolar.com.br/escolhendo-o-painel-fotovoltaico--10-coisas-para-saber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2.aneel.gov.br/cedoc/ren2015687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andrebona.com.br/como-saber-se-o-meu-investimento-esta-dando-certo/" TargetMode="External"/><Relationship Id="rId19" Type="http://schemas.openxmlformats.org/officeDocument/2006/relationships/hyperlink" Target="http://saiadolugar.com.br/payback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www2.aneel.gov.br/cedoc/ren2012482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AS\Documents\UNIVASF%20-%20EPROD\Fontes%20Alternativas%20de%20Energia%20-%202017.1\NT%20-%20PAYBACK%20E%20VP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AS\Desktop\NT%20-%20PAYBACK%20E%20VP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UCAS\Desktop\NT%20-%20PAYBACK%20E%20VP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525335710265676E-2"/>
          <c:y val="3.1962602307847615E-2"/>
          <c:w val="0.88915097430043122"/>
          <c:h val="0.7610877634378543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4.7536069825591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29426362663924E-3"/>
                  <c:y val="-3.135939368525679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029426362663924E-3"/>
                  <c:y val="9.90417617916103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7.859106369100312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Plan3!$B$7:$B$13</c:f>
              <c:strCache>
                <c:ptCount val="7"/>
                <c:pt idx="0">
                  <c:v>Usinas Hidrelétricas</c:v>
                </c:pt>
                <c:pt idx="1">
                  <c:v>Usinas Termelétricas</c:v>
                </c:pt>
                <c:pt idx="2">
                  <c:v>Pequena Central Hidrelétrica</c:v>
                </c:pt>
                <c:pt idx="3">
                  <c:v>Central Geradora Hidrelétrica</c:v>
                </c:pt>
                <c:pt idx="4">
                  <c:v>Usinas Nucleares</c:v>
                </c:pt>
                <c:pt idx="5">
                  <c:v>Usinas Eólicas</c:v>
                </c:pt>
                <c:pt idx="6">
                  <c:v>Solar</c:v>
                </c:pt>
              </c:strCache>
            </c:strRef>
          </c:cat>
          <c:val>
            <c:numRef>
              <c:f>Plan3!$I$7:$I$13</c:f>
              <c:numCache>
                <c:formatCode>#,##0.000</c:formatCode>
                <c:ptCount val="7"/>
                <c:pt idx="0">
                  <c:v>61.311319952836989</c:v>
                </c:pt>
                <c:pt idx="1">
                  <c:v>28.083339957973156</c:v>
                </c:pt>
                <c:pt idx="2">
                  <c:v>3.4506392543954156</c:v>
                </c:pt>
                <c:pt idx="3">
                  <c:v>0.28161473993446307</c:v>
                </c:pt>
                <c:pt idx="4">
                  <c:v>1.4186745491931709</c:v>
                </c:pt>
                <c:pt idx="5">
                  <c:v>5.4394406082130118</c:v>
                </c:pt>
                <c:pt idx="6">
                  <c:v>1.4970937453797281E-2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274621184"/>
        <c:axId val="274622720"/>
      </c:barChart>
      <c:catAx>
        <c:axId val="274621184"/>
        <c:scaling>
          <c:orientation val="minMax"/>
        </c:scaling>
        <c:delete val="0"/>
        <c:axPos val="b"/>
        <c:majorTickMark val="none"/>
        <c:minorTickMark val="none"/>
        <c:tickLblPos val="nextTo"/>
        <c:crossAx val="274622720"/>
        <c:crosses val="autoZero"/>
        <c:auto val="1"/>
        <c:lblAlgn val="ctr"/>
        <c:lblOffset val="100"/>
        <c:noMultiLvlLbl val="0"/>
      </c:catAx>
      <c:valAx>
        <c:axId val="274622720"/>
        <c:scaling>
          <c:orientation val="minMax"/>
        </c:scaling>
        <c:delete val="0"/>
        <c:axPos val="l"/>
        <c:majorGridlines/>
        <c:numFmt formatCode="#,##0.000" sourceLinked="1"/>
        <c:majorTickMark val="none"/>
        <c:minorTickMark val="none"/>
        <c:tickLblPos val="nextTo"/>
        <c:crossAx val="2746211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-1.07962213225371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7071290944123313E-3"/>
                  <c:y val="5.39811066126855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1951107267660905E-3"/>
                  <c:y val="-4.38292581848321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8094027939909216E-2"/>
                      <c:h val="5.4126914372751307E-2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"/>
                  <c:y val="-1.61943319838057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'Plan1 (2)'!$P$34:$P$49</c:f>
              <c:numCache>
                <c:formatCode>General</c:formatCode>
                <c:ptCount val="16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</c:numCache>
            </c:numRef>
          </c:cat>
          <c:val>
            <c:numRef>
              <c:f>'Plan1 (2)'!$Q$34:$Q$49</c:f>
              <c:numCache>
                <c:formatCode>0.000%</c:formatCode>
                <c:ptCount val="16"/>
                <c:pt idx="0">
                  <c:v>0.14161040127261582</c:v>
                </c:pt>
                <c:pt idx="1">
                  <c:v>0.21527712349200701</c:v>
                </c:pt>
                <c:pt idx="2">
                  <c:v>0.32373941871527667</c:v>
                </c:pt>
                <c:pt idx="3">
                  <c:v>0.19231284974669438</c:v>
                </c:pt>
                <c:pt idx="4">
                  <c:v>0.17525743503091418</c:v>
                </c:pt>
                <c:pt idx="5">
                  <c:v>3.4924345067080642E-2</c:v>
                </c:pt>
                <c:pt idx="6">
                  <c:v>1.2144849218079345E-2</c:v>
                </c:pt>
                <c:pt idx="7">
                  <c:v>-9.4030965135559752E-3</c:v>
                </c:pt>
                <c:pt idx="8">
                  <c:v>3.3533134697528277E-2</c:v>
                </c:pt>
                <c:pt idx="9">
                  <c:v>-3.1417714576722711E-2</c:v>
                </c:pt>
                <c:pt idx="10">
                  <c:v>3.6423233344568207E-2</c:v>
                </c:pt>
                <c:pt idx="11">
                  <c:v>-0.15181861305775912</c:v>
                </c:pt>
                <c:pt idx="12">
                  <c:v>0.15481267906030527</c:v>
                </c:pt>
                <c:pt idx="13">
                  <c:v>4.7607348384240966E-2</c:v>
                </c:pt>
                <c:pt idx="14">
                  <c:v>0.16935738597829331</c:v>
                </c:pt>
                <c:pt idx="15">
                  <c:v>8.2296293887241356E-2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4655488"/>
        <c:axId val="253497344"/>
      </c:barChart>
      <c:catAx>
        <c:axId val="27465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53497344"/>
        <c:crosses val="autoZero"/>
        <c:auto val="1"/>
        <c:lblAlgn val="ctr"/>
        <c:lblOffset val="100"/>
        <c:noMultiLvlLbl val="0"/>
      </c:catAx>
      <c:valAx>
        <c:axId val="25349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74655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Plan1!$K$8:$K$33</c:f>
              <c:numCache>
                <c:formatCode>_("R$"* #,##0.00_);_("R$"* \(#,##0.00\);_("R$"* "-"??_);_(@_)</c:formatCode>
                <c:ptCount val="26"/>
                <c:pt idx="0">
                  <c:v>-29247</c:v>
                </c:pt>
                <c:pt idx="1">
                  <c:v>-24694.501199999999</c:v>
                </c:pt>
                <c:pt idx="2">
                  <c:v>-19736.074291999197</c:v>
                </c:pt>
                <c:pt idx="3">
                  <c:v>-14335.524290319598</c:v>
                </c:pt>
                <c:pt idx="4">
                  <c:v>-8453.4288471902328</c:v>
                </c:pt>
                <c:pt idx="5">
                  <c:v>-2046.8504817787962</c:v>
                </c:pt>
                <c:pt idx="6">
                  <c:v>4930.9768501629169</c:v>
                </c:pt>
                <c:pt idx="7">
                  <c:v>12530.989133984545</c:v>
                </c:pt>
                <c:pt idx="8">
                  <c:v>20808.664113105413</c:v>
                </c:pt>
                <c:pt idx="9">
                  <c:v>29824.426259414569</c:v>
                </c:pt>
                <c:pt idx="10">
                  <c:v>39644.087853261532</c:v>
                </c:pt>
                <c:pt idx="11">
                  <c:v>50339.329392785454</c:v>
                </c:pt>
                <c:pt idx="12">
                  <c:v>61988.22283942256</c:v>
                </c:pt>
                <c:pt idx="13">
                  <c:v>74675.801519122513</c:v>
                </c:pt>
                <c:pt idx="14">
                  <c:v>88494.680839376597</c:v>
                </c:pt>
                <c:pt idx="15">
                  <c:v>103545.73435310044</c:v>
                </c:pt>
                <c:pt idx="16">
                  <c:v>119938.830104429</c:v>
                </c:pt>
                <c:pt idx="17">
                  <c:v>137793.63263152051</c:v>
                </c:pt>
                <c:pt idx="18">
                  <c:v>157240.47648074265</c:v>
                </c:pt>
                <c:pt idx="19">
                  <c:v>178421.31760862455</c:v>
                </c:pt>
                <c:pt idx="20">
                  <c:v>201490.76961651517</c:v>
                </c:pt>
                <c:pt idx="21">
                  <c:v>226617.23238214137</c:v>
                </c:pt>
                <c:pt idx="22">
                  <c:v>253984.12132672739</c:v>
                </c:pt>
                <c:pt idx="23">
                  <c:v>283791.20629094634</c:v>
                </c:pt>
                <c:pt idx="24">
                  <c:v>316256.06979308487</c:v>
                </c:pt>
                <c:pt idx="25">
                  <c:v>351615.69531425508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88476032"/>
        <c:axId val="253501824"/>
      </c:barChart>
      <c:catAx>
        <c:axId val="188476032"/>
        <c:scaling>
          <c:orientation val="minMax"/>
        </c:scaling>
        <c:delete val="0"/>
        <c:axPos val="b"/>
        <c:majorTickMark val="none"/>
        <c:minorTickMark val="none"/>
        <c:tickLblPos val="nextTo"/>
        <c:crossAx val="253501824"/>
        <c:crosses val="autoZero"/>
        <c:auto val="1"/>
        <c:lblAlgn val="ctr"/>
        <c:lblOffset val="100"/>
        <c:noMultiLvlLbl val="0"/>
      </c:catAx>
      <c:valAx>
        <c:axId val="253501824"/>
        <c:scaling>
          <c:orientation val="minMax"/>
        </c:scaling>
        <c:delete val="0"/>
        <c:axPos val="l"/>
        <c:majorGridlines/>
        <c:numFmt formatCode="_(&quot;R$&quot;* #,##0.00_);_(&quot;R$&quot;* \(#,##0.00\);_(&quot;R$&quot;* &quot;-&quot;??_);_(@_)" sourceLinked="1"/>
        <c:majorTickMark val="none"/>
        <c:minorTickMark val="none"/>
        <c:tickLblPos val="nextTo"/>
        <c:spPr>
          <a:ln w="6350">
            <a:noFill/>
          </a:ln>
        </c:spPr>
        <c:crossAx val="188476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E7471-100E-40B9-9EF1-C1F8F084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4660</Words>
  <Characters>25165</Characters>
  <Application>Microsoft Office Word</Application>
  <DocSecurity>0</DocSecurity>
  <Lines>209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Titulo</vt:lpstr>
      <vt:lpstr/>
    </vt:vector>
  </TitlesOfParts>
  <Company/>
  <LinksUpToDate>false</LinksUpToDate>
  <CharactersWithSpaces>29766</CharactersWithSpaces>
  <SharedDoc>false</SharedDoc>
  <HLinks>
    <vt:vector size="6" baseType="variant">
      <vt:variant>
        <vt:i4>5505037</vt:i4>
      </vt:variant>
      <vt:variant>
        <vt:i4>7998</vt:i4>
      </vt:variant>
      <vt:variant>
        <vt:i4>1025</vt:i4>
      </vt:variant>
      <vt:variant>
        <vt:i4>1</vt:i4>
      </vt:variant>
      <vt:variant>
        <vt:lpwstr>http://www.abepro.org.br/imagens/websites/42/graph_model_art.jpg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subject>Resumo</dc:subject>
  <dc:creator>Autor</dc:creator>
  <cp:lastModifiedBy>LUCAS</cp:lastModifiedBy>
  <cp:revision>15</cp:revision>
  <dcterms:created xsi:type="dcterms:W3CDTF">2018-02-06T00:04:00Z</dcterms:created>
  <dcterms:modified xsi:type="dcterms:W3CDTF">2018-02-12T18:10:00Z</dcterms:modified>
</cp:coreProperties>
</file>