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AE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18A57" w14:textId="36E1CE24" w:rsidR="00945DE0" w:rsidRPr="002555DD" w:rsidRDefault="000F06E0" w:rsidP="008B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Breves considerações sobre o processo decisório no Supremo Tribunal Federal: </w:t>
      </w:r>
      <w:r w:rsidR="00C43287">
        <w:rPr>
          <w:rFonts w:ascii="Times New Roman" w:eastAsia="Times New Roman" w:hAnsi="Times New Roman" w:cs="Times New Roman"/>
          <w:b/>
          <w:sz w:val="24"/>
          <w:szCs w:val="24"/>
        </w:rPr>
        <w:t>Algumas reflexões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partir da entrevista do Presidente Lula</w:t>
      </w:r>
      <w:r w:rsidR="00887EBE">
        <w:rPr>
          <w:rFonts w:ascii="Times New Roman" w:eastAsia="Times New Roman" w:hAnsi="Times New Roman" w:cs="Times New Roman"/>
          <w:b/>
          <w:sz w:val="24"/>
          <w:szCs w:val="24"/>
        </w:rPr>
        <w:t xml:space="preserve"> ao programa </w:t>
      </w:r>
      <w:r w:rsidR="003D4ECD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887EBE">
        <w:rPr>
          <w:rFonts w:ascii="Times New Roman" w:eastAsia="Times New Roman" w:hAnsi="Times New Roman" w:cs="Times New Roman"/>
          <w:b/>
          <w:sz w:val="24"/>
          <w:szCs w:val="24"/>
        </w:rPr>
        <w:t>Conversa com o Presidente</w:t>
      </w:r>
      <w:r w:rsidR="003D4ECD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531072CC" w:rsidR="00FA4A9E" w:rsidRPr="00FA4A9E" w:rsidRDefault="000F06E0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Saulo de Medeiros Torres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43287">
        <w:rPr>
          <w:rFonts w:ascii="Times New Roman" w:eastAsia="Times New Roman" w:hAnsi="Times New Roman" w:cs="Times New Roman"/>
          <w:sz w:val="24"/>
          <w:szCs w:val="24"/>
        </w:rPr>
        <w:t>UFRN</w:t>
      </w:r>
    </w:p>
    <w:p w14:paraId="3D7440CD" w14:textId="499546E8" w:rsidR="00FA4A9E" w:rsidRPr="00FA4A9E" w:rsidRDefault="00C43287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saulo.medeirostorres@gmail.com</w:t>
      </w:r>
    </w:p>
    <w:p w14:paraId="5E04BEA1" w14:textId="77777777" w:rsidR="00945DE0" w:rsidRPr="002555D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8B60EA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8B60EA">
        <w:rPr>
          <w:rFonts w:ascii="Times New Roman" w:eastAsia="Times New Roman" w:hAnsi="Times New Roman" w:cs="Times New Roman"/>
          <w:b/>
          <w:bCs/>
        </w:rPr>
        <w:t xml:space="preserve">INTRODUÇÃO </w:t>
      </w:r>
    </w:p>
    <w:p w14:paraId="698927C6" w14:textId="4A5E6985" w:rsidR="004622A7" w:rsidRPr="00E71AE3" w:rsidRDefault="000D6101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E71AE3">
        <w:rPr>
          <w:rFonts w:ascii="Times New Roman" w:eastAsia="Times New Roman" w:hAnsi="Times New Roman" w:cs="Times New Roman"/>
        </w:rPr>
        <w:t>Durante o programa “Conversa com o Presidente”</w:t>
      </w:r>
      <w:r w:rsidR="00A439A4" w:rsidRPr="00E71AE3">
        <w:rPr>
          <w:rFonts w:ascii="Times New Roman" w:eastAsia="Times New Roman" w:hAnsi="Times New Roman" w:cs="Times New Roman"/>
        </w:rPr>
        <w:t xml:space="preserve"> realizado no dia 05 de setembro de 2023, o Presidente Lula </w:t>
      </w:r>
      <w:r w:rsidR="00C41931">
        <w:rPr>
          <w:rFonts w:ascii="Times New Roman" w:eastAsia="Times New Roman" w:hAnsi="Times New Roman" w:cs="Times New Roman"/>
        </w:rPr>
        <w:t xml:space="preserve">trouxe em seu </w:t>
      </w:r>
      <w:proofErr w:type="spellStart"/>
      <w:r w:rsidR="00C41931">
        <w:rPr>
          <w:rFonts w:ascii="Times New Roman" w:eastAsia="Times New Roman" w:hAnsi="Times New Roman" w:cs="Times New Roman"/>
        </w:rPr>
        <w:t>discusso</w:t>
      </w:r>
      <w:proofErr w:type="spellEnd"/>
      <w:r w:rsidR="00A439A4" w:rsidRPr="00E71AE3">
        <w:rPr>
          <w:rFonts w:ascii="Times New Roman" w:eastAsia="Times New Roman" w:hAnsi="Times New Roman" w:cs="Times New Roman"/>
        </w:rPr>
        <w:t xml:space="preserve"> a antipatia de segmentos da sociedade brasileira contra os Ministros do Supremo Tribunal Federal (STF). Em sua fala, Lula fez uma reflexão sobre a importância </w:t>
      </w:r>
      <w:r w:rsidR="004622A7" w:rsidRPr="00E71AE3">
        <w:rPr>
          <w:rFonts w:ascii="Times New Roman" w:eastAsia="Times New Roman" w:hAnsi="Times New Roman" w:cs="Times New Roman"/>
        </w:rPr>
        <w:t>de respeitar as instituições republicanas e que as decisões proferidas pelo STF devem ser cumpridas mesmo que se tenha alguma divergência.</w:t>
      </w:r>
    </w:p>
    <w:p w14:paraId="0E8A8175" w14:textId="1FA91E2C" w:rsidR="00E71AE3" w:rsidRPr="00E71AE3" w:rsidRDefault="004622A7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E71AE3">
        <w:rPr>
          <w:rFonts w:ascii="Times New Roman" w:eastAsia="Times New Roman" w:hAnsi="Times New Roman" w:cs="Times New Roman"/>
        </w:rPr>
        <w:t xml:space="preserve"> O trecho da entrevista que gerou mais repercussão e debate foi o seguinte: “A sociedade não tem que saber como é que vota o ministro da Suprema Corte. O cara tem que votar, ninguém precisa saber, votou a maioria — 5 a 4, 6 a 4, 3 a 2” (G1, 2023, online). Esse comentário rapidamente trouxe várias críticas a uma tentativa do Presidente da República de tornar </w:t>
      </w:r>
      <w:r w:rsidR="00E71AE3" w:rsidRPr="00E71AE3">
        <w:rPr>
          <w:rFonts w:ascii="Times New Roman" w:eastAsia="Times New Roman" w:hAnsi="Times New Roman" w:cs="Times New Roman"/>
        </w:rPr>
        <w:t>os julgamentos</w:t>
      </w:r>
      <w:r w:rsidRPr="00E71AE3">
        <w:rPr>
          <w:rFonts w:ascii="Times New Roman" w:eastAsia="Times New Roman" w:hAnsi="Times New Roman" w:cs="Times New Roman"/>
        </w:rPr>
        <w:t xml:space="preserve"> do STF sigilosos e a justificativa apresentada por Lula foi os constantes ataques que os Ministros do STF estão sofrendo, como o recente episódio envolvendo o filho do Ministro Alexandre de Moraes que foi vítima de violência no Aeroporto de Roma, na Itália.</w:t>
      </w:r>
    </w:p>
    <w:p w14:paraId="58D396F4" w14:textId="32D5A647" w:rsidR="00881233" w:rsidRDefault="004622A7" w:rsidP="00881233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 w:rsidRPr="00E71AE3">
        <w:rPr>
          <w:rFonts w:ascii="Times New Roman" w:eastAsia="Times New Roman" w:hAnsi="Times New Roman" w:cs="Times New Roman"/>
        </w:rPr>
        <w:t xml:space="preserve"> </w:t>
      </w:r>
      <w:r w:rsidR="00E71AE3" w:rsidRPr="00E71AE3">
        <w:rPr>
          <w:rFonts w:ascii="Times New Roman" w:eastAsia="Times New Roman" w:hAnsi="Times New Roman" w:cs="Times New Roman"/>
        </w:rPr>
        <w:t>A Constituição Federal de 1988 no inciso IX do Art. 93, dispõe que: “</w:t>
      </w:r>
      <w:r w:rsidR="00E71AE3" w:rsidRPr="00E71AE3">
        <w:rPr>
          <w:rFonts w:ascii="Times New Roman" w:hAnsi="Times New Roman" w:cs="Times New Roman"/>
        </w:rPr>
        <w:t>todos os julgamentos dos órgãos do Poder Judiciário serão públicos, e fundamentadas todas as decisões, sob pena de nulidade” (BRASIL</w:t>
      </w:r>
      <w:r w:rsidR="00881233">
        <w:rPr>
          <w:rFonts w:ascii="Times New Roman" w:hAnsi="Times New Roman" w:cs="Times New Roman"/>
        </w:rPr>
        <w:t>, 2016, p.6</w:t>
      </w:r>
      <w:r w:rsidR="00881233" w:rsidRPr="00881233">
        <w:t>4)</w:t>
      </w:r>
      <w:r w:rsidR="00881233">
        <w:t xml:space="preserve">. </w:t>
      </w:r>
      <w:r w:rsidR="00881233">
        <w:rPr>
          <w:rFonts w:ascii="Times New Roman" w:hAnsi="Times New Roman" w:cs="Times New Roman"/>
        </w:rPr>
        <w:t>Dessa forma, a regra consagrada constitucionalmente é a publicidade dos atos processuais, que só em situações excepcionais poderá sofrer restrições.</w:t>
      </w:r>
    </w:p>
    <w:p w14:paraId="1A1A9726" w14:textId="77777777" w:rsidR="00A77A63" w:rsidRDefault="00C41931" w:rsidP="00881233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Conforme as lições de </w:t>
      </w:r>
      <w:proofErr w:type="spellStart"/>
      <w:r>
        <w:rPr>
          <w:rFonts w:ascii="Times New Roman" w:hAnsi="Times New Roman" w:cs="Times New Roman"/>
        </w:rPr>
        <w:t>Fredie</w:t>
      </w:r>
      <w:proofErr w:type="spellEnd"/>
      <w:r>
        <w:rPr>
          <w:rFonts w:ascii="Times New Roman" w:hAnsi="Times New Roman" w:cs="Times New Roman"/>
        </w:rPr>
        <w:t xml:space="preserve"> Didier Júnior, o direito fundamental à publicidade possui duas finalidades básicas: a) impedir julgamentos sigilosos; b) possibilitar a fiscalização da sociedade sobre a atuação jurisdicional (DIDIER JÚNIOR, 2017). O citado autor</w:t>
      </w:r>
      <w:r w:rsidR="00A77A63">
        <w:rPr>
          <w:rFonts w:ascii="Times New Roman" w:hAnsi="Times New Roman" w:cs="Times New Roman"/>
        </w:rPr>
        <w:t xml:space="preserve"> aborda que a publicidade processual é composta pela dimensão interna, que possui como destinatário as partes envolvidas no processo e a dimensão externa que é direcionada para aqueles que não participaram da demanda jurisdicional (DIDIER JÚNIOR, 2017).</w:t>
      </w:r>
    </w:p>
    <w:p w14:paraId="6A24682E" w14:textId="7C98DC25" w:rsidR="005F78C7" w:rsidRDefault="005F78C7" w:rsidP="005F6908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Segundo prescreve a Constituição Federal de 1988 no inciso LX do Art. 5º: “</w:t>
      </w:r>
      <w:r w:rsidRPr="005F78C7">
        <w:rPr>
          <w:rFonts w:ascii="Times New Roman" w:hAnsi="Times New Roman" w:cs="Times New Roman"/>
        </w:rPr>
        <w:t>a lei só poderá restringir a publicidade dos atos</w:t>
      </w:r>
      <w:r>
        <w:rPr>
          <w:rFonts w:ascii="Times New Roman" w:hAnsi="Times New Roman" w:cs="Times New Roman"/>
        </w:rPr>
        <w:t xml:space="preserve"> </w:t>
      </w:r>
      <w:r w:rsidRPr="005F78C7">
        <w:rPr>
          <w:rFonts w:ascii="Times New Roman" w:hAnsi="Times New Roman" w:cs="Times New Roman"/>
        </w:rPr>
        <w:t>processuais quando a defesa da intimidade ou o interesse</w:t>
      </w:r>
      <w:r>
        <w:rPr>
          <w:rFonts w:ascii="Times New Roman" w:hAnsi="Times New Roman" w:cs="Times New Roman"/>
        </w:rPr>
        <w:t xml:space="preserve"> </w:t>
      </w:r>
      <w:r w:rsidRPr="005F78C7">
        <w:rPr>
          <w:rFonts w:ascii="Times New Roman" w:hAnsi="Times New Roman" w:cs="Times New Roman"/>
        </w:rPr>
        <w:t>social o exigirem</w:t>
      </w:r>
      <w:r>
        <w:rPr>
          <w:rFonts w:ascii="Times New Roman" w:hAnsi="Times New Roman" w:cs="Times New Roman"/>
        </w:rPr>
        <w:t>” (BRASIL, 2016, p.</w:t>
      </w:r>
      <w:r w:rsidR="005F6908">
        <w:rPr>
          <w:rFonts w:ascii="Times New Roman" w:hAnsi="Times New Roman" w:cs="Times New Roman"/>
        </w:rPr>
        <w:t xml:space="preserve"> 11). Essa possibilidade de restringir a regra da publicidade processual não impede as partes e os seus procuradores de consultarem </w:t>
      </w:r>
      <w:r w:rsidR="005F6908" w:rsidRPr="005F6908">
        <w:rPr>
          <w:rFonts w:ascii="Times New Roman" w:hAnsi="Times New Roman" w:cs="Times New Roman"/>
        </w:rPr>
        <w:t>os autos de processo que tramite em segredo de justiça e de</w:t>
      </w:r>
      <w:r w:rsidR="005F6908">
        <w:rPr>
          <w:rFonts w:ascii="Times New Roman" w:hAnsi="Times New Roman" w:cs="Times New Roman"/>
        </w:rPr>
        <w:t xml:space="preserve"> </w:t>
      </w:r>
      <w:r w:rsidR="005F6908" w:rsidRPr="005F6908">
        <w:rPr>
          <w:rFonts w:ascii="Times New Roman" w:hAnsi="Times New Roman" w:cs="Times New Roman"/>
        </w:rPr>
        <w:t>pedir certidões de seus atos</w:t>
      </w:r>
      <w:r w:rsidR="005F6908">
        <w:rPr>
          <w:rFonts w:ascii="Times New Roman" w:hAnsi="Times New Roman" w:cs="Times New Roman"/>
        </w:rPr>
        <w:t xml:space="preserve"> conforme previsto no §1º do Art. 189 do Código de Processo Civil.</w:t>
      </w:r>
    </w:p>
    <w:p w14:paraId="7D15837E" w14:textId="3D4FC534" w:rsidR="00AA185E" w:rsidRDefault="003D4ECD" w:rsidP="005F6908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cada vez mais necessário dar transparência sobre o funcionamento de todos os órgãos públicos. A expansão do acesso às informações</w:t>
      </w:r>
      <w:r w:rsidR="00B74B34">
        <w:rPr>
          <w:rFonts w:ascii="Times New Roman" w:hAnsi="Times New Roman" w:cs="Times New Roman"/>
        </w:rPr>
        <w:t xml:space="preserve"> públicas em tempos de internet só faz aumentar o acompanhamento da atuação das autoridades estatais, já que diante do paradigma do Estado Democrático de Direito a publicidade é um pilar fundamental para que a população entenda e fiscalize a atuação dos agentes públicos (SCHREIBER, 2013).</w:t>
      </w:r>
    </w:p>
    <w:p w14:paraId="1AD402FD" w14:textId="77777777" w:rsidR="00A140AB" w:rsidRDefault="009D5FB1" w:rsidP="00A140AB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Pelo fato dos membros do Poder Judiciário não serem eleitos pelo voto popular</w:t>
      </w:r>
      <w:r w:rsidR="00A140AB">
        <w:rPr>
          <w:rFonts w:ascii="Times New Roman" w:hAnsi="Times New Roman" w:cs="Times New Roman"/>
        </w:rPr>
        <w:t xml:space="preserve"> e estarem investidos de uma das mais relevantes funções estatais (a jurisdição), eles também se submetem ao dever de prestar contas a sociedade. A legitimidade do Poder Judiciário está baseada sobretudo em duas garantias processuais: o dever de fundamentação das decisões e o dever de publicidade dos julgamentos (SCHREIBER, 2013).</w:t>
      </w:r>
    </w:p>
    <w:p w14:paraId="4BD18DA5" w14:textId="5AFA72B4" w:rsidR="006431F0" w:rsidRDefault="006431F0" w:rsidP="005F6908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17 de maio de 2002 foi promulgada a Lei 10.461 que </w:t>
      </w:r>
      <w:r w:rsidR="001E49C3">
        <w:rPr>
          <w:rFonts w:ascii="Times New Roman" w:hAnsi="Times New Roman" w:cs="Times New Roman"/>
        </w:rPr>
        <w:t>criou</w:t>
      </w:r>
      <w:r>
        <w:rPr>
          <w:rFonts w:ascii="Times New Roman" w:hAnsi="Times New Roman" w:cs="Times New Roman"/>
        </w:rPr>
        <w:t xml:space="preserve"> um mecanismo de publicidade dos julgamentos do STF: </w:t>
      </w:r>
      <w:r w:rsidR="001E49C3">
        <w:rPr>
          <w:rFonts w:ascii="Times New Roman" w:hAnsi="Times New Roman" w:cs="Times New Roman"/>
        </w:rPr>
        <w:t>o surgimento</w:t>
      </w:r>
      <w:r>
        <w:rPr>
          <w:rFonts w:ascii="Times New Roman" w:hAnsi="Times New Roman" w:cs="Times New Roman"/>
        </w:rPr>
        <w:t xml:space="preserve"> da TV Justiça viabiliz</w:t>
      </w:r>
      <w:r w:rsidR="001E49C3">
        <w:rPr>
          <w:rFonts w:ascii="Times New Roman" w:hAnsi="Times New Roman" w:cs="Times New Roman"/>
        </w:rPr>
        <w:t>ando</w:t>
      </w:r>
      <w:r>
        <w:rPr>
          <w:rFonts w:ascii="Times New Roman" w:hAnsi="Times New Roman" w:cs="Times New Roman"/>
        </w:rPr>
        <w:t xml:space="preserve"> o serviço de transmissão pela Televisão das sessões de julgamento do STF. Junta-se a isso o fato </w:t>
      </w:r>
      <w:r w:rsidR="001E49C3">
        <w:rPr>
          <w:rFonts w:ascii="Times New Roman" w:hAnsi="Times New Roman" w:cs="Times New Roman"/>
        </w:rPr>
        <w:t>de o</w:t>
      </w:r>
      <w:r>
        <w:rPr>
          <w:rFonts w:ascii="Times New Roman" w:hAnsi="Times New Roman" w:cs="Times New Roman"/>
        </w:rPr>
        <w:t xml:space="preserve"> STF ter assumido nos </w:t>
      </w:r>
      <w:r>
        <w:rPr>
          <w:rFonts w:ascii="Times New Roman" w:hAnsi="Times New Roman" w:cs="Times New Roman"/>
        </w:rPr>
        <w:lastRenderedPageBreak/>
        <w:t xml:space="preserve">últimos anos um protagonismo </w:t>
      </w:r>
      <w:r w:rsidR="00A61BB5">
        <w:rPr>
          <w:rFonts w:ascii="Times New Roman" w:hAnsi="Times New Roman" w:cs="Times New Roman"/>
        </w:rPr>
        <w:t>no julgamento de assuntos de ampla repercussão social como: a realização do aborto no caso de anencefalia, o reconhecimento das uniões homoafetivas como entidades familiares</w:t>
      </w:r>
      <w:r w:rsidR="00D55C7A">
        <w:rPr>
          <w:rFonts w:ascii="Times New Roman" w:hAnsi="Times New Roman" w:cs="Times New Roman"/>
        </w:rPr>
        <w:t xml:space="preserve">, </w:t>
      </w:r>
      <w:r w:rsidR="00586AE5">
        <w:rPr>
          <w:rFonts w:ascii="Times New Roman" w:hAnsi="Times New Roman" w:cs="Times New Roman"/>
        </w:rPr>
        <w:t xml:space="preserve">declaração de </w:t>
      </w:r>
      <w:r w:rsidR="00D55C7A">
        <w:rPr>
          <w:rFonts w:ascii="Times New Roman" w:hAnsi="Times New Roman" w:cs="Times New Roman"/>
        </w:rPr>
        <w:t>omissão legislativa na criminalização da homofobia</w:t>
      </w:r>
      <w:r w:rsidR="001E49C3">
        <w:rPr>
          <w:rFonts w:ascii="Times New Roman" w:hAnsi="Times New Roman" w:cs="Times New Roman"/>
        </w:rPr>
        <w:t xml:space="preserve">, </w:t>
      </w:r>
      <w:r w:rsidR="00C47A37">
        <w:rPr>
          <w:rFonts w:ascii="Times New Roman" w:hAnsi="Times New Roman" w:cs="Times New Roman"/>
        </w:rPr>
        <w:t>determinação d</w:t>
      </w:r>
      <w:r w:rsidR="00586AE5">
        <w:rPr>
          <w:rFonts w:ascii="Times New Roman" w:hAnsi="Times New Roman" w:cs="Times New Roman"/>
        </w:rPr>
        <w:t>e um</w:t>
      </w:r>
      <w:r w:rsidR="00C47A37">
        <w:rPr>
          <w:rFonts w:ascii="Times New Roman" w:hAnsi="Times New Roman" w:cs="Times New Roman"/>
        </w:rPr>
        <w:t xml:space="preserve"> marco temporal para </w:t>
      </w:r>
      <w:r w:rsidR="001E49C3">
        <w:rPr>
          <w:rFonts w:ascii="Times New Roman" w:hAnsi="Times New Roman" w:cs="Times New Roman"/>
        </w:rPr>
        <w:t>demarcação de reservas indígenas.</w:t>
      </w:r>
    </w:p>
    <w:p w14:paraId="5FB8E599" w14:textId="0133196C" w:rsidR="00E63089" w:rsidRDefault="00E63089" w:rsidP="005F6908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polarização da política brasileira que se intensificou nas duas últimas eleições presidenciais, também transformou o STF em uma espécie de “terceiro turno” usado pela oposição para impedir ou travar projetos apresentados pelo governo ou até mesmo nomeações para cargos de confiança. O atual contexto sócio-político vivenciado no Brasil chegou ao extremo de discursos parlamentares em defesa do fechamento do STF, de agressões verbais aos membros do tribunal</w:t>
      </w:r>
      <w:r w:rsidR="006D1735">
        <w:rPr>
          <w:rFonts w:ascii="Times New Roman" w:hAnsi="Times New Roman" w:cs="Times New Roman"/>
        </w:rPr>
        <w:t>, trazendo um ambiente violento para tentar assediar ou constranger os Ministros do STF a votarem em um determinado sentido.</w:t>
      </w:r>
    </w:p>
    <w:p w14:paraId="25AE8E4F" w14:textId="2B3754D0" w:rsidR="00C41931" w:rsidRDefault="00A77A63" w:rsidP="003C634A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63089">
        <w:rPr>
          <w:rFonts w:ascii="Times New Roman" w:hAnsi="Times New Roman" w:cs="Times New Roman"/>
        </w:rPr>
        <w:t xml:space="preserve">É pertinente então esclarecer o funcionamento de dois </w:t>
      </w:r>
      <w:r w:rsidR="005A284D">
        <w:rPr>
          <w:rFonts w:ascii="Times New Roman" w:hAnsi="Times New Roman" w:cs="Times New Roman"/>
        </w:rPr>
        <w:t>sistemas</w:t>
      </w:r>
      <w:r w:rsidR="00E63089">
        <w:rPr>
          <w:rFonts w:ascii="Times New Roman" w:hAnsi="Times New Roman" w:cs="Times New Roman"/>
        </w:rPr>
        <w:t xml:space="preserve"> decisórios </w:t>
      </w:r>
      <w:r w:rsidR="005A284D">
        <w:rPr>
          <w:rFonts w:ascii="Times New Roman" w:hAnsi="Times New Roman" w:cs="Times New Roman"/>
        </w:rPr>
        <w:t>são utilizados nos julgamentos das Cortes Constitucionais no direito comparado</w:t>
      </w:r>
      <w:r w:rsidR="00E63089">
        <w:rPr>
          <w:rFonts w:ascii="Times New Roman" w:hAnsi="Times New Roman" w:cs="Times New Roman"/>
        </w:rPr>
        <w:t xml:space="preserve">: a) </w:t>
      </w:r>
      <w:r w:rsidR="005A284D">
        <w:rPr>
          <w:rFonts w:ascii="Times New Roman" w:hAnsi="Times New Roman" w:cs="Times New Roman"/>
        </w:rPr>
        <w:t>Sistema</w:t>
      </w:r>
      <w:r w:rsidR="00E63089">
        <w:rPr>
          <w:rFonts w:ascii="Times New Roman" w:hAnsi="Times New Roman" w:cs="Times New Roman"/>
        </w:rPr>
        <w:t xml:space="preserve"> </w:t>
      </w:r>
      <w:r w:rsidR="00E63089" w:rsidRPr="00E63089">
        <w:rPr>
          <w:rFonts w:ascii="Times New Roman" w:hAnsi="Times New Roman" w:cs="Times New Roman"/>
          <w:i/>
          <w:iCs/>
        </w:rPr>
        <w:t xml:space="preserve">per </w:t>
      </w:r>
      <w:proofErr w:type="spellStart"/>
      <w:r w:rsidR="00E63089" w:rsidRPr="00E63089">
        <w:rPr>
          <w:rFonts w:ascii="Times New Roman" w:hAnsi="Times New Roman" w:cs="Times New Roman"/>
          <w:i/>
          <w:iCs/>
        </w:rPr>
        <w:t>curiam</w:t>
      </w:r>
      <w:proofErr w:type="spellEnd"/>
      <w:r w:rsidR="00E63089">
        <w:rPr>
          <w:rFonts w:ascii="Times New Roman" w:hAnsi="Times New Roman" w:cs="Times New Roman"/>
        </w:rPr>
        <w:t xml:space="preserve"> e b) </w:t>
      </w:r>
      <w:r w:rsidR="005A284D">
        <w:rPr>
          <w:rFonts w:ascii="Times New Roman" w:hAnsi="Times New Roman" w:cs="Times New Roman"/>
        </w:rPr>
        <w:t>Sistema</w:t>
      </w:r>
      <w:r w:rsidR="00E63089">
        <w:rPr>
          <w:rFonts w:ascii="Times New Roman" w:hAnsi="Times New Roman" w:cs="Times New Roman"/>
        </w:rPr>
        <w:t xml:space="preserve"> </w:t>
      </w:r>
      <w:proofErr w:type="spellStart"/>
      <w:r w:rsidR="00E63089" w:rsidRPr="00E63089">
        <w:rPr>
          <w:rFonts w:ascii="Times New Roman" w:hAnsi="Times New Roman" w:cs="Times New Roman"/>
          <w:i/>
          <w:iCs/>
        </w:rPr>
        <w:t>Seriatim</w:t>
      </w:r>
      <w:proofErr w:type="spellEnd"/>
      <w:r w:rsidR="005A284D">
        <w:rPr>
          <w:rFonts w:ascii="Times New Roman" w:hAnsi="Times New Roman" w:cs="Times New Roman"/>
        </w:rPr>
        <w:t xml:space="preserve">. No modelo </w:t>
      </w:r>
      <w:proofErr w:type="spellStart"/>
      <w:r w:rsidR="005A284D" w:rsidRPr="005A284D">
        <w:rPr>
          <w:rFonts w:ascii="Times New Roman" w:hAnsi="Times New Roman" w:cs="Times New Roman"/>
          <w:i/>
          <w:iCs/>
        </w:rPr>
        <w:t>seriatim</w:t>
      </w:r>
      <w:proofErr w:type="spellEnd"/>
      <w:r w:rsidR="003C634A">
        <w:rPr>
          <w:rFonts w:ascii="Times New Roman" w:hAnsi="Times New Roman" w:cs="Times New Roman"/>
        </w:rPr>
        <w:t xml:space="preserve">, cada integrante do tribunal elabora seu voto para o caso concreto que está sendo julgado, e a decisão final será decretada pelo somatório das posições individuais de cada membro (LUNARDI, 2022). Já no sistema </w:t>
      </w:r>
      <w:r w:rsidR="003C634A" w:rsidRPr="003C634A">
        <w:rPr>
          <w:rFonts w:ascii="Times New Roman" w:hAnsi="Times New Roman" w:cs="Times New Roman"/>
          <w:i/>
          <w:iCs/>
        </w:rPr>
        <w:t xml:space="preserve">per </w:t>
      </w:r>
      <w:proofErr w:type="spellStart"/>
      <w:r w:rsidR="003C634A" w:rsidRPr="003C634A">
        <w:rPr>
          <w:rFonts w:ascii="Times New Roman" w:hAnsi="Times New Roman" w:cs="Times New Roman"/>
          <w:i/>
          <w:iCs/>
        </w:rPr>
        <w:t>curiam</w:t>
      </w:r>
      <w:proofErr w:type="spellEnd"/>
      <w:r w:rsidR="003C634A">
        <w:rPr>
          <w:rFonts w:ascii="Times New Roman" w:hAnsi="Times New Roman" w:cs="Times New Roman"/>
        </w:rPr>
        <w:t xml:space="preserve"> a decisão é tomada após a construção de uma posição comum sobre o assunto, “</w:t>
      </w:r>
      <w:r w:rsidR="003C634A" w:rsidRPr="003C634A">
        <w:rPr>
          <w:rFonts w:ascii="Times New Roman" w:hAnsi="Times New Roman" w:cs="Times New Roman"/>
        </w:rPr>
        <w:t>com fundamentação que deve expressar o entendimento do tribunal, ou</w:t>
      </w:r>
      <w:r w:rsidR="003C634A">
        <w:rPr>
          <w:rFonts w:ascii="Times New Roman" w:hAnsi="Times New Roman" w:cs="Times New Roman"/>
        </w:rPr>
        <w:t xml:space="preserve"> </w:t>
      </w:r>
      <w:r w:rsidR="003C634A" w:rsidRPr="003C634A">
        <w:rPr>
          <w:rFonts w:ascii="Times New Roman" w:hAnsi="Times New Roman" w:cs="Times New Roman"/>
        </w:rPr>
        <w:t>seja, que define a posição da instituição sobre a matéria</w:t>
      </w:r>
      <w:r w:rsidR="003C634A">
        <w:rPr>
          <w:rFonts w:ascii="Times New Roman" w:hAnsi="Times New Roman" w:cs="Times New Roman"/>
        </w:rPr>
        <w:t>” (LUNARDI, 2022, p.232)</w:t>
      </w:r>
      <w:r w:rsidR="006106EC">
        <w:rPr>
          <w:rFonts w:ascii="Times New Roman" w:hAnsi="Times New Roman" w:cs="Times New Roman"/>
        </w:rPr>
        <w:t>.</w:t>
      </w:r>
    </w:p>
    <w:p w14:paraId="6CBEC353" w14:textId="1A9F6396" w:rsidR="006106EC" w:rsidRDefault="006106EC" w:rsidP="003C634A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Diante do exposto surge a problemática central do presente trabalho: a fala do Presidente Lula estaria defendendo a implementação do sistema </w:t>
      </w:r>
      <w:r w:rsidRPr="006106EC">
        <w:rPr>
          <w:rFonts w:ascii="Times New Roman" w:hAnsi="Times New Roman" w:cs="Times New Roman"/>
          <w:i/>
          <w:iCs/>
        </w:rPr>
        <w:t xml:space="preserve">per </w:t>
      </w:r>
      <w:proofErr w:type="spellStart"/>
      <w:r w:rsidRPr="006106EC">
        <w:rPr>
          <w:rFonts w:ascii="Times New Roman" w:hAnsi="Times New Roman" w:cs="Times New Roman"/>
          <w:i/>
          <w:iCs/>
        </w:rPr>
        <w:t>curiam</w:t>
      </w:r>
      <w:proofErr w:type="spellEnd"/>
      <w:r>
        <w:rPr>
          <w:rFonts w:ascii="Times New Roman" w:hAnsi="Times New Roman" w:cs="Times New Roman"/>
        </w:rPr>
        <w:t>? Nesse sistema, o direito fundamental à publicidade é garantido?</w:t>
      </w:r>
    </w:p>
    <w:p w14:paraId="5CE2D005" w14:textId="24EC562E" w:rsidR="009C21CC" w:rsidRDefault="006106EC" w:rsidP="003C634A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 w:rsidRPr="006106EC">
        <w:rPr>
          <w:rFonts w:ascii="Times New Roman" w:hAnsi="Times New Roman" w:cs="Times New Roman"/>
        </w:rPr>
        <w:t xml:space="preserve">Fazendo uma análise das normas regimentais do STF observa-se que foi adotado o sistema </w:t>
      </w:r>
      <w:proofErr w:type="spellStart"/>
      <w:r w:rsidRPr="006106EC">
        <w:rPr>
          <w:rFonts w:ascii="Times New Roman" w:hAnsi="Times New Roman" w:cs="Times New Roman"/>
          <w:i/>
          <w:iCs/>
        </w:rPr>
        <w:t>seriatim</w:t>
      </w:r>
      <w:proofErr w:type="spellEnd"/>
      <w:r>
        <w:rPr>
          <w:rFonts w:ascii="Times New Roman" w:hAnsi="Times New Roman" w:cs="Times New Roman"/>
        </w:rPr>
        <w:t>, onde suas deliberações são tomadas pela junção dos votos individualizados dos seus onze componentes, observando-se as regras dispostas no Art. 135 do Regimento Interno do STF</w:t>
      </w:r>
      <w:r w:rsidR="009C21CC">
        <w:rPr>
          <w:rFonts w:ascii="Times New Roman" w:hAnsi="Times New Roman" w:cs="Times New Roman"/>
        </w:rPr>
        <w:t>.</w:t>
      </w:r>
    </w:p>
    <w:p w14:paraId="755E70D2" w14:textId="6D4721A6" w:rsidR="006106EC" w:rsidRPr="006106EC" w:rsidRDefault="006106EC" w:rsidP="003C634A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 w:rsidRPr="006106EC">
        <w:rPr>
          <w:rFonts w:ascii="Times New Roman" w:hAnsi="Times New Roman" w:cs="Times New Roman"/>
        </w:rPr>
        <w:t xml:space="preserve"> </w:t>
      </w:r>
    </w:p>
    <w:p w14:paraId="428AFBB8" w14:textId="77777777" w:rsidR="007F5AA8" w:rsidRPr="008B60EA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6DB7466A" w14:textId="77777777" w:rsidR="007F5AA8" w:rsidRPr="008B60EA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8B60EA">
        <w:rPr>
          <w:rFonts w:ascii="Times New Roman" w:eastAsia="Times New Roman" w:hAnsi="Times New Roman" w:cs="Times New Roman"/>
          <w:b/>
          <w:bCs/>
        </w:rPr>
        <w:t xml:space="preserve">MATERIAIS E MÉTODOS </w:t>
      </w:r>
    </w:p>
    <w:p w14:paraId="515EC7C3" w14:textId="50D12A8E" w:rsidR="00FA4A9E" w:rsidRPr="008B60EA" w:rsidRDefault="00EB1328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Como metodologia de pesquisa foi utilizada a pesquisa bibliográfica, de caráter qualitativo e descritivo. Foi usado o método dedutivo para a elaboração do resumo.  </w:t>
      </w:r>
    </w:p>
    <w:p w14:paraId="2FF15B33" w14:textId="77777777" w:rsidR="007F5AA8" w:rsidRPr="008B60EA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68CC6A35" w14:textId="77777777" w:rsidR="007F5AA8" w:rsidRPr="008B60EA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8B60EA">
        <w:rPr>
          <w:rFonts w:ascii="Times New Roman" w:eastAsia="Times New Roman" w:hAnsi="Times New Roman" w:cs="Times New Roman"/>
          <w:b/>
          <w:bCs/>
        </w:rPr>
        <w:t xml:space="preserve">RESULTADOS </w:t>
      </w:r>
    </w:p>
    <w:p w14:paraId="652AB624" w14:textId="0FF27239" w:rsidR="00724FD8" w:rsidRDefault="00724FD8" w:rsidP="00724FD8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modelo </w:t>
      </w:r>
      <w:r w:rsidRPr="00C41CF0">
        <w:rPr>
          <w:rFonts w:ascii="Times New Roman" w:hAnsi="Times New Roman" w:cs="Times New Roman"/>
          <w:i/>
          <w:iCs/>
        </w:rPr>
        <w:t xml:space="preserve">per </w:t>
      </w:r>
      <w:proofErr w:type="spellStart"/>
      <w:r w:rsidRPr="00C41CF0">
        <w:rPr>
          <w:rFonts w:ascii="Times New Roman" w:hAnsi="Times New Roman" w:cs="Times New Roman"/>
          <w:i/>
          <w:iCs/>
        </w:rPr>
        <w:t>curiam</w:t>
      </w:r>
      <w:proofErr w:type="spellEnd"/>
      <w:r w:rsidR="00C41CF0">
        <w:rPr>
          <w:rFonts w:ascii="Times New Roman" w:hAnsi="Times New Roman" w:cs="Times New Roman"/>
        </w:rPr>
        <w:t>,</w:t>
      </w:r>
      <w:r w:rsidR="00526D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resultado do julgamento é exposto e redigido em texto único, com uma estrutura argumentativa uníssona, mesmo que a decisão não tenho sido tomada por unanimidade. A sentença nesse modelo é normalmente escrita ou pelo Relator do processo ou pelo Presidente do Tribunal, porém a sua autoria é atribuída ao tribunal colegiadamente e as deliberações ocorrem sigilosamente (STRAPASSON; BARBOSA, 2023).</w:t>
      </w:r>
    </w:p>
    <w:p w14:paraId="07782621" w14:textId="01FF34E6" w:rsidR="00C41CF0" w:rsidRDefault="00C41CF0" w:rsidP="00C41CF0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sistema </w:t>
      </w:r>
      <w:r w:rsidRPr="00C41CF0">
        <w:rPr>
          <w:rFonts w:ascii="Times New Roman" w:hAnsi="Times New Roman" w:cs="Times New Roman"/>
          <w:i/>
          <w:iCs/>
        </w:rPr>
        <w:t xml:space="preserve">per </w:t>
      </w:r>
      <w:proofErr w:type="spellStart"/>
      <w:r w:rsidRPr="00C41CF0">
        <w:rPr>
          <w:rFonts w:ascii="Times New Roman" w:hAnsi="Times New Roman" w:cs="Times New Roman"/>
          <w:i/>
          <w:iCs/>
        </w:rPr>
        <w:t>curiam</w:t>
      </w:r>
      <w:proofErr w:type="spellEnd"/>
      <w:r>
        <w:rPr>
          <w:rFonts w:ascii="Times New Roman" w:hAnsi="Times New Roman" w:cs="Times New Roman"/>
        </w:rPr>
        <w:t xml:space="preserve">, a etapa deliberativa é fechada só sendo divulgado ao público o entendimento que foi construído de forma colaborativa e institucional, prezando pela uniformidade decisória. Em alguns Países que o modelo per </w:t>
      </w:r>
      <w:proofErr w:type="spellStart"/>
      <w:r>
        <w:rPr>
          <w:rFonts w:ascii="Times New Roman" w:hAnsi="Times New Roman" w:cs="Times New Roman"/>
        </w:rPr>
        <w:t>curiam</w:t>
      </w:r>
      <w:proofErr w:type="spellEnd"/>
      <w:r>
        <w:rPr>
          <w:rFonts w:ascii="Times New Roman" w:hAnsi="Times New Roman" w:cs="Times New Roman"/>
        </w:rPr>
        <w:t xml:space="preserve"> é aplicado é permitido a divulgação dos votos divergentes</w:t>
      </w:r>
      <w:r w:rsidR="003A4600">
        <w:rPr>
          <w:rFonts w:ascii="Times New Roman" w:hAnsi="Times New Roman" w:cs="Times New Roman"/>
        </w:rPr>
        <w:t>.</w:t>
      </w:r>
    </w:p>
    <w:p w14:paraId="41F79BD9" w14:textId="5B45C153" w:rsidR="003A4600" w:rsidRDefault="003A4600" w:rsidP="00C41CF0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Pode-se trazer o exemplo concreto da Corte Constitucional Colombiana, onde é divulgado o voto vencedor que consolida num texto único a posição do tribunal e faz um resumo da sentença, permitindo-se a publicação dos votos discordantes e também o voto complementar que concorda com o resultado vencedor mas deseja agregar algo ao julgamento</w:t>
      </w:r>
      <w:r w:rsidR="008207BD">
        <w:rPr>
          <w:rFonts w:ascii="Times New Roman" w:hAnsi="Times New Roman" w:cs="Times New Roman"/>
        </w:rPr>
        <w:t xml:space="preserve"> (</w:t>
      </w:r>
      <w:r w:rsidR="008207BD" w:rsidRPr="008207BD">
        <w:rPr>
          <w:rFonts w:ascii="Times New Roman" w:hAnsi="Times New Roman" w:cs="Times New Roman"/>
        </w:rPr>
        <w:t>KIRSZTAJN</w:t>
      </w:r>
      <w:r w:rsidR="008207BD">
        <w:rPr>
          <w:rFonts w:ascii="Times New Roman" w:hAnsi="Times New Roman" w:cs="Times New Roman"/>
        </w:rPr>
        <w:t>, 2020).</w:t>
      </w:r>
    </w:p>
    <w:p w14:paraId="201ED00E" w14:textId="5C839986" w:rsidR="008207BD" w:rsidRDefault="008207BD" w:rsidP="008207BD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o Presidente Lula não deu maiores detalhes da forma de implementação do seu conselho aos Ministros do STF, a forma de compatibilizar o modelo por ele sugerido com a regra da publicidade seria que o resultado da votação fosse anunciado de forma conjunta, “</w:t>
      </w:r>
      <w:r w:rsidRPr="008207BD">
        <w:rPr>
          <w:rFonts w:ascii="Times New Roman" w:hAnsi="Times New Roman" w:cs="Times New Roman"/>
        </w:rPr>
        <w:t>despersonificando a figura dos julgadores e fortalecendo a figura da instituição</w:t>
      </w:r>
      <w:r>
        <w:rPr>
          <w:rFonts w:ascii="Times New Roman" w:hAnsi="Times New Roman" w:cs="Times New Roman"/>
        </w:rPr>
        <w:t>” (PANUTTO, 2017, p.217).</w:t>
      </w:r>
    </w:p>
    <w:p w14:paraId="0FEED12D" w14:textId="08BA10FF" w:rsidR="00FA4A9E" w:rsidRPr="008B60EA" w:rsidRDefault="00FA4A9E" w:rsidP="008207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75DBC3" w14:textId="77777777" w:rsidR="007F5AA8" w:rsidRPr="008B60EA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5535CD34" w14:textId="77777777" w:rsidR="007F5AA8" w:rsidRPr="008B60EA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8B60EA">
        <w:rPr>
          <w:rFonts w:ascii="Times New Roman" w:eastAsia="Times New Roman" w:hAnsi="Times New Roman" w:cs="Times New Roman"/>
          <w:b/>
          <w:bCs/>
        </w:rPr>
        <w:t xml:space="preserve">CONSIDERAÇÕES FINAIS </w:t>
      </w:r>
    </w:p>
    <w:p w14:paraId="65AB345E" w14:textId="77777777" w:rsidR="00AE3F43" w:rsidRDefault="008207BD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atual modelo adotado na prática </w:t>
      </w:r>
      <w:proofErr w:type="spellStart"/>
      <w:r>
        <w:rPr>
          <w:rFonts w:ascii="Times New Roman" w:eastAsia="Times New Roman" w:hAnsi="Times New Roman" w:cs="Times New Roman"/>
        </w:rPr>
        <w:t>deliberatória</w:t>
      </w:r>
      <w:proofErr w:type="spellEnd"/>
      <w:r>
        <w:rPr>
          <w:rFonts w:ascii="Times New Roman" w:eastAsia="Times New Roman" w:hAnsi="Times New Roman" w:cs="Times New Roman"/>
        </w:rPr>
        <w:t xml:space="preserve"> do STF sofre várias críticas por parte dos seus estudiosos, por dificultar o fortalecimento dos precedente judiciais, fomentar a construção de posições incongruentes e ausência de debates entre os Ministros, que muitas vezes já levam os seus votos prontos para as sessões de julgamento.</w:t>
      </w:r>
    </w:p>
    <w:p w14:paraId="16A08D04" w14:textId="27BAA31E" w:rsidR="00FA4A9E" w:rsidRPr="008B60EA" w:rsidRDefault="00AE3F43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objetivo geral do resumo é elucidar a compatibilidade entre a adequação do modelo </w:t>
      </w:r>
      <w:r w:rsidRPr="00AE3F43">
        <w:rPr>
          <w:rFonts w:ascii="Times New Roman" w:eastAsia="Times New Roman" w:hAnsi="Times New Roman" w:cs="Times New Roman"/>
          <w:i/>
          <w:iCs/>
        </w:rPr>
        <w:t xml:space="preserve">per </w:t>
      </w:r>
      <w:proofErr w:type="spellStart"/>
      <w:r w:rsidRPr="00AE3F43">
        <w:rPr>
          <w:rFonts w:ascii="Times New Roman" w:eastAsia="Times New Roman" w:hAnsi="Times New Roman" w:cs="Times New Roman"/>
          <w:i/>
          <w:iCs/>
        </w:rPr>
        <w:t>curiam</w:t>
      </w:r>
      <w:proofErr w:type="spellEnd"/>
      <w:r>
        <w:rPr>
          <w:rFonts w:ascii="Times New Roman" w:eastAsia="Times New Roman" w:hAnsi="Times New Roman" w:cs="Times New Roman"/>
        </w:rPr>
        <w:t xml:space="preserve"> com a regra da publicidade. Aparentemente a entrevista do Presidente Lula pode ser interpretada como um ponto de partida para viabilizar a concretização do modelo </w:t>
      </w:r>
      <w:r w:rsidRPr="00AE3F43">
        <w:rPr>
          <w:rFonts w:ascii="Times New Roman" w:eastAsia="Times New Roman" w:hAnsi="Times New Roman" w:cs="Times New Roman"/>
          <w:i/>
          <w:iCs/>
        </w:rPr>
        <w:t xml:space="preserve">per </w:t>
      </w:r>
      <w:proofErr w:type="spellStart"/>
      <w:r w:rsidRPr="00AE3F43">
        <w:rPr>
          <w:rFonts w:ascii="Times New Roman" w:eastAsia="Times New Roman" w:hAnsi="Times New Roman" w:cs="Times New Roman"/>
          <w:i/>
          <w:iCs/>
        </w:rPr>
        <w:t>curiam</w:t>
      </w:r>
      <w:proofErr w:type="spellEnd"/>
      <w:r>
        <w:rPr>
          <w:rFonts w:ascii="Times New Roman" w:eastAsia="Times New Roman" w:hAnsi="Times New Roman" w:cs="Times New Roman"/>
        </w:rPr>
        <w:t xml:space="preserve"> que garante que haja a divulgação do resultado dos julgamentos, não sendo incompatível com o direito fundamental à publicidade.</w:t>
      </w:r>
    </w:p>
    <w:p w14:paraId="3A877606" w14:textId="77777777" w:rsidR="007F5AA8" w:rsidRPr="008B60EA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68EA7C51" w14:textId="11AFD56B" w:rsidR="00FA4A9E" w:rsidRPr="008B60EA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 w:rsidRPr="008B60EA">
        <w:rPr>
          <w:rFonts w:ascii="Times New Roman" w:eastAsia="Times New Roman" w:hAnsi="Times New Roman" w:cs="Times New Roman"/>
          <w:b/>
          <w:bCs/>
        </w:rPr>
        <w:t xml:space="preserve">PALAVRAS-CHAVE: </w:t>
      </w:r>
      <w:r w:rsidR="00AE3F43">
        <w:rPr>
          <w:rFonts w:ascii="Times New Roman" w:eastAsia="Times New Roman" w:hAnsi="Times New Roman" w:cs="Times New Roman"/>
        </w:rPr>
        <w:t xml:space="preserve">STF. Deliberações. Publicidade. Sistema Per </w:t>
      </w:r>
      <w:proofErr w:type="spellStart"/>
      <w:r w:rsidR="00AE3F43">
        <w:rPr>
          <w:rFonts w:ascii="Times New Roman" w:eastAsia="Times New Roman" w:hAnsi="Times New Roman" w:cs="Times New Roman"/>
        </w:rPr>
        <w:t>Curiam</w:t>
      </w:r>
      <w:proofErr w:type="spellEnd"/>
    </w:p>
    <w:p w14:paraId="6AB27C5D" w14:textId="77777777" w:rsidR="007F5AA8" w:rsidRPr="008B60EA" w:rsidRDefault="007F5AA8" w:rsidP="008B60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8E3736" w14:textId="71C3B1BC" w:rsidR="007F5AA8" w:rsidRPr="008B60EA" w:rsidRDefault="00FA4A9E" w:rsidP="001B6F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60EA">
        <w:rPr>
          <w:rFonts w:ascii="Times New Roman" w:eastAsia="Times New Roman" w:hAnsi="Times New Roman" w:cs="Times New Roman"/>
          <w:b/>
          <w:bCs/>
        </w:rPr>
        <w:t xml:space="preserve">Referências </w:t>
      </w:r>
    </w:p>
    <w:p w14:paraId="715D3054" w14:textId="77777777" w:rsidR="001B6F76" w:rsidRDefault="001B6F76" w:rsidP="00FA4A9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83B789" w14:textId="203DE260" w:rsidR="000B1C0F" w:rsidRDefault="000B1C0F" w:rsidP="00FA4A9E">
      <w:pPr>
        <w:spacing w:after="0" w:line="240" w:lineRule="auto"/>
        <w:rPr>
          <w:rFonts w:ascii="Times New Roman" w:hAnsi="Times New Roman" w:cs="Times New Roman"/>
        </w:rPr>
      </w:pPr>
      <w:r w:rsidRPr="000B1C0F">
        <w:rPr>
          <w:rFonts w:ascii="Times New Roman" w:hAnsi="Times New Roman" w:cs="Times New Roman"/>
        </w:rPr>
        <w:t>BRASIL</w:t>
      </w:r>
      <w:r w:rsidRPr="000B1C0F">
        <w:rPr>
          <w:rFonts w:ascii="Times New Roman" w:hAnsi="Times New Roman" w:cs="Times New Roman"/>
        </w:rPr>
        <w:t>. [Constituição (1988)] Constituição da República Federativa do Brasil: texto constitucional promulgado em 5 de outubro de 1988, com as alterações determinadas pelas Emendas Constitucionais de Revisão nos 1 a 6/94, pelas Emendas Constitucionais nos 1/92 a 91/2016 e pelo Decreto Legislativo no 186/2008. – Brasília : Senado Federal, Coordenação de Edições Técnicas, 2016.</w:t>
      </w:r>
    </w:p>
    <w:p w14:paraId="3AA14621" w14:textId="77777777" w:rsidR="000B1C0F" w:rsidRDefault="000B1C0F" w:rsidP="00FA4A9E">
      <w:pPr>
        <w:spacing w:after="0" w:line="240" w:lineRule="auto"/>
        <w:rPr>
          <w:rFonts w:ascii="Times New Roman" w:hAnsi="Times New Roman" w:cs="Times New Roman"/>
        </w:rPr>
      </w:pPr>
    </w:p>
    <w:p w14:paraId="279515C0" w14:textId="7EE4998A" w:rsidR="000B1C0F" w:rsidRDefault="000B1C0F" w:rsidP="000B1C0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DIDIER JÚNIOR. </w:t>
      </w:r>
      <w:proofErr w:type="spellStart"/>
      <w:r>
        <w:rPr>
          <w:rFonts w:ascii="Times New Roman" w:eastAsia="Times New Roman" w:hAnsi="Times New Roman" w:cs="Times New Roman"/>
        </w:rPr>
        <w:t>Fredie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Pr="000C444E">
        <w:rPr>
          <w:rFonts w:ascii="Times New Roman" w:eastAsia="Times New Roman" w:hAnsi="Times New Roman" w:cs="Times New Roman"/>
          <w:b/>
          <w:bCs/>
        </w:rPr>
        <w:t>Curso de direito processual civil</w:t>
      </w:r>
      <w:r w:rsidRPr="000C444E">
        <w:rPr>
          <w:rFonts w:ascii="Times New Roman" w:eastAsia="Times New Roman" w:hAnsi="Times New Roman" w:cs="Times New Roman"/>
        </w:rPr>
        <w:t>: introdução ao direito processual civil, parte</w:t>
      </w:r>
      <w:r>
        <w:rPr>
          <w:rFonts w:ascii="Times New Roman" w:eastAsia="Times New Roman" w:hAnsi="Times New Roman" w:cs="Times New Roman"/>
        </w:rPr>
        <w:t xml:space="preserve"> </w:t>
      </w:r>
      <w:r w:rsidRPr="000C444E">
        <w:rPr>
          <w:rFonts w:ascii="Times New Roman" w:eastAsia="Times New Roman" w:hAnsi="Times New Roman" w:cs="Times New Roman"/>
        </w:rPr>
        <w:t>geral e processo de conhecimento</w:t>
      </w:r>
      <w:r>
        <w:rPr>
          <w:rFonts w:ascii="Times New Roman" w:eastAsia="Times New Roman" w:hAnsi="Times New Roman" w:cs="Times New Roman"/>
        </w:rPr>
        <w:t xml:space="preserve">. </w:t>
      </w:r>
      <w:r w:rsidRPr="000C444E">
        <w:rPr>
          <w:rFonts w:ascii="Times New Roman" w:eastAsia="Times New Roman" w:hAnsi="Times New Roman" w:cs="Times New Roman"/>
        </w:rPr>
        <w:t>19. ed.</w:t>
      </w:r>
      <w:r>
        <w:rPr>
          <w:rFonts w:ascii="Times New Roman" w:eastAsia="Times New Roman" w:hAnsi="Times New Roman" w:cs="Times New Roman"/>
        </w:rPr>
        <w:t xml:space="preserve"> </w:t>
      </w:r>
      <w:r w:rsidRPr="000C444E">
        <w:rPr>
          <w:rFonts w:ascii="Times New Roman" w:eastAsia="Times New Roman" w:hAnsi="Times New Roman" w:cs="Times New Roman"/>
        </w:rPr>
        <w:t>Salvador: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444E">
        <w:rPr>
          <w:rFonts w:ascii="Times New Roman" w:eastAsia="Times New Roman" w:hAnsi="Times New Roman" w:cs="Times New Roman"/>
        </w:rPr>
        <w:t>Jus</w:t>
      </w:r>
      <w:r>
        <w:rPr>
          <w:rFonts w:ascii="Times New Roman" w:eastAsia="Times New Roman" w:hAnsi="Times New Roman" w:cs="Times New Roman"/>
        </w:rPr>
        <w:t>p</w:t>
      </w:r>
      <w:r w:rsidRPr="000C444E">
        <w:rPr>
          <w:rFonts w:ascii="Times New Roman" w:eastAsia="Times New Roman" w:hAnsi="Times New Roman" w:cs="Times New Roman"/>
        </w:rPr>
        <w:t>odivm</w:t>
      </w:r>
      <w:proofErr w:type="spellEnd"/>
      <w:r w:rsidRPr="000C444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0C444E">
        <w:rPr>
          <w:rFonts w:ascii="Times New Roman" w:eastAsia="Times New Roman" w:hAnsi="Times New Roman" w:cs="Times New Roman"/>
        </w:rPr>
        <w:t>2017.</w:t>
      </w:r>
    </w:p>
    <w:p w14:paraId="635B2B89" w14:textId="77777777" w:rsidR="000B1C0F" w:rsidRDefault="000B1C0F" w:rsidP="000B1C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E31BFF" w14:textId="77777777" w:rsidR="000B1C0F" w:rsidRDefault="000B1C0F" w:rsidP="000B1C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6F76">
        <w:rPr>
          <w:rFonts w:ascii="Times New Roman" w:eastAsia="Times New Roman" w:hAnsi="Times New Roman" w:cs="Times New Roman"/>
        </w:rPr>
        <w:t>KIRSZTAJN</w:t>
      </w:r>
      <w:r>
        <w:rPr>
          <w:rFonts w:ascii="Times New Roman" w:eastAsia="Times New Roman" w:hAnsi="Times New Roman" w:cs="Times New Roman"/>
        </w:rPr>
        <w:t xml:space="preserve">, </w:t>
      </w:r>
      <w:r w:rsidRPr="001B6F76">
        <w:rPr>
          <w:rFonts w:ascii="Times New Roman" w:eastAsia="Times New Roman" w:hAnsi="Times New Roman" w:cs="Times New Roman"/>
        </w:rPr>
        <w:t>Laura Mastroianni</w:t>
      </w:r>
      <w:r>
        <w:rPr>
          <w:rFonts w:ascii="Times New Roman" w:eastAsia="Times New Roman" w:hAnsi="Times New Roman" w:cs="Times New Roman"/>
        </w:rPr>
        <w:t xml:space="preserve">. </w:t>
      </w:r>
      <w:r w:rsidRPr="003B7AA8">
        <w:rPr>
          <w:rFonts w:ascii="Times New Roman" w:eastAsia="Times New Roman" w:hAnsi="Times New Roman" w:cs="Times New Roman"/>
          <w:b/>
          <w:bCs/>
        </w:rPr>
        <w:t>O processo decisório e deliberativo da Corte Constitucional da Colômbia: um caminho para o STF?</w:t>
      </w:r>
      <w:r>
        <w:rPr>
          <w:rFonts w:ascii="Times New Roman" w:eastAsia="Times New Roman" w:hAnsi="Times New Roman" w:cs="Times New Roman"/>
        </w:rPr>
        <w:t xml:space="preserve"> Monografia (Bacharelado em Direito). </w:t>
      </w:r>
      <w:r w:rsidRPr="003B7AA8">
        <w:rPr>
          <w:rFonts w:ascii="Times New Roman" w:eastAsia="Times New Roman" w:hAnsi="Times New Roman" w:cs="Times New Roman"/>
        </w:rPr>
        <w:t>Escola de Direito de São Paulo da Fundação Getúlio</w:t>
      </w:r>
      <w:r>
        <w:rPr>
          <w:rFonts w:ascii="Times New Roman" w:eastAsia="Times New Roman" w:hAnsi="Times New Roman" w:cs="Times New Roman"/>
        </w:rPr>
        <w:t xml:space="preserve"> </w:t>
      </w:r>
      <w:r w:rsidRPr="003B7AA8">
        <w:rPr>
          <w:rFonts w:ascii="Times New Roman" w:eastAsia="Times New Roman" w:hAnsi="Times New Roman" w:cs="Times New Roman"/>
        </w:rPr>
        <w:t>Vargas</w:t>
      </w:r>
      <w:r>
        <w:rPr>
          <w:rFonts w:ascii="Times New Roman" w:eastAsia="Times New Roman" w:hAnsi="Times New Roman" w:cs="Times New Roman"/>
        </w:rPr>
        <w:t xml:space="preserve">. São Paulo. Disponível em:/ </w:t>
      </w:r>
      <w:r w:rsidRPr="00EB1328">
        <w:rPr>
          <w:rFonts w:ascii="Times New Roman" w:eastAsia="Times New Roman" w:hAnsi="Times New Roman" w:cs="Times New Roman"/>
        </w:rPr>
        <w:t>https://bibliotecadigital.fgv.br/dspace/handle/10438/29758</w:t>
      </w:r>
      <w:r>
        <w:rPr>
          <w:rFonts w:ascii="Times New Roman" w:eastAsia="Times New Roman" w:hAnsi="Times New Roman" w:cs="Times New Roman"/>
        </w:rPr>
        <w:t>. Acesso em: 08 set. 2023.</w:t>
      </w:r>
    </w:p>
    <w:p w14:paraId="58FDC25A" w14:textId="77777777" w:rsidR="000B1C0F" w:rsidRDefault="000B1C0F" w:rsidP="000B1C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BF9216" w14:textId="77777777" w:rsidR="000B1C0F" w:rsidRDefault="000B1C0F" w:rsidP="000B1C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661">
        <w:rPr>
          <w:rFonts w:ascii="Times New Roman" w:eastAsia="Times New Roman" w:hAnsi="Times New Roman" w:cs="Times New Roman"/>
        </w:rPr>
        <w:t xml:space="preserve">LUNARDI, </w:t>
      </w:r>
      <w:r>
        <w:rPr>
          <w:rFonts w:ascii="Times New Roman" w:eastAsia="Times New Roman" w:hAnsi="Times New Roman" w:cs="Times New Roman"/>
        </w:rPr>
        <w:t>F</w:t>
      </w:r>
      <w:r w:rsidRPr="00CC1661">
        <w:rPr>
          <w:rFonts w:ascii="Times New Roman" w:eastAsia="Times New Roman" w:hAnsi="Times New Roman" w:cs="Times New Roman"/>
        </w:rPr>
        <w:t xml:space="preserve">abrício </w:t>
      </w:r>
      <w:r>
        <w:rPr>
          <w:rFonts w:ascii="Times New Roman" w:eastAsia="Times New Roman" w:hAnsi="Times New Roman" w:cs="Times New Roman"/>
        </w:rPr>
        <w:t>C</w:t>
      </w:r>
      <w:r w:rsidRPr="00CC1661">
        <w:rPr>
          <w:rFonts w:ascii="Times New Roman" w:eastAsia="Times New Roman" w:hAnsi="Times New Roman" w:cs="Times New Roman"/>
        </w:rPr>
        <w:t xml:space="preserve">astagna. Supremo voto do relator ou onze votos Supremos? Uma análise do comportamento dos Ministros do STF nos julgamentos colegiados. </w:t>
      </w:r>
      <w:r w:rsidRPr="00CC1661">
        <w:rPr>
          <w:rFonts w:ascii="Times New Roman" w:eastAsia="Times New Roman" w:hAnsi="Times New Roman" w:cs="Times New Roman"/>
          <w:b/>
          <w:bCs/>
        </w:rPr>
        <w:t>Revista de Investigações Constitucionais</w:t>
      </w:r>
      <w:r w:rsidRPr="00CC1661">
        <w:rPr>
          <w:rFonts w:ascii="Times New Roman" w:eastAsia="Times New Roman" w:hAnsi="Times New Roman" w:cs="Times New Roman"/>
        </w:rPr>
        <w:t xml:space="preserve">. 2022, v. 9, n. 1, p. 229-250. Disponível em: </w:t>
      </w:r>
      <w:r w:rsidRPr="00734054">
        <w:rPr>
          <w:rFonts w:ascii="Times New Roman" w:eastAsia="Times New Roman" w:hAnsi="Times New Roman" w:cs="Times New Roman"/>
        </w:rPr>
        <w:t>https://doi.org/10.5380/rinc.v9i1.83911</w:t>
      </w:r>
      <w:r w:rsidRPr="00CC166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Acesso em: 8 set. 2023.</w:t>
      </w:r>
    </w:p>
    <w:p w14:paraId="71249413" w14:textId="77777777" w:rsidR="00EB1328" w:rsidRDefault="00EB1328" w:rsidP="00EB13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361B75" w14:textId="7321C08A" w:rsidR="00EB1328" w:rsidRDefault="00EB1328" w:rsidP="00EB1328">
      <w:pPr>
        <w:spacing w:after="0" w:line="240" w:lineRule="auto"/>
        <w:rPr>
          <w:rFonts w:ascii="Noto Sans" w:hAnsi="Noto Sans" w:cs="Noto Sans"/>
          <w:sz w:val="16"/>
          <w:szCs w:val="16"/>
          <w:shd w:val="clear" w:color="auto" w:fill="FFFFFF"/>
        </w:rPr>
      </w:pPr>
      <w:r w:rsidRPr="00EB1328">
        <w:rPr>
          <w:rFonts w:ascii="Times New Roman" w:hAnsi="Times New Roman" w:cs="Times New Roman"/>
          <w:shd w:val="clear" w:color="auto" w:fill="FFFFFF"/>
        </w:rPr>
        <w:t>PANUTTO, P</w:t>
      </w:r>
      <w:r w:rsidR="007665B9">
        <w:rPr>
          <w:rFonts w:ascii="Times New Roman" w:hAnsi="Times New Roman" w:cs="Times New Roman"/>
          <w:shd w:val="clear" w:color="auto" w:fill="FFFFFF"/>
        </w:rPr>
        <w:t>eter</w:t>
      </w:r>
      <w:r w:rsidRPr="00EB1328">
        <w:rPr>
          <w:rFonts w:ascii="Times New Roman" w:hAnsi="Times New Roman" w:cs="Times New Roman"/>
          <w:shd w:val="clear" w:color="auto" w:fill="FFFFFF"/>
        </w:rPr>
        <w:t>. A plena deliberação interna do Supremo Tribunal Federal para a efetiva criação dos precedentes judiciais vinculantes estabelecidos pelo novo Código de Processo Civil. </w:t>
      </w:r>
      <w:r w:rsidRPr="00EB1328">
        <w:rPr>
          <w:rFonts w:ascii="Times New Roman" w:hAnsi="Times New Roman" w:cs="Times New Roman"/>
          <w:b/>
          <w:bCs/>
          <w:shd w:val="clear" w:color="auto" w:fill="FFFFFF"/>
        </w:rPr>
        <w:t>Revista de Direitos e Garantias Fundamentais</w:t>
      </w:r>
      <w:r w:rsidRPr="00EB1328">
        <w:rPr>
          <w:rFonts w:ascii="Times New Roman" w:hAnsi="Times New Roman" w:cs="Times New Roman"/>
          <w:shd w:val="clear" w:color="auto" w:fill="FFFFFF"/>
        </w:rPr>
        <w:t>, v. 18, n. 2, p. 205–226, 2018. Disponível em: https://sisbib.emnuvens.com.br/direitosegarantias/article/view/941. Acesso em: 8 set. 2023</w:t>
      </w:r>
      <w:r>
        <w:rPr>
          <w:rFonts w:ascii="Noto Sans" w:hAnsi="Noto Sans" w:cs="Noto Sans"/>
          <w:sz w:val="16"/>
          <w:szCs w:val="16"/>
          <w:shd w:val="clear" w:color="auto" w:fill="FFFFFF"/>
        </w:rPr>
        <w:t>.</w:t>
      </w:r>
    </w:p>
    <w:p w14:paraId="29E10C1F" w14:textId="77777777" w:rsidR="00526D6F" w:rsidRDefault="00526D6F" w:rsidP="00EB1328">
      <w:pPr>
        <w:spacing w:after="0" w:line="240" w:lineRule="auto"/>
        <w:rPr>
          <w:rFonts w:ascii="Noto Sans" w:hAnsi="Noto Sans" w:cs="Noto Sans"/>
          <w:sz w:val="16"/>
          <w:szCs w:val="16"/>
          <w:shd w:val="clear" w:color="auto" w:fill="FFFFFF"/>
        </w:rPr>
      </w:pPr>
    </w:p>
    <w:p w14:paraId="515B5E2F" w14:textId="77777777" w:rsidR="000B1C0F" w:rsidRDefault="000B1C0F" w:rsidP="000B1C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661">
        <w:rPr>
          <w:rFonts w:ascii="Times New Roman" w:eastAsia="Times New Roman" w:hAnsi="Times New Roman" w:cs="Times New Roman"/>
        </w:rPr>
        <w:t>SCHREIBER, Simone</w:t>
      </w:r>
      <w:r>
        <w:rPr>
          <w:rFonts w:ascii="Times New Roman" w:eastAsia="Times New Roman" w:hAnsi="Times New Roman" w:cs="Times New Roman"/>
        </w:rPr>
        <w:t xml:space="preserve">. </w:t>
      </w:r>
      <w:r w:rsidRPr="00CC1661">
        <w:rPr>
          <w:rFonts w:ascii="Times New Roman" w:eastAsia="Times New Roman" w:hAnsi="Times New Roman" w:cs="Times New Roman"/>
        </w:rPr>
        <w:t>Notas sobre o princípio da publicidade processual no Processo Penal</w:t>
      </w:r>
      <w:r>
        <w:rPr>
          <w:rFonts w:ascii="Times New Roman" w:eastAsia="Times New Roman" w:hAnsi="Times New Roman" w:cs="Times New Roman"/>
        </w:rPr>
        <w:t xml:space="preserve">. </w:t>
      </w:r>
      <w:r w:rsidRPr="00CC1661">
        <w:rPr>
          <w:rFonts w:ascii="Times New Roman" w:eastAsia="Times New Roman" w:hAnsi="Times New Roman" w:cs="Times New Roman"/>
          <w:b/>
          <w:bCs/>
        </w:rPr>
        <w:t>Revista da Seção Judiciária do Rio de Janeiro</w:t>
      </w:r>
      <w:r w:rsidRPr="00CC1661">
        <w:rPr>
          <w:rFonts w:ascii="Times New Roman" w:eastAsia="Times New Roman" w:hAnsi="Times New Roman" w:cs="Times New Roman"/>
        </w:rPr>
        <w:t>, Rio de Janeiro, v. 20, n. 36, p. 133-148, abr. 2013.</w:t>
      </w:r>
      <w:r>
        <w:rPr>
          <w:rFonts w:ascii="Times New Roman" w:eastAsia="Times New Roman" w:hAnsi="Times New Roman" w:cs="Times New Roman"/>
        </w:rPr>
        <w:t xml:space="preserve"> Disponível em: </w:t>
      </w:r>
      <w:hyperlink r:id="rId8" w:history="1">
        <w:r w:rsidRPr="00810F1B">
          <w:rPr>
            <w:rStyle w:val="Hyperlink"/>
            <w:rFonts w:ascii="Times New Roman" w:eastAsia="Times New Roman" w:hAnsi="Times New Roman" w:cs="Times New Roman"/>
          </w:rPr>
          <w:t>https://bdjur.stj.jus.br/jspui/handle/2011/74782</w:t>
        </w:r>
      </w:hyperlink>
      <w:r>
        <w:rPr>
          <w:rFonts w:ascii="Times New Roman" w:eastAsia="Times New Roman" w:hAnsi="Times New Roman" w:cs="Times New Roman"/>
        </w:rPr>
        <w:t>. Acesso em: 8 set. 2023</w:t>
      </w:r>
    </w:p>
    <w:p w14:paraId="557DACCF" w14:textId="77777777" w:rsidR="000B1C0F" w:rsidRDefault="000B1C0F" w:rsidP="00EB1328">
      <w:pPr>
        <w:spacing w:after="0" w:line="240" w:lineRule="auto"/>
        <w:rPr>
          <w:rFonts w:ascii="Noto Sans" w:hAnsi="Noto Sans" w:cs="Noto Sans"/>
          <w:sz w:val="16"/>
          <w:szCs w:val="16"/>
          <w:shd w:val="clear" w:color="auto" w:fill="FFFFFF"/>
        </w:rPr>
      </w:pPr>
    </w:p>
    <w:p w14:paraId="7FB860F5" w14:textId="1B85D9E5" w:rsidR="00526D6F" w:rsidRDefault="00D761E1" w:rsidP="00EB132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6D6F">
        <w:rPr>
          <w:rFonts w:ascii="Times New Roman" w:eastAsia="Times New Roman" w:hAnsi="Times New Roman" w:cs="Times New Roman"/>
        </w:rPr>
        <w:t>STRAPASSON</w:t>
      </w:r>
      <w:r w:rsidR="00526D6F">
        <w:rPr>
          <w:rFonts w:ascii="Times New Roman" w:eastAsia="Times New Roman" w:hAnsi="Times New Roman" w:cs="Times New Roman"/>
        </w:rPr>
        <w:t xml:space="preserve">, </w:t>
      </w:r>
      <w:r w:rsidR="00526D6F" w:rsidRPr="00526D6F">
        <w:rPr>
          <w:rFonts w:ascii="Times New Roman" w:eastAsia="Times New Roman" w:hAnsi="Times New Roman" w:cs="Times New Roman"/>
        </w:rPr>
        <w:t>Kamila Maria</w:t>
      </w:r>
      <w:r w:rsidR="00A808E4">
        <w:rPr>
          <w:rFonts w:ascii="Times New Roman" w:eastAsia="Times New Roman" w:hAnsi="Times New Roman" w:cs="Times New Roman"/>
        </w:rPr>
        <w:t xml:space="preserve">; </w:t>
      </w:r>
      <w:r w:rsidR="00A808E4" w:rsidRPr="00A808E4">
        <w:rPr>
          <w:rFonts w:ascii="Times New Roman" w:eastAsia="Times New Roman" w:hAnsi="Times New Roman" w:cs="Times New Roman"/>
        </w:rPr>
        <w:t>BARBOZA</w:t>
      </w:r>
      <w:r w:rsidR="00A808E4">
        <w:rPr>
          <w:rFonts w:ascii="Times New Roman" w:eastAsia="Times New Roman" w:hAnsi="Times New Roman" w:cs="Times New Roman"/>
        </w:rPr>
        <w:t xml:space="preserve">, </w:t>
      </w:r>
      <w:r w:rsidR="00A808E4" w:rsidRPr="00A808E4">
        <w:rPr>
          <w:rFonts w:ascii="Times New Roman" w:eastAsia="Times New Roman" w:hAnsi="Times New Roman" w:cs="Times New Roman"/>
        </w:rPr>
        <w:t>Estefânia Maria de Queiroz</w:t>
      </w:r>
      <w:r w:rsidR="00A808E4">
        <w:rPr>
          <w:rFonts w:ascii="Times New Roman" w:eastAsia="Times New Roman" w:hAnsi="Times New Roman" w:cs="Times New Roman"/>
        </w:rPr>
        <w:t xml:space="preserve">. </w:t>
      </w:r>
      <w:r w:rsidR="00A808E4" w:rsidRPr="00A808E4">
        <w:rPr>
          <w:rFonts w:ascii="Times New Roman" w:eastAsia="Times New Roman" w:hAnsi="Times New Roman" w:cs="Times New Roman"/>
        </w:rPr>
        <w:t xml:space="preserve">O modelo de decisão escrita </w:t>
      </w:r>
      <w:proofErr w:type="spellStart"/>
      <w:r w:rsidR="00A808E4" w:rsidRPr="00A808E4">
        <w:rPr>
          <w:rFonts w:ascii="Times New Roman" w:eastAsia="Times New Roman" w:hAnsi="Times New Roman" w:cs="Times New Roman"/>
        </w:rPr>
        <w:t>seriatim</w:t>
      </w:r>
      <w:proofErr w:type="spellEnd"/>
      <w:r w:rsidR="00A808E4" w:rsidRPr="00A808E4">
        <w:rPr>
          <w:rFonts w:ascii="Times New Roman" w:eastAsia="Times New Roman" w:hAnsi="Times New Roman" w:cs="Times New Roman"/>
        </w:rPr>
        <w:t xml:space="preserve"> adotado pelo Supremo Tribunal Federal: peculiaridades e alternativas</w:t>
      </w:r>
      <w:r w:rsidR="00A808E4">
        <w:rPr>
          <w:rFonts w:ascii="Times New Roman" w:eastAsia="Times New Roman" w:hAnsi="Times New Roman" w:cs="Times New Roman"/>
        </w:rPr>
        <w:t xml:space="preserve">. </w:t>
      </w:r>
      <w:r w:rsidR="00A808E4" w:rsidRPr="00A808E4">
        <w:rPr>
          <w:rFonts w:ascii="Times New Roman" w:eastAsia="Times New Roman" w:hAnsi="Times New Roman" w:cs="Times New Roman"/>
          <w:b/>
          <w:bCs/>
        </w:rPr>
        <w:t>Revista Pensar</w:t>
      </w:r>
      <w:r w:rsidR="00A808E4">
        <w:rPr>
          <w:rFonts w:ascii="Times New Roman" w:eastAsia="Times New Roman" w:hAnsi="Times New Roman" w:cs="Times New Roman"/>
        </w:rPr>
        <w:t xml:space="preserve">, </w:t>
      </w:r>
      <w:r w:rsidR="00A808E4" w:rsidRPr="00A808E4">
        <w:rPr>
          <w:rFonts w:ascii="Times New Roman" w:eastAsia="Times New Roman" w:hAnsi="Times New Roman" w:cs="Times New Roman"/>
        </w:rPr>
        <w:t>v. 28, n. 1, p. 1-13, jan./mar. 2023</w:t>
      </w:r>
      <w:r w:rsidR="00CC1661">
        <w:rPr>
          <w:rFonts w:ascii="Times New Roman" w:eastAsia="Times New Roman" w:hAnsi="Times New Roman" w:cs="Times New Roman"/>
        </w:rPr>
        <w:t xml:space="preserve">. Disponível em: </w:t>
      </w:r>
      <w:r w:rsidR="00CC1661" w:rsidRPr="00CC1661">
        <w:rPr>
          <w:rFonts w:ascii="Times New Roman" w:eastAsia="Times New Roman" w:hAnsi="Times New Roman" w:cs="Times New Roman"/>
        </w:rPr>
        <w:t>https://ojs.unifor.br/rpen/article/view/12270</w:t>
      </w:r>
      <w:r w:rsidR="00CC1661">
        <w:rPr>
          <w:rFonts w:ascii="Times New Roman" w:eastAsia="Times New Roman" w:hAnsi="Times New Roman" w:cs="Times New Roman"/>
        </w:rPr>
        <w:t>. Acesso em: 8 set. 2023.</w:t>
      </w:r>
    </w:p>
    <w:p w14:paraId="5D97D8E1" w14:textId="77777777" w:rsidR="00CC1661" w:rsidRDefault="00CC1661" w:rsidP="00EB13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62AAF9" w14:textId="77777777" w:rsidR="00CC1661" w:rsidRDefault="00CC1661" w:rsidP="00EB1328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CC1661" w:rsidSect="008B60EA">
      <w:headerReference w:type="default" r:id="rId9"/>
      <w:footerReference w:type="default" r:id="rId10"/>
      <w:pgSz w:w="11906" w:h="16838"/>
      <w:pgMar w:top="1701" w:right="1418" w:bottom="1418" w:left="1701" w:header="28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A917" w14:textId="77777777" w:rsidR="000772C4" w:rsidRDefault="000772C4" w:rsidP="00066031">
      <w:pPr>
        <w:spacing w:after="0" w:line="240" w:lineRule="auto"/>
      </w:pPr>
      <w:r>
        <w:separator/>
      </w:r>
    </w:p>
  </w:endnote>
  <w:endnote w:type="continuationSeparator" w:id="0">
    <w:p w14:paraId="7B1D6AF2" w14:textId="77777777" w:rsidR="000772C4" w:rsidRDefault="000772C4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BA33" w14:textId="77777777" w:rsidR="000772C4" w:rsidRDefault="000772C4" w:rsidP="00066031">
      <w:pPr>
        <w:spacing w:after="0" w:line="240" w:lineRule="auto"/>
      </w:pPr>
      <w:r>
        <w:separator/>
      </w:r>
    </w:p>
  </w:footnote>
  <w:footnote w:type="continuationSeparator" w:id="0">
    <w:p w14:paraId="06EAEDA0" w14:textId="77777777" w:rsidR="000772C4" w:rsidRDefault="000772C4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55F3C2FD" w:rsidR="00066031" w:rsidRPr="002555DD" w:rsidRDefault="002555DD" w:rsidP="002555DD">
    <w:pPr>
      <w:pStyle w:val="Cabealho"/>
      <w:jc w:val="center"/>
    </w:pPr>
    <w:r>
      <w:rPr>
        <w:noProof/>
      </w:rPr>
      <w:drawing>
        <wp:inline distT="0" distB="0" distL="0" distR="0" wp14:anchorId="038C544E" wp14:editId="468AFA0C">
          <wp:extent cx="5000625" cy="1292231"/>
          <wp:effectExtent l="0" t="0" r="0" b="3175"/>
          <wp:docPr id="1614883618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11084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7" b="21474"/>
                  <a:stretch/>
                </pic:blipFill>
                <pic:spPr bwMode="auto"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6952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66031"/>
    <w:rsid w:val="000772C4"/>
    <w:rsid w:val="000B1C0F"/>
    <w:rsid w:val="000B61D3"/>
    <w:rsid w:val="000C444E"/>
    <w:rsid w:val="000D6101"/>
    <w:rsid w:val="000F06E0"/>
    <w:rsid w:val="00122AEF"/>
    <w:rsid w:val="00176295"/>
    <w:rsid w:val="00180386"/>
    <w:rsid w:val="001B6F76"/>
    <w:rsid w:val="001E49C3"/>
    <w:rsid w:val="001F103F"/>
    <w:rsid w:val="002555DD"/>
    <w:rsid w:val="00295D38"/>
    <w:rsid w:val="00357059"/>
    <w:rsid w:val="003A4600"/>
    <w:rsid w:val="003B7AA8"/>
    <w:rsid w:val="003C634A"/>
    <w:rsid w:val="003D4ECD"/>
    <w:rsid w:val="003E3604"/>
    <w:rsid w:val="00417198"/>
    <w:rsid w:val="00440777"/>
    <w:rsid w:val="004622A7"/>
    <w:rsid w:val="004816ED"/>
    <w:rsid w:val="004956F8"/>
    <w:rsid w:val="005008CE"/>
    <w:rsid w:val="00526D6F"/>
    <w:rsid w:val="00586AE5"/>
    <w:rsid w:val="005A284D"/>
    <w:rsid w:val="005F6908"/>
    <w:rsid w:val="005F78C7"/>
    <w:rsid w:val="006106EC"/>
    <w:rsid w:val="006431F0"/>
    <w:rsid w:val="006452B1"/>
    <w:rsid w:val="00674E5F"/>
    <w:rsid w:val="006956FE"/>
    <w:rsid w:val="006B76F7"/>
    <w:rsid w:val="006C49D4"/>
    <w:rsid w:val="006D1735"/>
    <w:rsid w:val="006E3032"/>
    <w:rsid w:val="00724FD8"/>
    <w:rsid w:val="00733EEC"/>
    <w:rsid w:val="00734054"/>
    <w:rsid w:val="00746F6D"/>
    <w:rsid w:val="007665B9"/>
    <w:rsid w:val="007718AB"/>
    <w:rsid w:val="007D0AB2"/>
    <w:rsid w:val="007F5AA8"/>
    <w:rsid w:val="008207BD"/>
    <w:rsid w:val="0083025C"/>
    <w:rsid w:val="00834DA9"/>
    <w:rsid w:val="00836B56"/>
    <w:rsid w:val="00881233"/>
    <w:rsid w:val="00882A5B"/>
    <w:rsid w:val="00887EBE"/>
    <w:rsid w:val="008B60EA"/>
    <w:rsid w:val="008C3D4B"/>
    <w:rsid w:val="00945DE0"/>
    <w:rsid w:val="009461A9"/>
    <w:rsid w:val="00946B99"/>
    <w:rsid w:val="00983681"/>
    <w:rsid w:val="009C21CC"/>
    <w:rsid w:val="009C4C8B"/>
    <w:rsid w:val="009D5FB1"/>
    <w:rsid w:val="00A140AB"/>
    <w:rsid w:val="00A439A4"/>
    <w:rsid w:val="00A61BB5"/>
    <w:rsid w:val="00A62F62"/>
    <w:rsid w:val="00A77A63"/>
    <w:rsid w:val="00A808E4"/>
    <w:rsid w:val="00A93F32"/>
    <w:rsid w:val="00AA185E"/>
    <w:rsid w:val="00AC2ABF"/>
    <w:rsid w:val="00AD3B90"/>
    <w:rsid w:val="00AE3F43"/>
    <w:rsid w:val="00AF6C9D"/>
    <w:rsid w:val="00B10DC6"/>
    <w:rsid w:val="00B74B34"/>
    <w:rsid w:val="00BA6279"/>
    <w:rsid w:val="00C134CA"/>
    <w:rsid w:val="00C41931"/>
    <w:rsid w:val="00C41CF0"/>
    <w:rsid w:val="00C43287"/>
    <w:rsid w:val="00C47A37"/>
    <w:rsid w:val="00C717D1"/>
    <w:rsid w:val="00C83EDF"/>
    <w:rsid w:val="00CA6C8F"/>
    <w:rsid w:val="00CC1661"/>
    <w:rsid w:val="00CE50BA"/>
    <w:rsid w:val="00D1605F"/>
    <w:rsid w:val="00D27D15"/>
    <w:rsid w:val="00D41E85"/>
    <w:rsid w:val="00D55C7A"/>
    <w:rsid w:val="00D761E1"/>
    <w:rsid w:val="00DB2D21"/>
    <w:rsid w:val="00E63089"/>
    <w:rsid w:val="00E71AE3"/>
    <w:rsid w:val="00E8411A"/>
    <w:rsid w:val="00EB1328"/>
    <w:rsid w:val="00EB1A7D"/>
    <w:rsid w:val="00EC6B02"/>
    <w:rsid w:val="00ED7AC7"/>
    <w:rsid w:val="00EE6B4C"/>
    <w:rsid w:val="00F86E5B"/>
    <w:rsid w:val="00FA0F13"/>
    <w:rsid w:val="00FA4A9E"/>
    <w:rsid w:val="00FB7F20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jur.stj.jus.br/jspui/handle/2011/747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1653</Words>
  <Characters>8930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SAULO</cp:lastModifiedBy>
  <cp:revision>83</cp:revision>
  <dcterms:created xsi:type="dcterms:W3CDTF">2022-07-04T12:12:00Z</dcterms:created>
  <dcterms:modified xsi:type="dcterms:W3CDTF">2023-09-09T00:07:00Z</dcterms:modified>
</cp:coreProperties>
</file>