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7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A7F6B" w14:textId="4416B147" w:rsidR="000C03CF" w:rsidRPr="00A01DFB" w:rsidRDefault="000C03CF" w:rsidP="000C03CF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1DFB">
        <w:rPr>
          <w:rFonts w:ascii="Times New Roman" w:hAnsi="Times New Roman" w:cs="Times New Roman"/>
          <w:b/>
          <w:sz w:val="24"/>
          <w:szCs w:val="24"/>
        </w:rPr>
        <w:t>DISTRIBUIÇÃO DA MORTALIDA</w:t>
      </w:r>
      <w:r>
        <w:rPr>
          <w:rFonts w:ascii="Times New Roman" w:hAnsi="Times New Roman" w:cs="Times New Roman"/>
          <w:b/>
          <w:sz w:val="24"/>
          <w:szCs w:val="24"/>
        </w:rPr>
        <w:t>DE NEONATAL TARDIA</w:t>
      </w:r>
      <w:r w:rsidRPr="00A01DFB">
        <w:rPr>
          <w:rFonts w:ascii="Times New Roman" w:hAnsi="Times New Roman" w:cs="Times New Roman"/>
          <w:b/>
          <w:sz w:val="24"/>
          <w:szCs w:val="24"/>
        </w:rPr>
        <w:t xml:space="preserve"> POR CAUSAS EVITÁVEIS</w:t>
      </w:r>
      <w:r>
        <w:rPr>
          <w:rFonts w:ascii="Times New Roman" w:hAnsi="Times New Roman" w:cs="Times New Roman"/>
          <w:b/>
          <w:sz w:val="24"/>
          <w:szCs w:val="24"/>
        </w:rPr>
        <w:t xml:space="preserve"> NO PARÁ</w:t>
      </w:r>
      <w:r w:rsidRPr="00A01DFB">
        <w:rPr>
          <w:rFonts w:ascii="Times New Roman" w:hAnsi="Times New Roman" w:cs="Times New Roman"/>
          <w:b/>
          <w:sz w:val="24"/>
          <w:szCs w:val="24"/>
        </w:rPr>
        <w:t>: COMPORTAMENTO DECADAL</w:t>
      </w:r>
    </w:p>
    <w:p w14:paraId="25C58EF5" w14:textId="77777777" w:rsidR="000C03CF" w:rsidRPr="007B5A77" w:rsidRDefault="000C03CF" w:rsidP="000C0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BARROS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Sirley Costa de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(AUTOR)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 w14:paraId="270A1889" w14:textId="77777777" w:rsidR="000C03CF" w:rsidRPr="007B5A77" w:rsidRDefault="000C03CF" w:rsidP="000C0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FLORÊNCIO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 xml:space="preserve">Bárbara Ravena </w:t>
      </w:r>
      <w:r w:rsidRPr="007B5A77">
        <w:rPr>
          <w:rFonts w:ascii="Times New Roman" w:hAnsi="Times New Roman"/>
          <w:color w:val="000000"/>
          <w:sz w:val="20"/>
          <w:szCs w:val="20"/>
        </w:rPr>
        <w:t>(AUTOR)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 w14:paraId="3AE554D1" w14:textId="7EBC0742" w:rsidR="000713CF" w:rsidRDefault="000C0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RODRIGUES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>,</w:t>
      </w:r>
      <w:r>
        <w:rPr>
          <w:rFonts w:ascii="Times New Roman" w:hAnsi="Times New Roman"/>
          <w:color w:val="000000"/>
          <w:sz w:val="20"/>
          <w:szCs w:val="20"/>
        </w:rPr>
        <w:t xml:space="preserve"> Diego Pereira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 xml:space="preserve"> (AUTOR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)3</w:t>
      </w:r>
    </w:p>
    <w:p w14:paraId="5744A473" w14:textId="130A5FD2" w:rsidR="000C03CF" w:rsidRPr="000C03CF" w:rsidRDefault="000C0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CUNHA, Carlos Leonardo (AUTOR)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</w:p>
    <w:p w14:paraId="351CF5D7" w14:textId="77777777" w:rsidR="000C03CF" w:rsidRPr="007B5A77" w:rsidRDefault="000C03CF" w:rsidP="000C0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PARENTE, Andressa Tavares </w:t>
      </w:r>
      <w:r w:rsidRPr="007B5A77">
        <w:rPr>
          <w:rFonts w:ascii="Times New Roman" w:hAnsi="Times New Roman"/>
          <w:color w:val="000000"/>
          <w:sz w:val="20"/>
          <w:szCs w:val="20"/>
        </w:rPr>
        <w:t>(AUTOR, ORIENTADOR)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</w:p>
    <w:p w14:paraId="30CC9FD8" w14:textId="77777777" w:rsidR="000C03CF" w:rsidRPr="007B5A77" w:rsidRDefault="000C0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24915347" w14:textId="77777777" w:rsidR="00230C16" w:rsidRPr="00B46CA9" w:rsidRDefault="00230C16" w:rsidP="00230C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CA9">
        <w:rPr>
          <w:rFonts w:ascii="Times New Roman" w:hAnsi="Times New Roman" w:cs="Times New Roman"/>
          <w:b/>
          <w:sz w:val="24"/>
          <w:szCs w:val="24"/>
        </w:rPr>
        <w:t xml:space="preserve">Introdução: </w:t>
      </w:r>
      <w:r w:rsidRPr="00B46CA9">
        <w:rPr>
          <w:rFonts w:ascii="Times New Roman" w:hAnsi="Times New Roman" w:cs="Times New Roman"/>
          <w:sz w:val="24"/>
          <w:szCs w:val="24"/>
        </w:rPr>
        <w:t>As mortes no período neonatal (0 a 27 dias), estão relacionadas predominantemente a determinantes como gravidez múltipla, prematuridade, baixo peso ao nascer, malformação congênita, afecções do período perinatal entre outras. A prevenção nesses casos, se dá por meio acesso e melhoria ao pré-natal, tecnologia para diagnóstico e tratamento, da atenção básica a alta complexidade, incluindo U</w:t>
      </w:r>
      <w:r>
        <w:rPr>
          <w:rFonts w:ascii="Times New Roman" w:hAnsi="Times New Roman" w:cs="Times New Roman"/>
          <w:sz w:val="24"/>
          <w:szCs w:val="24"/>
        </w:rPr>
        <w:t xml:space="preserve">nidade </w:t>
      </w:r>
      <w:r w:rsidRPr="00B46CA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erapia </w:t>
      </w:r>
      <w:r w:rsidRPr="00B46CA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ntensiva N</w:t>
      </w:r>
      <w:r w:rsidRPr="00B46CA9">
        <w:rPr>
          <w:rFonts w:ascii="Times New Roman" w:hAnsi="Times New Roman" w:cs="Times New Roman"/>
          <w:sz w:val="24"/>
          <w:szCs w:val="24"/>
        </w:rPr>
        <w:t>eonatal</w:t>
      </w:r>
      <w:r w:rsidRPr="00B46CA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46CA9">
        <w:rPr>
          <w:rFonts w:ascii="Times New Roman" w:hAnsi="Times New Roman" w:cs="Times New Roman"/>
          <w:sz w:val="24"/>
          <w:szCs w:val="24"/>
        </w:rPr>
        <w:t>. A taxa de mortalidade infantil reflete o desenvolvimento econômico de uma população, qualidade de vida e as condições de saúde</w:t>
      </w:r>
      <w:r w:rsidRPr="00B46CA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46CA9">
        <w:rPr>
          <w:rFonts w:ascii="Times New Roman" w:hAnsi="Times New Roman" w:cs="Times New Roman"/>
          <w:sz w:val="24"/>
          <w:szCs w:val="24"/>
        </w:rPr>
        <w:t>. Considerado um indicador sensível para as condições de vida e saúde de uma determinada sociedade, a mortalidade infantil demanda reflexões e intervenções</w:t>
      </w:r>
      <w:r w:rsidRPr="00B46CA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46CA9">
        <w:rPr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Objetivo</w:t>
      </w:r>
      <w:r w:rsidRPr="00B46CA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46CA9">
        <w:rPr>
          <w:rFonts w:ascii="Times New Roman" w:hAnsi="Times New Roman" w:cs="Times New Roman"/>
          <w:sz w:val="24"/>
          <w:szCs w:val="24"/>
        </w:rPr>
        <w:t xml:space="preserve">Analisar a distribuição da mortalidade neonatal tardia (7 a 27 dias) por causas evitáveis no estado do Pará, no período de 2005 a 2015. </w:t>
      </w:r>
      <w:r w:rsidRPr="00B46CA9">
        <w:rPr>
          <w:rFonts w:ascii="Times New Roman" w:hAnsi="Times New Roman" w:cs="Times New Roman"/>
          <w:b/>
          <w:sz w:val="24"/>
          <w:szCs w:val="24"/>
        </w:rPr>
        <w:t xml:space="preserve">Método: </w:t>
      </w:r>
      <w:r w:rsidRPr="00B46CA9">
        <w:rPr>
          <w:rFonts w:ascii="Times New Roman" w:hAnsi="Times New Roman" w:cs="Times New Roman"/>
          <w:sz w:val="24"/>
          <w:szCs w:val="24"/>
        </w:rPr>
        <w:t>Foi realizado um estudo epidemiológico, ecológico, quantitativo, descritivo e exploratório utilizando como fonte o sistema DATASUS (Estatísticas Vitais-Mortalidade e Nascidos Vivos), somente na região do estado do Pará</w:t>
      </w:r>
      <w:r w:rsidRPr="00B46CA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</w:t>
      </w:r>
      <w:r w:rsidRPr="00B46C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Resultados: </w:t>
      </w:r>
      <w:r w:rsidRPr="00B46CA9">
        <w:rPr>
          <w:rFonts w:ascii="Times New Roman" w:hAnsi="Times New Roman" w:cs="Times New Roman"/>
          <w:sz w:val="24"/>
          <w:szCs w:val="24"/>
        </w:rPr>
        <w:t>Um total de 4.083 óbitos por causas evitáveis ocorre</w:t>
      </w:r>
      <w:r>
        <w:rPr>
          <w:rFonts w:ascii="Times New Roman" w:hAnsi="Times New Roman" w:cs="Times New Roman"/>
          <w:sz w:val="24"/>
          <w:szCs w:val="24"/>
        </w:rPr>
        <w:t>u no</w:t>
      </w:r>
      <w:r w:rsidRPr="00B46CA9">
        <w:rPr>
          <w:rFonts w:ascii="Times New Roman" w:hAnsi="Times New Roman" w:cs="Times New Roman"/>
          <w:sz w:val="24"/>
          <w:szCs w:val="24"/>
        </w:rPr>
        <w:t xml:space="preserve"> período neonatal tardio, sendo 72,67% dos óbitos r</w:t>
      </w:r>
      <w:r w:rsidRPr="00B46CA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eduzíveis por adequada atenção a mulher na gestação, parto e recém-nascido (maior percentual na série de dados). Menor percentual, 0,2% relacionado as Causas Reduzíveis por Ações 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imunização</w:t>
      </w:r>
      <w:r w:rsidRPr="00B46CA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  <w:r w:rsidRPr="00B46CA9">
        <w:rPr>
          <w:rFonts w:ascii="Times New Roman" w:hAnsi="Times New Roman" w:cs="Times New Roman"/>
          <w:b/>
          <w:sz w:val="24"/>
          <w:szCs w:val="24"/>
        </w:rPr>
        <w:t xml:space="preserve"> Conclusão: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Por meio da investigação evidenciou-se a necessidade de maior atenção </w:t>
      </w:r>
      <w:r w:rsidRPr="00B46CA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 melhorias na assistência prestada ao binômio mãe-filho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iniciando pelo pré-natal na Atenção Básica e alcançando a alta complexidade.</w:t>
      </w:r>
      <w:r w:rsidRPr="00B46CA9">
        <w:rPr>
          <w:rFonts w:ascii="Times New Roman" w:hAnsi="Times New Roman" w:cs="Times New Roman"/>
          <w:b/>
          <w:sz w:val="24"/>
          <w:szCs w:val="24"/>
        </w:rPr>
        <w:t xml:space="preserve"> Contribuições e Implicações para a Enfermagem: </w:t>
      </w:r>
      <w:r w:rsidRPr="00B46CA9">
        <w:rPr>
          <w:rFonts w:ascii="Times New Roman" w:hAnsi="Times New Roman" w:cs="Times New Roman"/>
          <w:sz w:val="24"/>
          <w:szCs w:val="24"/>
        </w:rPr>
        <w:t>As políticas</w:t>
      </w:r>
      <w:r>
        <w:rPr>
          <w:rFonts w:ascii="Times New Roman" w:hAnsi="Times New Roman" w:cs="Times New Roman"/>
          <w:sz w:val="24"/>
          <w:szCs w:val="24"/>
        </w:rPr>
        <w:t xml:space="preserve"> e programas voltados a este público impactam indicadores, e parte de sua execução contempla a</w:t>
      </w:r>
      <w:r w:rsidRPr="00B46CA9">
        <w:rPr>
          <w:rFonts w:ascii="Times New Roman" w:hAnsi="Times New Roman" w:cs="Times New Roman"/>
          <w:sz w:val="24"/>
          <w:szCs w:val="24"/>
        </w:rPr>
        <w:t xml:space="preserve"> competência junto à assistência de enfermagem</w:t>
      </w:r>
      <w:r>
        <w:rPr>
          <w:rFonts w:ascii="Times New Roman" w:hAnsi="Times New Roman" w:cs="Times New Roman"/>
          <w:sz w:val="24"/>
          <w:szCs w:val="24"/>
        </w:rPr>
        <w:t>, contribuindo</w:t>
      </w:r>
      <w:r w:rsidRPr="00B46CA9">
        <w:rPr>
          <w:rFonts w:ascii="Times New Roman" w:hAnsi="Times New Roman" w:cs="Times New Roman"/>
          <w:sz w:val="24"/>
          <w:szCs w:val="24"/>
        </w:rPr>
        <w:t xml:space="preserve"> para </w:t>
      </w:r>
      <w:r>
        <w:rPr>
          <w:rFonts w:ascii="Times New Roman" w:hAnsi="Times New Roman" w:cs="Times New Roman"/>
          <w:sz w:val="24"/>
          <w:szCs w:val="24"/>
        </w:rPr>
        <w:t>a queda da mortalidade neonatal.</w:t>
      </w:r>
    </w:p>
    <w:p w14:paraId="7F502C47" w14:textId="32CFA20B" w:rsidR="000713CF" w:rsidRPr="0011133B" w:rsidRDefault="000713CF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Descritores (DeCS – ID): </w:t>
      </w:r>
      <w:r w:rsidR="00230C16">
        <w:rPr>
          <w:rFonts w:ascii="Times New Roman" w:hAnsi="Times New Roman"/>
          <w:color w:val="000000"/>
          <w:sz w:val="20"/>
          <w:szCs w:val="20"/>
        </w:rPr>
        <w:t xml:space="preserve">Morte perinatal </w:t>
      </w:r>
      <w:r w:rsidR="00230C16" w:rsidRPr="00A66E7C">
        <w:rPr>
          <w:rFonts w:ascii="Times New Roman" w:hAnsi="Times New Roman"/>
          <w:color w:val="000000"/>
          <w:sz w:val="20"/>
          <w:szCs w:val="20"/>
        </w:rPr>
        <w:t>(</w:t>
      </w:r>
      <w:r w:rsidR="00230C16" w:rsidRPr="00E90F10">
        <w:rPr>
          <w:rFonts w:ascii="Times New Roman" w:hAnsi="Times New Roman"/>
          <w:color w:val="000000"/>
          <w:sz w:val="20"/>
          <w:szCs w:val="20"/>
        </w:rPr>
        <w:t xml:space="preserve">ID </w:t>
      </w:r>
      <w:r w:rsidR="00230C16" w:rsidRPr="00140C0F">
        <w:rPr>
          <w:rFonts w:ascii="Times New Roman" w:hAnsi="Times New Roman"/>
          <w:sz w:val="20"/>
          <w:szCs w:val="20"/>
          <w:shd w:val="clear" w:color="auto" w:fill="FFFFFF"/>
        </w:rPr>
        <w:t>D066087</w:t>
      </w:r>
      <w:r w:rsidR="00230C16" w:rsidRPr="00A66E7C">
        <w:rPr>
          <w:rFonts w:ascii="Times New Roman" w:hAnsi="Times New Roman"/>
          <w:color w:val="000000"/>
          <w:sz w:val="20"/>
          <w:szCs w:val="20"/>
        </w:rPr>
        <w:t>)</w:t>
      </w:r>
      <w:r w:rsidRPr="00A66E7C">
        <w:rPr>
          <w:rFonts w:ascii="Times New Roman" w:hAnsi="Times New Roman"/>
          <w:color w:val="000000"/>
          <w:sz w:val="20"/>
          <w:szCs w:val="20"/>
        </w:rPr>
        <w:t>;</w:t>
      </w:r>
      <w:r w:rsidR="00230C16">
        <w:rPr>
          <w:rFonts w:ascii="Times New Roman" w:hAnsi="Times New Roman"/>
          <w:color w:val="000000"/>
          <w:sz w:val="20"/>
          <w:szCs w:val="20"/>
        </w:rPr>
        <w:t xml:space="preserve"> Recém-nascido prematuro 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(ID </w:t>
      </w:r>
      <w:r w:rsidR="00230C16" w:rsidRPr="00230C16">
        <w:rPr>
          <w:rFonts w:ascii="Times New Roman" w:hAnsi="Times New Roman"/>
          <w:sz w:val="20"/>
          <w:szCs w:val="20"/>
          <w:shd w:val="clear" w:color="auto" w:fill="FFFFFF"/>
        </w:rPr>
        <w:t>D007234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); </w:t>
      </w:r>
      <w:r w:rsidR="0011133B" w:rsidRPr="0011133B">
        <w:rPr>
          <w:rFonts w:ascii="Times New Roman" w:hAnsi="Times New Roman"/>
          <w:sz w:val="20"/>
          <w:szCs w:val="20"/>
          <w:shd w:val="clear" w:color="auto" w:fill="FFFFFF"/>
        </w:rPr>
        <w:t>Anormalidades Congênitas</w:t>
      </w:r>
      <w:r w:rsidRPr="0011133B">
        <w:rPr>
          <w:rFonts w:ascii="Times New Roman" w:hAnsi="Times New Roman"/>
          <w:sz w:val="20"/>
          <w:szCs w:val="20"/>
        </w:rPr>
        <w:t xml:space="preserve"> (ID </w:t>
      </w:r>
      <w:r w:rsidR="0011133B" w:rsidRPr="0011133B">
        <w:rPr>
          <w:rFonts w:ascii="Times New Roman" w:hAnsi="Times New Roman"/>
          <w:sz w:val="20"/>
          <w:szCs w:val="20"/>
          <w:shd w:val="clear" w:color="auto" w:fill="FFFFFF"/>
        </w:rPr>
        <w:t>D000013</w:t>
      </w:r>
      <w:r w:rsidRPr="0011133B">
        <w:rPr>
          <w:rFonts w:ascii="Times New Roman" w:hAnsi="Times New Roman"/>
          <w:sz w:val="20"/>
          <w:szCs w:val="20"/>
        </w:rPr>
        <w:t>).</w:t>
      </w:r>
    </w:p>
    <w:p w14:paraId="46F9FE3A" w14:textId="77777777" w:rsidR="001F7347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41BFA22B" w14:textId="334DB3DD" w:rsidR="000713CF" w:rsidRPr="003B1737" w:rsidRDefault="007B5A77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3B1737">
        <w:rPr>
          <w:rStyle w:val="15"/>
          <w:rFonts w:ascii="Times New Roman" w:hAnsi="Times New Roman" w:hint="default"/>
          <w:color w:val="000000"/>
        </w:rPr>
        <w:t>Referências</w:t>
      </w:r>
    </w:p>
    <w:p w14:paraId="5B7AF81D" w14:textId="77777777" w:rsidR="0011133B" w:rsidRDefault="0011133B" w:rsidP="0011133B">
      <w:pPr>
        <w:pStyle w:val="PargrafodaLista"/>
        <w:numPr>
          <w:ilvl w:val="0"/>
          <w:numId w:val="1"/>
        </w:numPr>
        <w:spacing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4623D">
        <w:rPr>
          <w:rFonts w:ascii="Times New Roman" w:hAnsi="Times New Roman" w:cs="Times New Roman"/>
          <w:sz w:val="24"/>
          <w:szCs w:val="24"/>
        </w:rPr>
        <w:t xml:space="preserve">SARDINHA, Luciana Monteiro Vasconcelos. </w:t>
      </w:r>
      <w:r w:rsidRPr="0084623D">
        <w:rPr>
          <w:rFonts w:ascii="Times New Roman" w:hAnsi="Times New Roman" w:cs="Times New Roman"/>
          <w:b/>
          <w:sz w:val="24"/>
          <w:szCs w:val="24"/>
        </w:rPr>
        <w:t>Mortalidade infantil e fatores associados à atenção à saúde</w:t>
      </w:r>
      <w:r w:rsidRPr="0084623D">
        <w:rPr>
          <w:rFonts w:ascii="Times New Roman" w:hAnsi="Times New Roman" w:cs="Times New Roman"/>
          <w:sz w:val="24"/>
          <w:szCs w:val="24"/>
        </w:rPr>
        <w:t>: estudo caso-controle no Distrito Federal (2007-2010). 2014. xiii, 168 f., il. Tese (Doutorado em Medicina Tropical) - Universidade de Brasília, Brasília, 2014</w:t>
      </w:r>
    </w:p>
    <w:p w14:paraId="08DB2D67" w14:textId="77777777" w:rsidR="0011133B" w:rsidRPr="0020026F" w:rsidRDefault="0011133B" w:rsidP="0011133B">
      <w:pPr>
        <w:pStyle w:val="PargrafodaLista"/>
        <w:spacing w:after="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78D683C" w14:textId="77777777" w:rsidR="0011133B" w:rsidRDefault="0011133B" w:rsidP="0011133B">
      <w:pPr>
        <w:pStyle w:val="PargrafodaLista"/>
        <w:numPr>
          <w:ilvl w:val="0"/>
          <w:numId w:val="1"/>
        </w:numPr>
        <w:spacing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026F">
        <w:rPr>
          <w:rFonts w:ascii="Times New Roman" w:hAnsi="Times New Roman" w:cs="Times New Roman"/>
          <w:sz w:val="24"/>
          <w:szCs w:val="24"/>
        </w:rPr>
        <w:t>MOREIRA, Kátia Fernanda Alves; BICALHO, Bianca Oyola; SANTOS, Luanna Cristina Sales; AMARAL, Fabíola Mara Gonçalves de Siqueira; ORFÃO, Nathalia Halax; CUNHA, Mônica Pereira Lima. Perfil e evitabilidade de óbito neonatal em um município da Amazônia legal.</w:t>
      </w:r>
      <w:r w:rsidRPr="00A878EA">
        <w:t xml:space="preserve"> </w:t>
      </w:r>
      <w:r w:rsidRPr="0020026F">
        <w:rPr>
          <w:rFonts w:ascii="Times New Roman" w:hAnsi="Times New Roman" w:cs="Times New Roman"/>
          <w:b/>
          <w:sz w:val="24"/>
          <w:szCs w:val="24"/>
        </w:rPr>
        <w:t>Cogitare Enferm</w:t>
      </w:r>
      <w:r w:rsidRPr="0020026F">
        <w:rPr>
          <w:rFonts w:ascii="Times New Roman" w:hAnsi="Times New Roman" w:cs="Times New Roman"/>
          <w:sz w:val="24"/>
          <w:szCs w:val="24"/>
        </w:rPr>
        <w:t>. v. 22, n. 2: e48950. Curitiba, 2017.</w:t>
      </w:r>
    </w:p>
    <w:p w14:paraId="023BF047" w14:textId="77777777" w:rsidR="0011133B" w:rsidRPr="0011133B" w:rsidRDefault="0011133B" w:rsidP="0011133B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7A71FE76" w14:textId="77777777" w:rsidR="0011133B" w:rsidRDefault="0011133B" w:rsidP="0011133B">
      <w:pPr>
        <w:pStyle w:val="PargrafodaLista"/>
        <w:spacing w:after="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6E492FA" w14:textId="77777777" w:rsidR="0011133B" w:rsidRPr="00CB581C" w:rsidRDefault="0011133B" w:rsidP="0011133B">
      <w:pPr>
        <w:pStyle w:val="PargrafodaLista"/>
        <w:numPr>
          <w:ilvl w:val="0"/>
          <w:numId w:val="1"/>
        </w:numPr>
        <w:spacing w:after="6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1446">
        <w:rPr>
          <w:rFonts w:ascii="Times New Roman" w:hAnsi="Times New Roman" w:cs="Times New Roman"/>
          <w:sz w:val="24"/>
          <w:szCs w:val="24"/>
        </w:rPr>
        <w:lastRenderedPageBreak/>
        <w:t xml:space="preserve">NASCIMENTO, Suelayne Gonçalves do; OLIVEIRA; Conceição Maria de; SPOSITO, Verônica; FERREIRA, Daniela Karina da Silva; BONFIM, Cristine Vieira do. Mortalidade infantil por causas evitáveis em uma cidade do Nordeste do Brasil. </w:t>
      </w:r>
      <w:r w:rsidRPr="00791446">
        <w:rPr>
          <w:rFonts w:ascii="Times New Roman" w:hAnsi="Times New Roman" w:cs="Times New Roman"/>
          <w:b/>
          <w:sz w:val="24"/>
          <w:szCs w:val="24"/>
        </w:rPr>
        <w:t>Rev Bras Enferm</w:t>
      </w:r>
      <w:r w:rsidRPr="00791446">
        <w:rPr>
          <w:rFonts w:ascii="Times New Roman" w:hAnsi="Times New Roman" w:cs="Times New Roman"/>
          <w:sz w:val="24"/>
          <w:szCs w:val="24"/>
        </w:rPr>
        <w:t>. 2014 mar-abr; 67(2): 208-12.</w:t>
      </w:r>
    </w:p>
    <w:p w14:paraId="46A36DEB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 w14:paraId="2CA4121D" w14:textId="308D0449" w:rsidR="00230C16" w:rsidRPr="007B5A77" w:rsidRDefault="00230C16" w:rsidP="00230C16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1 </w:t>
      </w:r>
      <w:r>
        <w:rPr>
          <w:rFonts w:ascii="Times New Roman" w:hAnsi="Times New Roman"/>
          <w:color w:val="000000"/>
          <w:sz w:val="20"/>
          <w:szCs w:val="20"/>
        </w:rPr>
        <w:t>Mestre em enfermagem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Enfermeira,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Universidade Federal do Pará (UFPA). </w:t>
      </w:r>
      <w:r w:rsidR="00157FCD">
        <w:rPr>
          <w:rFonts w:ascii="Times New Roman" w:hAnsi="Times New Roman"/>
          <w:color w:val="000000"/>
          <w:sz w:val="20"/>
          <w:szCs w:val="20"/>
        </w:rPr>
        <w:t>S</w:t>
      </w:r>
      <w:r>
        <w:rPr>
          <w:rFonts w:ascii="Times New Roman" w:hAnsi="Times New Roman"/>
          <w:color w:val="000000"/>
          <w:sz w:val="20"/>
          <w:szCs w:val="20"/>
        </w:rPr>
        <w:t>irley</w:t>
      </w:r>
      <w:r w:rsidR="00157FCD">
        <w:rPr>
          <w:rFonts w:ascii="Times New Roman" w:hAnsi="Times New Roman"/>
          <w:color w:val="000000"/>
          <w:sz w:val="20"/>
          <w:szCs w:val="20"/>
        </w:rPr>
        <w:t>2</w:t>
      </w:r>
      <w:r>
        <w:rPr>
          <w:rFonts w:ascii="Times New Roman" w:hAnsi="Times New Roman"/>
          <w:color w:val="000000"/>
          <w:sz w:val="20"/>
          <w:szCs w:val="20"/>
        </w:rPr>
        <w:t>barros@</w:t>
      </w:r>
      <w:r w:rsidR="00157FCD">
        <w:rPr>
          <w:rFonts w:ascii="Times New Roman" w:hAnsi="Times New Roman"/>
          <w:color w:val="000000"/>
          <w:sz w:val="20"/>
          <w:szCs w:val="20"/>
        </w:rPr>
        <w:t>gmail</w:t>
      </w:r>
      <w:r>
        <w:rPr>
          <w:rFonts w:ascii="Times New Roman" w:hAnsi="Times New Roman"/>
          <w:color w:val="000000"/>
          <w:sz w:val="20"/>
          <w:szCs w:val="20"/>
        </w:rPr>
        <w:t>.com</w:t>
      </w:r>
    </w:p>
    <w:p w14:paraId="2D57A4EC" w14:textId="77777777" w:rsidR="00230C16" w:rsidRPr="007B5A77" w:rsidRDefault="00230C16" w:rsidP="00230C16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Enfermeira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Universidade Federal do Pará (UFPA)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</w:p>
    <w:p w14:paraId="0DBC6FAD" w14:textId="738866BE" w:rsidR="00C92D01" w:rsidRDefault="00230C16" w:rsidP="00230C16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 xml:space="preserve">3 </w:t>
      </w:r>
      <w:r>
        <w:rPr>
          <w:rFonts w:ascii="Times New Roman" w:hAnsi="Times New Roman"/>
          <w:sz w:val="20"/>
          <w:szCs w:val="20"/>
        </w:rPr>
        <w:t>Doutor. Enfermeiro, docente da Universidade Federal do Pará (UFPA).</w:t>
      </w:r>
    </w:p>
    <w:p w14:paraId="0FE23D3D" w14:textId="52DA8A12" w:rsidR="00230C16" w:rsidRDefault="00230C16" w:rsidP="00230C16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4</w:t>
      </w:r>
      <w:r>
        <w:rPr>
          <w:rFonts w:ascii="Times New Roman" w:hAnsi="Times New Roman"/>
          <w:sz w:val="20"/>
          <w:szCs w:val="20"/>
        </w:rPr>
        <w:t>Doutor. Enfermeiro, docente da Universidade Federal do Maranhão (UFMA).</w:t>
      </w:r>
    </w:p>
    <w:p w14:paraId="755406A1" w14:textId="1DFB2322" w:rsidR="00230C16" w:rsidRPr="007B5A77" w:rsidRDefault="00230C16" w:rsidP="00230C16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  <w:r>
        <w:rPr>
          <w:rFonts w:ascii="Times New Roman" w:hAnsi="Times New Roman"/>
          <w:color w:val="000000"/>
          <w:sz w:val="20"/>
          <w:szCs w:val="20"/>
        </w:rPr>
        <w:t xml:space="preserve"> Doutora. Enfermeira, docente da Universidade Federal do Pará (UFPA).</w:t>
      </w:r>
    </w:p>
    <w:p w14:paraId="40B911BE" w14:textId="17C23119" w:rsidR="00230C16" w:rsidRPr="00230C16" w:rsidRDefault="00230C16" w:rsidP="00230C16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sectPr w:rsidR="00230C16" w:rsidRPr="00230C16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2A33D" w14:textId="77777777" w:rsidR="000715BE" w:rsidRDefault="000715BE" w:rsidP="00D21DB7">
      <w:pPr>
        <w:spacing w:after="0" w:line="240" w:lineRule="auto"/>
      </w:pPr>
      <w:r>
        <w:separator/>
      </w:r>
    </w:p>
  </w:endnote>
  <w:endnote w:type="continuationSeparator" w:id="0">
    <w:p w14:paraId="5452B343" w14:textId="77777777" w:rsidR="000715BE" w:rsidRDefault="000715BE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967A1" w14:textId="77777777" w:rsidR="000715BE" w:rsidRDefault="000715BE" w:rsidP="00D21DB7">
      <w:pPr>
        <w:spacing w:after="0" w:line="240" w:lineRule="auto"/>
      </w:pPr>
      <w:r>
        <w:separator/>
      </w:r>
    </w:p>
  </w:footnote>
  <w:footnote w:type="continuationSeparator" w:id="0">
    <w:p w14:paraId="36BC26B2" w14:textId="77777777" w:rsidR="000715BE" w:rsidRDefault="000715BE" w:rsidP="00D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E11814"/>
    <w:multiLevelType w:val="hybridMultilevel"/>
    <w:tmpl w:val="A3208DD8"/>
    <w:lvl w:ilvl="0" w:tplc="E28827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2948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713CF"/>
    <w:rsid w:val="000715BE"/>
    <w:rsid w:val="00092EDD"/>
    <w:rsid w:val="000C03CF"/>
    <w:rsid w:val="0011133B"/>
    <w:rsid w:val="00157FCD"/>
    <w:rsid w:val="001F7347"/>
    <w:rsid w:val="00230C16"/>
    <w:rsid w:val="00271A56"/>
    <w:rsid w:val="002B710A"/>
    <w:rsid w:val="003B1737"/>
    <w:rsid w:val="00474A83"/>
    <w:rsid w:val="00633C6E"/>
    <w:rsid w:val="007B5A77"/>
    <w:rsid w:val="007B7146"/>
    <w:rsid w:val="009334BE"/>
    <w:rsid w:val="00A66E7C"/>
    <w:rsid w:val="00A76134"/>
    <w:rsid w:val="00AC3F24"/>
    <w:rsid w:val="00C92D01"/>
    <w:rsid w:val="00D2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paragraph" w:styleId="PargrafodaLista">
    <w:name w:val="List Paragraph"/>
    <w:basedOn w:val="Normal"/>
    <w:uiPriority w:val="34"/>
    <w:qFormat/>
    <w:rsid w:val="0011133B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Talles</cp:lastModifiedBy>
  <cp:revision>4</cp:revision>
  <dcterms:created xsi:type="dcterms:W3CDTF">2023-05-04T12:14:00Z</dcterms:created>
  <dcterms:modified xsi:type="dcterms:W3CDTF">2023-05-04T12:42:00Z</dcterms:modified>
</cp:coreProperties>
</file>