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954FE2" w14:textId="77777777" w:rsidR="00C046EA" w:rsidRPr="00C046EA" w:rsidRDefault="00C046EA" w:rsidP="00C046EA">
      <w:pPr>
        <w:shd w:val="clear" w:color="auto" w:fill="FFFFFF"/>
        <w:spacing w:after="0" w:line="240" w:lineRule="auto"/>
        <w:ind w:left="-284" w:right="-285"/>
        <w:jc w:val="center"/>
        <w:rPr>
          <w:rFonts w:ascii="Times New Roman" w:eastAsia="Times New Roman" w:hAnsi="Times New Roman" w:cs="Times New Roman"/>
          <w:sz w:val="24"/>
          <w:szCs w:val="24"/>
        </w:rPr>
      </w:pPr>
      <w:r w:rsidRPr="00C046EA">
        <w:rPr>
          <w:rFonts w:ascii="Times New Roman" w:eastAsia="Times New Roman" w:hAnsi="Times New Roman" w:cs="Times New Roman"/>
          <w:b/>
          <w:bCs/>
          <w:color w:val="000000"/>
          <w:sz w:val="24"/>
          <w:szCs w:val="24"/>
        </w:rPr>
        <w:t>ENRIQUECIMENTO AMBIENTAL COMO ALIADO NO MANEJO CLÍNICO EM PROL DO BEM-ESTAR DE PRIMATAS MANTIDOS SOB CUIDADOS EM UM CENTRO DE PESQUISA NA AMAZÔNIA BRASILEIRA</w:t>
      </w:r>
    </w:p>
    <w:p w14:paraId="5F265104" w14:textId="77777777" w:rsidR="00C046EA" w:rsidRPr="00C046EA" w:rsidRDefault="00C046EA" w:rsidP="00C046EA">
      <w:pPr>
        <w:shd w:val="clear" w:color="auto" w:fill="FFFFFF"/>
        <w:spacing w:after="0" w:line="240" w:lineRule="auto"/>
        <w:ind w:left="-284" w:right="-285"/>
        <w:jc w:val="center"/>
        <w:rPr>
          <w:rFonts w:ascii="Times New Roman" w:eastAsia="Times New Roman" w:hAnsi="Times New Roman" w:cs="Times New Roman"/>
          <w:sz w:val="24"/>
          <w:szCs w:val="24"/>
        </w:rPr>
      </w:pPr>
    </w:p>
    <w:p w14:paraId="5BFEEC5B" w14:textId="77777777" w:rsidR="00C046EA" w:rsidRPr="00C046EA" w:rsidRDefault="00C046EA" w:rsidP="00C046EA">
      <w:pPr>
        <w:shd w:val="clear" w:color="auto" w:fill="FFFFFF"/>
        <w:spacing w:after="0" w:line="240" w:lineRule="auto"/>
        <w:ind w:left="-284" w:right="-285"/>
        <w:jc w:val="both"/>
        <w:rPr>
          <w:rFonts w:ascii="Times New Roman" w:eastAsia="Times New Roman" w:hAnsi="Times New Roman" w:cs="Times New Roman"/>
          <w:sz w:val="24"/>
          <w:szCs w:val="24"/>
        </w:rPr>
      </w:pPr>
      <w:r w:rsidRPr="00C046EA">
        <w:rPr>
          <w:rFonts w:ascii="Times New Roman" w:eastAsia="Times New Roman" w:hAnsi="Times New Roman" w:cs="Times New Roman"/>
          <w:color w:val="000000"/>
          <w:sz w:val="24"/>
          <w:szCs w:val="24"/>
          <w:u w:val="single"/>
        </w:rPr>
        <w:t>SILVA, J.L.B.</w:t>
      </w:r>
      <w:r w:rsidRPr="00C046EA">
        <w:rPr>
          <w:rFonts w:ascii="Times New Roman" w:eastAsia="Times New Roman" w:hAnsi="Times New Roman" w:cs="Times New Roman"/>
          <w:color w:val="000000"/>
          <w:sz w:val="24"/>
          <w:szCs w:val="24"/>
        </w:rPr>
        <w:t>¹; MIRANDA, M.C.B.¹; SANTOS, K.C.¹; AMADOR, M.B.²; SOARES, P.C.³; BENARRÓS, M.S.C³;</w:t>
      </w:r>
    </w:p>
    <w:p w14:paraId="5DBE3A18" w14:textId="77777777" w:rsidR="00C046EA" w:rsidRPr="00C046EA" w:rsidRDefault="00C046EA" w:rsidP="00C046EA">
      <w:pPr>
        <w:shd w:val="clear" w:color="auto" w:fill="FFFFFF"/>
        <w:spacing w:after="150" w:line="240" w:lineRule="auto"/>
        <w:ind w:left="-284" w:right="-285"/>
        <w:jc w:val="both"/>
        <w:rPr>
          <w:rFonts w:ascii="Times New Roman" w:eastAsia="Times New Roman" w:hAnsi="Times New Roman" w:cs="Times New Roman"/>
          <w:sz w:val="24"/>
          <w:szCs w:val="24"/>
        </w:rPr>
      </w:pPr>
      <w:r w:rsidRPr="00C046EA">
        <w:rPr>
          <w:rFonts w:ascii="Times New Roman" w:eastAsia="Times New Roman" w:hAnsi="Times New Roman" w:cs="Times New Roman"/>
          <w:color w:val="000000"/>
          <w:sz w:val="24"/>
          <w:szCs w:val="24"/>
        </w:rPr>
        <w:t xml:space="preserve">1. Graduando em Medicina Veterinária, Universidade da Amazônia, Belém, Pará, Brasil (jamerson580@outlook.com) 2. Auxiliar de tratador de animais, Centro Nacional de Primatas, Ananindeua, Pará, Brasil. 3. Bolsista </w:t>
      </w:r>
      <w:proofErr w:type="spellStart"/>
      <w:r w:rsidRPr="00C046EA">
        <w:rPr>
          <w:rFonts w:ascii="Times New Roman" w:eastAsia="Times New Roman" w:hAnsi="Times New Roman" w:cs="Times New Roman"/>
          <w:color w:val="000000"/>
          <w:sz w:val="24"/>
          <w:szCs w:val="24"/>
        </w:rPr>
        <w:t>Fiotec</w:t>
      </w:r>
      <w:proofErr w:type="spellEnd"/>
      <w:r w:rsidRPr="00C046EA">
        <w:rPr>
          <w:rFonts w:ascii="Times New Roman" w:eastAsia="Times New Roman" w:hAnsi="Times New Roman" w:cs="Times New Roman"/>
          <w:color w:val="000000"/>
          <w:sz w:val="24"/>
          <w:szCs w:val="24"/>
        </w:rPr>
        <w:t>, Centro Nacional de Primatas, Ananindeua, Pará, Brasil. </w:t>
      </w:r>
    </w:p>
    <w:p w14:paraId="19A99137" w14:textId="70DD97D3" w:rsidR="00C046EA" w:rsidRPr="00151624" w:rsidRDefault="00C046EA" w:rsidP="00ED3B70">
      <w:pPr>
        <w:ind w:left="-284" w:right="-285"/>
        <w:jc w:val="both"/>
        <w:rPr>
          <w:rFonts w:ascii="Times New Roman" w:hAnsi="Times New Roman" w:cs="Times New Roman"/>
          <w:sz w:val="24"/>
          <w:szCs w:val="24"/>
        </w:rPr>
      </w:pPr>
      <w:r w:rsidRPr="00355FDE">
        <w:rPr>
          <w:rFonts w:ascii="Times New Roman" w:hAnsi="Times New Roman" w:cs="Times New Roman"/>
          <w:sz w:val="24"/>
          <w:szCs w:val="24"/>
        </w:rPr>
        <w:t xml:space="preserve">O bem-estar e a qualidade de vida de primatas não humanos (PNH) mantidos sob cuidados humanos para a pesquisa biomédica é não só uma obrigação legal, como um dever ético e moral das pessoas que atuam com esses espécimes. Por se tratarem de animais gregários, o manejo comportamental para evitar estresse que cause comportamentos anormais, como o auto lesivo e estereotipias, é essencial. Aliado ao manejo clínico, a implementação de enriquecimentos ambientais (EA) atua na melhora </w:t>
      </w:r>
      <w:proofErr w:type="gramStart"/>
      <w:r w:rsidRPr="00355FDE">
        <w:rPr>
          <w:rFonts w:ascii="Times New Roman" w:hAnsi="Times New Roman" w:cs="Times New Roman"/>
          <w:sz w:val="24"/>
          <w:szCs w:val="24"/>
        </w:rPr>
        <w:t>da  qualidade</w:t>
      </w:r>
      <w:proofErr w:type="gramEnd"/>
      <w:r w:rsidRPr="00355FDE">
        <w:rPr>
          <w:rFonts w:ascii="Times New Roman" w:hAnsi="Times New Roman" w:cs="Times New Roman"/>
          <w:sz w:val="24"/>
          <w:szCs w:val="24"/>
        </w:rPr>
        <w:t xml:space="preserve"> de vida, manutenção da saúde e bem-estar animal. O objetivo do presente estudo é relatar a oferta de </w:t>
      </w:r>
      <w:proofErr w:type="spellStart"/>
      <w:r w:rsidRPr="00355FDE">
        <w:rPr>
          <w:rFonts w:ascii="Times New Roman" w:hAnsi="Times New Roman" w:cs="Times New Roman"/>
          <w:sz w:val="24"/>
          <w:szCs w:val="24"/>
        </w:rPr>
        <w:t>EAs</w:t>
      </w:r>
      <w:proofErr w:type="spellEnd"/>
      <w:r w:rsidRPr="00355FDE">
        <w:rPr>
          <w:rFonts w:ascii="Times New Roman" w:hAnsi="Times New Roman" w:cs="Times New Roman"/>
          <w:sz w:val="24"/>
          <w:szCs w:val="24"/>
        </w:rPr>
        <w:t xml:space="preserve"> para PNH cativos em um centro de primatologia na Amazônia brasileira. Este trabalho foi realizado na Seção de Medicina Veterinária (SEMEV) do Centro Nacional de Primatas (CENP), por meio da implementação inicial de um plano de ofertas de EA, considerando os 4 primeiros meses do ano de 2025. Este plano seguiu os moldes do modelo S</w:t>
      </w:r>
      <w:r w:rsidR="00ED3B70">
        <w:rPr>
          <w:rFonts w:ascii="Times New Roman" w:hAnsi="Times New Roman" w:cs="Times New Roman"/>
          <w:sz w:val="24"/>
          <w:szCs w:val="24"/>
        </w:rPr>
        <w:t>.</w:t>
      </w:r>
      <w:r w:rsidRPr="00355FDE">
        <w:rPr>
          <w:rFonts w:ascii="Times New Roman" w:hAnsi="Times New Roman" w:cs="Times New Roman"/>
          <w:sz w:val="24"/>
          <w:szCs w:val="24"/>
        </w:rPr>
        <w:t>P</w:t>
      </w:r>
      <w:r w:rsidR="00ED3B70">
        <w:rPr>
          <w:rFonts w:ascii="Times New Roman" w:hAnsi="Times New Roman" w:cs="Times New Roman"/>
          <w:sz w:val="24"/>
          <w:szCs w:val="24"/>
        </w:rPr>
        <w:t>.</w:t>
      </w:r>
      <w:r w:rsidRPr="00355FDE">
        <w:rPr>
          <w:rFonts w:ascii="Times New Roman" w:hAnsi="Times New Roman" w:cs="Times New Roman"/>
          <w:sz w:val="24"/>
          <w:szCs w:val="24"/>
        </w:rPr>
        <w:t>I</w:t>
      </w:r>
      <w:r w:rsidR="00ED3B70">
        <w:rPr>
          <w:rFonts w:ascii="Times New Roman" w:hAnsi="Times New Roman" w:cs="Times New Roman"/>
          <w:sz w:val="24"/>
          <w:szCs w:val="24"/>
        </w:rPr>
        <w:t>.</w:t>
      </w:r>
      <w:r w:rsidRPr="00355FDE">
        <w:rPr>
          <w:rFonts w:ascii="Times New Roman" w:hAnsi="Times New Roman" w:cs="Times New Roman"/>
          <w:sz w:val="24"/>
          <w:szCs w:val="24"/>
        </w:rPr>
        <w:t>D</w:t>
      </w:r>
      <w:r w:rsidR="00ED3B70">
        <w:rPr>
          <w:rFonts w:ascii="Times New Roman" w:hAnsi="Times New Roman" w:cs="Times New Roman"/>
          <w:sz w:val="24"/>
          <w:szCs w:val="24"/>
        </w:rPr>
        <w:t>.</w:t>
      </w:r>
      <w:r w:rsidRPr="00355FDE">
        <w:rPr>
          <w:rFonts w:ascii="Times New Roman" w:hAnsi="Times New Roman" w:cs="Times New Roman"/>
          <w:sz w:val="24"/>
          <w:szCs w:val="24"/>
        </w:rPr>
        <w:t>E</w:t>
      </w:r>
      <w:r w:rsidR="00ED3B70">
        <w:rPr>
          <w:rFonts w:ascii="Times New Roman" w:hAnsi="Times New Roman" w:cs="Times New Roman"/>
          <w:sz w:val="24"/>
          <w:szCs w:val="24"/>
        </w:rPr>
        <w:t>.</w:t>
      </w:r>
      <w:r w:rsidRPr="00355FDE">
        <w:rPr>
          <w:rFonts w:ascii="Times New Roman" w:hAnsi="Times New Roman" w:cs="Times New Roman"/>
          <w:sz w:val="24"/>
          <w:szCs w:val="24"/>
        </w:rPr>
        <w:t>R</w:t>
      </w:r>
      <w:r w:rsidR="00ED3B70">
        <w:rPr>
          <w:rFonts w:ascii="Times New Roman" w:hAnsi="Times New Roman" w:cs="Times New Roman"/>
          <w:sz w:val="24"/>
          <w:szCs w:val="24"/>
        </w:rPr>
        <w:t>.</w:t>
      </w:r>
      <w:r w:rsidRPr="00355FDE">
        <w:rPr>
          <w:rFonts w:ascii="Times New Roman" w:hAnsi="Times New Roman" w:cs="Times New Roman"/>
          <w:sz w:val="24"/>
          <w:szCs w:val="24"/>
        </w:rPr>
        <w:t xml:space="preserve">, com metas estabelecidas e o planejamento dos </w:t>
      </w:r>
      <w:proofErr w:type="spellStart"/>
      <w:r w:rsidRPr="00355FDE">
        <w:rPr>
          <w:rFonts w:ascii="Times New Roman" w:hAnsi="Times New Roman" w:cs="Times New Roman"/>
          <w:sz w:val="24"/>
          <w:szCs w:val="24"/>
        </w:rPr>
        <w:t>EAs</w:t>
      </w:r>
      <w:proofErr w:type="spellEnd"/>
      <w:r w:rsidRPr="00355FDE">
        <w:rPr>
          <w:rFonts w:ascii="Times New Roman" w:hAnsi="Times New Roman" w:cs="Times New Roman"/>
          <w:sz w:val="24"/>
          <w:szCs w:val="24"/>
        </w:rPr>
        <w:t xml:space="preserve"> com um dia de antecedência, sendo ofertados às 11h do dia seguinte, 2 vezes por semana. Todas as observações durante a permanência dos </w:t>
      </w:r>
      <w:proofErr w:type="spellStart"/>
      <w:r w:rsidRPr="00355FDE">
        <w:rPr>
          <w:rFonts w:ascii="Times New Roman" w:hAnsi="Times New Roman" w:cs="Times New Roman"/>
          <w:sz w:val="24"/>
          <w:szCs w:val="24"/>
        </w:rPr>
        <w:t>EAs</w:t>
      </w:r>
      <w:proofErr w:type="spellEnd"/>
      <w:r w:rsidRPr="00355FDE">
        <w:rPr>
          <w:rFonts w:ascii="Times New Roman" w:hAnsi="Times New Roman" w:cs="Times New Roman"/>
          <w:sz w:val="24"/>
          <w:szCs w:val="24"/>
        </w:rPr>
        <w:t xml:space="preserve"> nos recintos individuais foram documentadas em planilha física anexada à ficha clínica do paciente e, posteriormente, transcrita para um formulário digital, disponibilizado pela Seção de Ecologia e Meio Ambiente (SEEMA) da instituição. Quando usado EA do tipo alimentar, era priorizado o uso de frutas e ração calculada para a dieta diária de cada animal, respeitando o domínio nutricional. Entre janeiro e abril de 2025, foram oferecidos um total de 62 enriquecimentos, sendo 85,4% (n=53) do tipo alimentar, sensorial ou cognitivo e 14,5% (n=9) como ambientação ou físico, sendo as espécies com um maior número de ofertas: </w:t>
      </w:r>
      <w:proofErr w:type="spellStart"/>
      <w:r w:rsidRPr="00355FDE">
        <w:rPr>
          <w:rFonts w:ascii="Times New Roman" w:hAnsi="Times New Roman" w:cs="Times New Roman"/>
          <w:i/>
          <w:iCs/>
          <w:sz w:val="24"/>
          <w:szCs w:val="24"/>
        </w:rPr>
        <w:t>Saimiri</w:t>
      </w:r>
      <w:proofErr w:type="spellEnd"/>
      <w:r w:rsidRPr="00355FDE">
        <w:rPr>
          <w:rFonts w:ascii="Times New Roman" w:hAnsi="Times New Roman" w:cs="Times New Roman"/>
          <w:i/>
          <w:iCs/>
          <w:sz w:val="24"/>
          <w:szCs w:val="24"/>
        </w:rPr>
        <w:t xml:space="preserve"> </w:t>
      </w:r>
      <w:proofErr w:type="spellStart"/>
      <w:r w:rsidRPr="00355FDE">
        <w:rPr>
          <w:rFonts w:ascii="Times New Roman" w:hAnsi="Times New Roman" w:cs="Times New Roman"/>
          <w:i/>
          <w:iCs/>
          <w:sz w:val="24"/>
          <w:szCs w:val="24"/>
        </w:rPr>
        <w:t>collinsi</w:t>
      </w:r>
      <w:proofErr w:type="spellEnd"/>
      <w:r w:rsidRPr="00355FDE">
        <w:rPr>
          <w:rFonts w:ascii="Times New Roman" w:hAnsi="Times New Roman" w:cs="Times New Roman"/>
          <w:sz w:val="24"/>
          <w:szCs w:val="24"/>
        </w:rPr>
        <w:t xml:space="preserve"> 45,1% (n=28), diferentes espécies de </w:t>
      </w:r>
      <w:proofErr w:type="spellStart"/>
      <w:r w:rsidRPr="00355FDE">
        <w:rPr>
          <w:rFonts w:ascii="Times New Roman" w:hAnsi="Times New Roman" w:cs="Times New Roman"/>
          <w:sz w:val="24"/>
          <w:szCs w:val="24"/>
        </w:rPr>
        <w:t>calitriquídeos</w:t>
      </w:r>
      <w:proofErr w:type="spellEnd"/>
      <w:r w:rsidRPr="00355FDE">
        <w:rPr>
          <w:rFonts w:ascii="Times New Roman" w:hAnsi="Times New Roman" w:cs="Times New Roman"/>
          <w:sz w:val="24"/>
          <w:szCs w:val="24"/>
        </w:rPr>
        <w:t xml:space="preserve">, com 24,1% (n=15) e cebídeos com 20,9% (n=13). Em relação ao tempo de oferta e interação, a média de permanência do EA no recinto foi de 3,2 horas, e a interação positiva foi mais recorrente, com percentual de 90,3% (n=56) enquanto neutra foi de 9,6% (n=6). No que tange ao comportamento dos animais na presença dos enriquecimentos, observou-se uma menor ocorrência de movimentos estereotipados como rotação da cabeça e andar de um lado para outro, sendo vocalizações observadas em 8,1% (n=5) das ofertas. Entre os </w:t>
      </w:r>
      <w:proofErr w:type="spellStart"/>
      <w:r w:rsidRPr="00355FDE">
        <w:rPr>
          <w:rFonts w:ascii="Times New Roman" w:hAnsi="Times New Roman" w:cs="Times New Roman"/>
          <w:sz w:val="24"/>
          <w:szCs w:val="24"/>
        </w:rPr>
        <w:t>EAs</w:t>
      </w:r>
      <w:proofErr w:type="spellEnd"/>
      <w:r w:rsidRPr="00355FDE">
        <w:rPr>
          <w:rFonts w:ascii="Times New Roman" w:hAnsi="Times New Roman" w:cs="Times New Roman"/>
          <w:sz w:val="24"/>
          <w:szCs w:val="24"/>
        </w:rPr>
        <w:t xml:space="preserve"> utilizados, o alimento escondido em papel pardo (“pedra falsa”) foi mais frequente, com 14,5% (n=9), seguido de tubo de frutas, caixa surpresa e móbile com 9,6% (n=6) cada e varal de frutas com 6,4% (n=4). A oferta de EA é essencial para reduzir comportamentos estereotipados e estimular a curiosidade, proporcionando aos animais cativos e em tratamento oportunidades de expressar comportamentos comuns para a espécie, melhorando seu bem-estar </w:t>
      </w:r>
      <w:r w:rsidRPr="00355FDE">
        <w:rPr>
          <w:rFonts w:ascii="Times New Roman" w:hAnsi="Times New Roman" w:cs="Times New Roman"/>
          <w:sz w:val="24"/>
          <w:szCs w:val="24"/>
        </w:rPr>
        <w:lastRenderedPageBreak/>
        <w:t xml:space="preserve">e qualidade de vida. O monitoramento comportamental é </w:t>
      </w:r>
      <w:proofErr w:type="gramStart"/>
      <w:r w:rsidRPr="00355FDE">
        <w:rPr>
          <w:rFonts w:ascii="Times New Roman" w:hAnsi="Times New Roman" w:cs="Times New Roman"/>
          <w:sz w:val="24"/>
          <w:szCs w:val="24"/>
        </w:rPr>
        <w:t>essencial  para</w:t>
      </w:r>
      <w:proofErr w:type="gramEnd"/>
      <w:r w:rsidRPr="00355FDE">
        <w:rPr>
          <w:rFonts w:ascii="Times New Roman" w:hAnsi="Times New Roman" w:cs="Times New Roman"/>
          <w:sz w:val="24"/>
          <w:szCs w:val="24"/>
        </w:rPr>
        <w:t xml:space="preserve"> observar indicativos que apontem para uma redução nos níveis de estresse, o que pode acelerar o processo de recuperação em animais de importância para a pesquisa biomédica, tendo em vista que a exposição a longos períodos de estresse pode reduzir a imunidade e predispor o animal ao adoecimento</w:t>
      </w:r>
      <w:r w:rsidRPr="00151624">
        <w:rPr>
          <w:rFonts w:ascii="Times New Roman" w:hAnsi="Times New Roman" w:cs="Times New Roman"/>
          <w:sz w:val="24"/>
          <w:szCs w:val="24"/>
        </w:rPr>
        <w:t>.</w:t>
      </w:r>
    </w:p>
    <w:p w14:paraId="7D799725" w14:textId="77777777" w:rsidR="00C046EA" w:rsidRPr="00C046EA" w:rsidRDefault="00C046EA" w:rsidP="00C046EA">
      <w:pPr>
        <w:shd w:val="clear" w:color="auto" w:fill="FFFFFF"/>
        <w:spacing w:after="0" w:line="240" w:lineRule="auto"/>
        <w:ind w:left="-280" w:right="-280"/>
        <w:jc w:val="both"/>
        <w:rPr>
          <w:rFonts w:ascii="Times New Roman" w:eastAsia="Times New Roman" w:hAnsi="Times New Roman" w:cs="Times New Roman"/>
          <w:sz w:val="24"/>
          <w:szCs w:val="24"/>
        </w:rPr>
      </w:pPr>
      <w:r w:rsidRPr="00C046EA">
        <w:rPr>
          <w:rFonts w:ascii="Times New Roman" w:eastAsia="Times New Roman" w:hAnsi="Times New Roman" w:cs="Times New Roman"/>
          <w:color w:val="000000"/>
          <w:sz w:val="24"/>
          <w:szCs w:val="24"/>
        </w:rPr>
        <w:t>Palavras-chave: animais silvestres; comportamento; primatologia; pesquisa biomédica.</w:t>
      </w:r>
    </w:p>
    <w:p w14:paraId="3CA86A51" w14:textId="77777777" w:rsidR="00C046EA" w:rsidRPr="00C046EA" w:rsidRDefault="00C046EA" w:rsidP="00C046EA">
      <w:pPr>
        <w:shd w:val="clear" w:color="auto" w:fill="FFFFFF"/>
        <w:spacing w:after="0" w:line="240" w:lineRule="auto"/>
        <w:ind w:left="-280" w:right="-280"/>
        <w:jc w:val="both"/>
        <w:rPr>
          <w:rFonts w:ascii="Times New Roman" w:eastAsia="Times New Roman" w:hAnsi="Times New Roman" w:cs="Times New Roman"/>
          <w:sz w:val="24"/>
          <w:szCs w:val="24"/>
        </w:rPr>
      </w:pPr>
      <w:r w:rsidRPr="00C046EA">
        <w:rPr>
          <w:rFonts w:ascii="Times New Roman" w:eastAsia="Times New Roman" w:hAnsi="Times New Roman" w:cs="Times New Roman"/>
          <w:color w:val="000000"/>
          <w:sz w:val="24"/>
          <w:szCs w:val="24"/>
        </w:rPr>
        <w:t> </w:t>
      </w:r>
    </w:p>
    <w:p w14:paraId="24037347" w14:textId="77777777" w:rsidR="00C046EA" w:rsidRPr="00C046EA" w:rsidRDefault="00C046EA" w:rsidP="00C046EA">
      <w:pPr>
        <w:shd w:val="clear" w:color="auto" w:fill="FFFFFF"/>
        <w:spacing w:after="0" w:line="240" w:lineRule="auto"/>
        <w:ind w:left="-280" w:right="-280"/>
        <w:jc w:val="both"/>
        <w:rPr>
          <w:rFonts w:ascii="Times New Roman" w:eastAsia="Times New Roman" w:hAnsi="Times New Roman" w:cs="Times New Roman"/>
          <w:sz w:val="24"/>
          <w:szCs w:val="24"/>
        </w:rPr>
      </w:pPr>
      <w:r w:rsidRPr="00C046EA">
        <w:rPr>
          <w:rFonts w:ascii="Times New Roman" w:eastAsia="Times New Roman" w:hAnsi="Times New Roman" w:cs="Times New Roman"/>
          <w:b/>
          <w:bCs/>
          <w:color w:val="000000"/>
          <w:sz w:val="24"/>
          <w:szCs w:val="24"/>
        </w:rPr>
        <w:t>REFERÊNCIAS:</w:t>
      </w:r>
    </w:p>
    <w:p w14:paraId="336A3A11" w14:textId="77777777" w:rsidR="00C046EA" w:rsidRPr="00C046EA" w:rsidRDefault="00C046EA" w:rsidP="00C046EA">
      <w:pPr>
        <w:shd w:val="clear" w:color="auto" w:fill="FFFFFF"/>
        <w:spacing w:after="0" w:line="240" w:lineRule="auto"/>
        <w:ind w:right="-280"/>
        <w:jc w:val="both"/>
        <w:rPr>
          <w:rFonts w:ascii="Times New Roman" w:eastAsia="Times New Roman" w:hAnsi="Times New Roman" w:cs="Times New Roman"/>
          <w:sz w:val="24"/>
          <w:szCs w:val="24"/>
        </w:rPr>
      </w:pPr>
      <w:r w:rsidRPr="00C046EA">
        <w:rPr>
          <w:rFonts w:ascii="Times New Roman" w:eastAsia="Times New Roman" w:hAnsi="Times New Roman" w:cs="Times New Roman"/>
          <w:color w:val="000000"/>
          <w:sz w:val="24"/>
          <w:szCs w:val="24"/>
        </w:rPr>
        <w:t> </w:t>
      </w:r>
    </w:p>
    <w:p w14:paraId="0D427EC3" w14:textId="77777777" w:rsidR="00C046EA" w:rsidRPr="00C046EA" w:rsidRDefault="00C046EA" w:rsidP="00C046EA">
      <w:pPr>
        <w:shd w:val="clear" w:color="auto" w:fill="FFFFFF"/>
        <w:spacing w:after="0" w:line="240" w:lineRule="auto"/>
        <w:ind w:left="-280" w:right="-280"/>
        <w:jc w:val="both"/>
        <w:rPr>
          <w:rFonts w:ascii="Times New Roman" w:eastAsia="Times New Roman" w:hAnsi="Times New Roman" w:cs="Times New Roman"/>
          <w:sz w:val="24"/>
          <w:szCs w:val="24"/>
          <w:lang w:val="en-US"/>
        </w:rPr>
      </w:pPr>
      <w:r w:rsidRPr="00C046EA">
        <w:rPr>
          <w:rFonts w:ascii="Times New Roman" w:eastAsia="Times New Roman" w:hAnsi="Times New Roman" w:cs="Times New Roman"/>
          <w:color w:val="000000"/>
          <w:sz w:val="24"/>
          <w:szCs w:val="24"/>
        </w:rPr>
        <w:t xml:space="preserve">Coleman, K., &amp; Novak, M. A. (2017). </w:t>
      </w:r>
      <w:r w:rsidRPr="00C046EA">
        <w:rPr>
          <w:rFonts w:ascii="Times New Roman" w:eastAsia="Times New Roman" w:hAnsi="Times New Roman" w:cs="Times New Roman"/>
          <w:color w:val="000000"/>
          <w:sz w:val="24"/>
          <w:szCs w:val="24"/>
          <w:lang w:val="en-US"/>
        </w:rPr>
        <w:t>Environmental Enrichment in the 21</w:t>
      </w:r>
      <w:r w:rsidRPr="00C046EA">
        <w:rPr>
          <w:rFonts w:ascii="Times New Roman" w:eastAsia="Times New Roman" w:hAnsi="Times New Roman" w:cs="Times New Roman"/>
          <w:color w:val="000000"/>
          <w:sz w:val="14"/>
          <w:szCs w:val="14"/>
          <w:vertAlign w:val="superscript"/>
          <w:lang w:val="en-US"/>
        </w:rPr>
        <w:t>st</w:t>
      </w:r>
      <w:r w:rsidRPr="00C046EA">
        <w:rPr>
          <w:rFonts w:ascii="Times New Roman" w:eastAsia="Times New Roman" w:hAnsi="Times New Roman" w:cs="Times New Roman"/>
          <w:color w:val="000000"/>
          <w:sz w:val="24"/>
          <w:szCs w:val="24"/>
          <w:lang w:val="en-US"/>
        </w:rPr>
        <w:t xml:space="preserve"> Century. ILAR Journal, 58(2), 295-307.</w:t>
      </w:r>
    </w:p>
    <w:p w14:paraId="4B05B77C" w14:textId="77777777" w:rsidR="00C046EA" w:rsidRPr="00C046EA" w:rsidRDefault="00C046EA" w:rsidP="00C046EA">
      <w:pPr>
        <w:shd w:val="clear" w:color="auto" w:fill="FFFFFF"/>
        <w:spacing w:after="0" w:line="240" w:lineRule="auto"/>
        <w:ind w:left="-280" w:right="-280"/>
        <w:jc w:val="both"/>
        <w:rPr>
          <w:rFonts w:ascii="Times New Roman" w:eastAsia="Times New Roman" w:hAnsi="Times New Roman" w:cs="Times New Roman"/>
          <w:sz w:val="24"/>
          <w:szCs w:val="24"/>
          <w:lang w:val="en-US"/>
        </w:rPr>
      </w:pPr>
      <w:r w:rsidRPr="00C046EA">
        <w:rPr>
          <w:rFonts w:ascii="Times New Roman" w:eastAsia="Times New Roman" w:hAnsi="Times New Roman" w:cs="Times New Roman"/>
          <w:color w:val="000000"/>
          <w:sz w:val="24"/>
          <w:szCs w:val="24"/>
          <w:lang w:val="en-US"/>
        </w:rPr>
        <w:t> </w:t>
      </w:r>
    </w:p>
    <w:p w14:paraId="355CF62D" w14:textId="77777777" w:rsidR="00C046EA" w:rsidRPr="00C046EA" w:rsidRDefault="00C046EA" w:rsidP="00C046EA">
      <w:pPr>
        <w:shd w:val="clear" w:color="auto" w:fill="FFFFFF"/>
        <w:spacing w:after="0" w:line="240" w:lineRule="auto"/>
        <w:ind w:left="-280" w:right="-280"/>
        <w:jc w:val="both"/>
        <w:rPr>
          <w:rFonts w:ascii="Times New Roman" w:eastAsia="Times New Roman" w:hAnsi="Times New Roman" w:cs="Times New Roman"/>
          <w:sz w:val="24"/>
          <w:szCs w:val="24"/>
        </w:rPr>
      </w:pPr>
      <w:r w:rsidRPr="00C046EA">
        <w:rPr>
          <w:rFonts w:ascii="Times New Roman" w:eastAsia="Times New Roman" w:hAnsi="Times New Roman" w:cs="Times New Roman"/>
          <w:color w:val="000000"/>
          <w:sz w:val="24"/>
          <w:szCs w:val="24"/>
          <w:lang w:val="en-US"/>
        </w:rPr>
        <w:t xml:space="preserve">Baker, K. C., &amp; Dettmer, A. M. (2016). The Well-Being of Laboratory Non-Human Primates. </w:t>
      </w:r>
      <w:r w:rsidRPr="00C046EA">
        <w:rPr>
          <w:rFonts w:ascii="Times New Roman" w:eastAsia="Times New Roman" w:hAnsi="Times New Roman" w:cs="Times New Roman"/>
          <w:color w:val="000000"/>
          <w:sz w:val="24"/>
          <w:szCs w:val="24"/>
        </w:rPr>
        <w:t xml:space="preserve">American </w:t>
      </w:r>
      <w:proofErr w:type="spellStart"/>
      <w:r w:rsidRPr="00C046EA">
        <w:rPr>
          <w:rFonts w:ascii="Times New Roman" w:eastAsia="Times New Roman" w:hAnsi="Times New Roman" w:cs="Times New Roman"/>
          <w:color w:val="000000"/>
          <w:sz w:val="24"/>
          <w:szCs w:val="24"/>
        </w:rPr>
        <w:t>Journal</w:t>
      </w:r>
      <w:proofErr w:type="spellEnd"/>
      <w:r w:rsidRPr="00C046EA">
        <w:rPr>
          <w:rFonts w:ascii="Times New Roman" w:eastAsia="Times New Roman" w:hAnsi="Times New Roman" w:cs="Times New Roman"/>
          <w:color w:val="000000"/>
          <w:sz w:val="24"/>
          <w:szCs w:val="24"/>
        </w:rPr>
        <w:t xml:space="preserve"> </w:t>
      </w:r>
      <w:proofErr w:type="spellStart"/>
      <w:r w:rsidRPr="00C046EA">
        <w:rPr>
          <w:rFonts w:ascii="Times New Roman" w:eastAsia="Times New Roman" w:hAnsi="Times New Roman" w:cs="Times New Roman"/>
          <w:color w:val="000000"/>
          <w:sz w:val="24"/>
          <w:szCs w:val="24"/>
        </w:rPr>
        <w:t>of</w:t>
      </w:r>
      <w:proofErr w:type="spellEnd"/>
      <w:r w:rsidRPr="00C046EA">
        <w:rPr>
          <w:rFonts w:ascii="Times New Roman" w:eastAsia="Times New Roman" w:hAnsi="Times New Roman" w:cs="Times New Roman"/>
          <w:color w:val="000000"/>
          <w:sz w:val="24"/>
          <w:szCs w:val="24"/>
        </w:rPr>
        <w:t xml:space="preserve"> </w:t>
      </w:r>
      <w:proofErr w:type="spellStart"/>
      <w:r w:rsidRPr="00C046EA">
        <w:rPr>
          <w:rFonts w:ascii="Times New Roman" w:eastAsia="Times New Roman" w:hAnsi="Times New Roman" w:cs="Times New Roman"/>
          <w:color w:val="000000"/>
          <w:sz w:val="24"/>
          <w:szCs w:val="24"/>
        </w:rPr>
        <w:t>Primatology</w:t>
      </w:r>
      <w:proofErr w:type="spellEnd"/>
      <w:r w:rsidRPr="00C046EA">
        <w:rPr>
          <w:rFonts w:ascii="Times New Roman" w:eastAsia="Times New Roman" w:hAnsi="Times New Roman" w:cs="Times New Roman"/>
          <w:color w:val="000000"/>
          <w:sz w:val="24"/>
          <w:szCs w:val="24"/>
        </w:rPr>
        <w:t>, 7;79(1), 1-5.</w:t>
      </w:r>
    </w:p>
    <w:p w14:paraId="4A5CE5ED" w14:textId="77777777" w:rsidR="00C046EA" w:rsidRPr="00C046EA" w:rsidRDefault="00C046EA" w:rsidP="00C046EA">
      <w:pPr>
        <w:shd w:val="clear" w:color="auto" w:fill="FFFFFF"/>
        <w:spacing w:after="0" w:line="240" w:lineRule="auto"/>
        <w:ind w:left="-280" w:right="-280"/>
        <w:jc w:val="both"/>
        <w:rPr>
          <w:rFonts w:ascii="Times New Roman" w:eastAsia="Times New Roman" w:hAnsi="Times New Roman" w:cs="Times New Roman"/>
          <w:sz w:val="24"/>
          <w:szCs w:val="24"/>
        </w:rPr>
      </w:pPr>
    </w:p>
    <w:p w14:paraId="0CA482FF" w14:textId="49DF95EB" w:rsidR="009B4808" w:rsidRDefault="00C046EA" w:rsidP="00C046EA">
      <w:pPr>
        <w:shd w:val="clear" w:color="auto" w:fill="FFFFFF"/>
        <w:spacing w:after="0" w:line="240" w:lineRule="auto"/>
        <w:ind w:left="-284" w:right="-285"/>
        <w:jc w:val="both"/>
        <w:rPr>
          <w:rFonts w:ascii="Times New Roman" w:eastAsia="Times New Roman" w:hAnsi="Times New Roman" w:cs="Times New Roman"/>
          <w:sz w:val="24"/>
          <w:szCs w:val="24"/>
        </w:rPr>
      </w:pPr>
      <w:r w:rsidRPr="00C046EA">
        <w:rPr>
          <w:rFonts w:ascii="Times New Roman" w:eastAsia="Times New Roman" w:hAnsi="Times New Roman" w:cs="Times New Roman"/>
          <w:color w:val="000000"/>
          <w:sz w:val="24"/>
          <w:szCs w:val="24"/>
        </w:rPr>
        <w:t>PISSINATTI, A.</w:t>
      </w:r>
      <w:proofErr w:type="gramStart"/>
      <w:r w:rsidRPr="00C046EA">
        <w:rPr>
          <w:rFonts w:ascii="Times New Roman" w:eastAsia="Times New Roman" w:hAnsi="Times New Roman" w:cs="Times New Roman"/>
          <w:color w:val="000000"/>
          <w:sz w:val="24"/>
          <w:szCs w:val="24"/>
        </w:rPr>
        <w:t>;</w:t>
      </w:r>
      <w:r w:rsidRPr="00C046EA">
        <w:rPr>
          <w:rFonts w:ascii="Times New Roman" w:eastAsia="Times New Roman" w:hAnsi="Times New Roman" w:cs="Times New Roman"/>
          <w:strike/>
          <w:color w:val="707070"/>
          <w:sz w:val="24"/>
          <w:szCs w:val="24"/>
        </w:rPr>
        <w:t xml:space="preserve"> </w:t>
      </w:r>
      <w:r w:rsidRPr="00C046EA">
        <w:rPr>
          <w:rFonts w:ascii="Times New Roman" w:eastAsia="Times New Roman" w:hAnsi="Times New Roman" w:cs="Times New Roman"/>
          <w:color w:val="707070"/>
          <w:sz w:val="24"/>
          <w:szCs w:val="24"/>
        </w:rPr>
        <w:t> </w:t>
      </w:r>
      <w:r w:rsidRPr="00C046EA">
        <w:rPr>
          <w:rFonts w:ascii="Times New Roman" w:eastAsia="Times New Roman" w:hAnsi="Times New Roman" w:cs="Times New Roman"/>
          <w:color w:val="000000"/>
          <w:sz w:val="24"/>
          <w:szCs w:val="24"/>
        </w:rPr>
        <w:t>MUNIZ</w:t>
      </w:r>
      <w:proofErr w:type="gramEnd"/>
      <w:r w:rsidRPr="00C046EA">
        <w:rPr>
          <w:rFonts w:ascii="Times New Roman" w:eastAsia="Times New Roman" w:hAnsi="Times New Roman" w:cs="Times New Roman"/>
          <w:color w:val="000000"/>
          <w:sz w:val="24"/>
          <w:szCs w:val="24"/>
        </w:rPr>
        <w:t>, J.</w:t>
      </w:r>
      <w:r w:rsidRPr="00C046EA">
        <w:rPr>
          <w:rFonts w:ascii="Times New Roman" w:eastAsia="Times New Roman" w:hAnsi="Times New Roman" w:cs="Times New Roman"/>
          <w:color w:val="707070"/>
          <w:sz w:val="24"/>
          <w:szCs w:val="24"/>
        </w:rPr>
        <w:t xml:space="preserve"> </w:t>
      </w:r>
      <w:r w:rsidRPr="00C046EA">
        <w:rPr>
          <w:rFonts w:ascii="Times New Roman" w:eastAsia="Times New Roman" w:hAnsi="Times New Roman" w:cs="Times New Roman"/>
          <w:color w:val="000000"/>
          <w:sz w:val="24"/>
          <w:szCs w:val="24"/>
        </w:rPr>
        <w:t>A.</w:t>
      </w:r>
      <w:r w:rsidRPr="00C046EA">
        <w:rPr>
          <w:rFonts w:ascii="Times New Roman" w:eastAsia="Times New Roman" w:hAnsi="Times New Roman" w:cs="Times New Roman"/>
          <w:color w:val="707070"/>
          <w:sz w:val="24"/>
          <w:szCs w:val="24"/>
        </w:rPr>
        <w:t xml:space="preserve"> </w:t>
      </w:r>
      <w:r w:rsidRPr="00C046EA">
        <w:rPr>
          <w:rFonts w:ascii="Times New Roman" w:eastAsia="Times New Roman" w:hAnsi="Times New Roman" w:cs="Times New Roman"/>
          <w:color w:val="000000"/>
          <w:sz w:val="24"/>
          <w:szCs w:val="24"/>
        </w:rPr>
        <w:t>P.</w:t>
      </w:r>
      <w:r w:rsidRPr="00C046EA">
        <w:rPr>
          <w:rFonts w:ascii="Times New Roman" w:eastAsia="Times New Roman" w:hAnsi="Times New Roman" w:cs="Times New Roman"/>
          <w:color w:val="707070"/>
          <w:sz w:val="24"/>
          <w:szCs w:val="24"/>
        </w:rPr>
        <w:t xml:space="preserve"> </w:t>
      </w:r>
      <w:r w:rsidRPr="00C046EA">
        <w:rPr>
          <w:rFonts w:ascii="Times New Roman" w:eastAsia="Times New Roman" w:hAnsi="Times New Roman" w:cs="Times New Roman"/>
          <w:color w:val="000000"/>
          <w:sz w:val="24"/>
          <w:szCs w:val="24"/>
        </w:rPr>
        <w:t>C.; SILVA, K.S.M.; ANDRADE, M.</w:t>
      </w:r>
      <w:r w:rsidRPr="00C046EA">
        <w:rPr>
          <w:rFonts w:ascii="Times New Roman" w:eastAsia="Times New Roman" w:hAnsi="Times New Roman" w:cs="Times New Roman"/>
          <w:color w:val="707070"/>
          <w:sz w:val="24"/>
          <w:szCs w:val="24"/>
        </w:rPr>
        <w:t xml:space="preserve"> </w:t>
      </w:r>
      <w:r w:rsidRPr="00C046EA">
        <w:rPr>
          <w:rFonts w:ascii="Times New Roman" w:eastAsia="Times New Roman" w:hAnsi="Times New Roman" w:cs="Times New Roman"/>
          <w:color w:val="000000"/>
          <w:sz w:val="24"/>
          <w:szCs w:val="24"/>
        </w:rPr>
        <w:t>C.</w:t>
      </w:r>
      <w:r w:rsidRPr="00C046EA">
        <w:rPr>
          <w:rFonts w:ascii="Times New Roman" w:eastAsia="Times New Roman" w:hAnsi="Times New Roman" w:cs="Times New Roman"/>
          <w:color w:val="707070"/>
          <w:sz w:val="24"/>
          <w:szCs w:val="24"/>
        </w:rPr>
        <w:t xml:space="preserve"> </w:t>
      </w:r>
      <w:r w:rsidRPr="00C046EA">
        <w:rPr>
          <w:rFonts w:ascii="Times New Roman" w:eastAsia="Times New Roman" w:hAnsi="Times New Roman" w:cs="Times New Roman"/>
          <w:color w:val="000000"/>
          <w:sz w:val="24"/>
          <w:szCs w:val="24"/>
        </w:rPr>
        <w:t>R.. (2023) Capítulo 4 - Primatas não humanos.</w:t>
      </w:r>
      <w:r w:rsidRPr="00C046EA">
        <w:rPr>
          <w:rFonts w:ascii="Times New Roman" w:eastAsia="Times New Roman" w:hAnsi="Times New Roman" w:cs="Times New Roman"/>
          <w:strike/>
          <w:color w:val="707070"/>
          <w:sz w:val="24"/>
          <w:szCs w:val="24"/>
        </w:rPr>
        <w:t xml:space="preserve"> </w:t>
      </w:r>
      <w:r w:rsidRPr="00C046EA">
        <w:rPr>
          <w:rFonts w:ascii="Times New Roman" w:eastAsia="Times New Roman" w:hAnsi="Times New Roman" w:cs="Times New Roman"/>
          <w:color w:val="707070"/>
          <w:sz w:val="24"/>
          <w:szCs w:val="24"/>
        </w:rPr>
        <w:t> </w:t>
      </w:r>
      <w:r w:rsidRPr="00C046EA">
        <w:rPr>
          <w:rFonts w:ascii="Times New Roman" w:eastAsia="Times New Roman" w:hAnsi="Times New Roman" w:cs="Times New Roman"/>
          <w:strike/>
          <w:color w:val="707070"/>
          <w:sz w:val="24"/>
          <w:szCs w:val="24"/>
        </w:rPr>
        <w:t>p</w:t>
      </w:r>
      <w:r w:rsidRPr="00C046EA">
        <w:rPr>
          <w:rFonts w:ascii="Times New Roman" w:eastAsia="Times New Roman" w:hAnsi="Times New Roman" w:cs="Times New Roman"/>
          <w:color w:val="000000"/>
          <w:sz w:val="24"/>
          <w:szCs w:val="24"/>
        </w:rPr>
        <w:t>p. 250-329. In: MUNIZ, J.A.P.C. (coord.). VIANA, A. A.B.; DE ANGELIS, K.</w:t>
      </w:r>
      <w:proofErr w:type="gramStart"/>
      <w:r w:rsidRPr="00C046EA">
        <w:rPr>
          <w:rFonts w:ascii="Times New Roman" w:eastAsia="Times New Roman" w:hAnsi="Times New Roman" w:cs="Times New Roman"/>
          <w:color w:val="000000"/>
          <w:sz w:val="24"/>
          <w:szCs w:val="24"/>
        </w:rPr>
        <w:t>;</w:t>
      </w:r>
      <w:r w:rsidRPr="00C046EA">
        <w:rPr>
          <w:rFonts w:ascii="Times New Roman" w:eastAsia="Times New Roman" w:hAnsi="Times New Roman" w:cs="Times New Roman"/>
          <w:strike/>
          <w:color w:val="707070"/>
          <w:sz w:val="24"/>
          <w:szCs w:val="24"/>
        </w:rPr>
        <w:t xml:space="preserve"> </w:t>
      </w:r>
      <w:r w:rsidRPr="00C046EA">
        <w:rPr>
          <w:rFonts w:ascii="Times New Roman" w:eastAsia="Times New Roman" w:hAnsi="Times New Roman" w:cs="Times New Roman"/>
          <w:color w:val="707070"/>
          <w:sz w:val="24"/>
          <w:szCs w:val="24"/>
        </w:rPr>
        <w:t> </w:t>
      </w:r>
      <w:r w:rsidRPr="00C046EA">
        <w:rPr>
          <w:rFonts w:ascii="Times New Roman" w:eastAsia="Times New Roman" w:hAnsi="Times New Roman" w:cs="Times New Roman"/>
          <w:color w:val="000000"/>
          <w:sz w:val="24"/>
          <w:szCs w:val="24"/>
        </w:rPr>
        <w:t>BRAGA</w:t>
      </w:r>
      <w:proofErr w:type="gramEnd"/>
      <w:r w:rsidRPr="00C046EA">
        <w:rPr>
          <w:rFonts w:ascii="Times New Roman" w:eastAsia="Times New Roman" w:hAnsi="Times New Roman" w:cs="Times New Roman"/>
          <w:color w:val="000000"/>
          <w:sz w:val="24"/>
          <w:szCs w:val="24"/>
        </w:rPr>
        <w:t>, L.</w:t>
      </w:r>
      <w:r w:rsidRPr="00C046EA">
        <w:rPr>
          <w:rFonts w:ascii="Times New Roman" w:eastAsia="Times New Roman" w:hAnsi="Times New Roman" w:cs="Times New Roman"/>
          <w:color w:val="707070"/>
          <w:sz w:val="24"/>
          <w:szCs w:val="24"/>
        </w:rPr>
        <w:t xml:space="preserve"> </w:t>
      </w:r>
      <w:r w:rsidRPr="00C046EA">
        <w:rPr>
          <w:rFonts w:ascii="Times New Roman" w:eastAsia="Times New Roman" w:hAnsi="Times New Roman" w:cs="Times New Roman"/>
          <w:color w:val="000000"/>
          <w:sz w:val="24"/>
          <w:szCs w:val="24"/>
        </w:rPr>
        <w:t>M.</w:t>
      </w:r>
      <w:r w:rsidRPr="00C046EA">
        <w:rPr>
          <w:rFonts w:ascii="Times New Roman" w:eastAsia="Times New Roman" w:hAnsi="Times New Roman" w:cs="Times New Roman"/>
          <w:color w:val="707070"/>
          <w:sz w:val="24"/>
          <w:szCs w:val="24"/>
        </w:rPr>
        <w:t xml:space="preserve"> </w:t>
      </w:r>
      <w:r w:rsidRPr="00C046EA">
        <w:rPr>
          <w:rFonts w:ascii="Times New Roman" w:eastAsia="Times New Roman" w:hAnsi="Times New Roman" w:cs="Times New Roman"/>
          <w:color w:val="000000"/>
          <w:sz w:val="24"/>
          <w:szCs w:val="24"/>
        </w:rPr>
        <w:t>G.</w:t>
      </w:r>
      <w:r w:rsidRPr="00C046EA">
        <w:rPr>
          <w:rFonts w:ascii="Times New Roman" w:eastAsia="Times New Roman" w:hAnsi="Times New Roman" w:cs="Times New Roman"/>
          <w:color w:val="707070"/>
          <w:sz w:val="24"/>
          <w:szCs w:val="24"/>
        </w:rPr>
        <w:t xml:space="preserve"> </w:t>
      </w:r>
      <w:r w:rsidRPr="00C046EA">
        <w:rPr>
          <w:rFonts w:ascii="Times New Roman" w:eastAsia="Times New Roman" w:hAnsi="Times New Roman" w:cs="Times New Roman"/>
          <w:color w:val="000000"/>
          <w:sz w:val="24"/>
          <w:szCs w:val="24"/>
        </w:rPr>
        <w:t>M. (organizadores) Guia brasileiro de produção, manutenção ou utilização de animais em atividades de ensino ou pesquisa científica/</w:t>
      </w:r>
      <w:proofErr w:type="spellStart"/>
      <w:r w:rsidRPr="00C046EA">
        <w:rPr>
          <w:rFonts w:ascii="Times New Roman" w:eastAsia="Times New Roman" w:hAnsi="Times New Roman" w:cs="Times New Roman"/>
          <w:color w:val="000000"/>
          <w:sz w:val="24"/>
          <w:szCs w:val="24"/>
        </w:rPr>
        <w:t>Concea</w:t>
      </w:r>
      <w:proofErr w:type="spellEnd"/>
      <w:r w:rsidRPr="00C046EA">
        <w:rPr>
          <w:rFonts w:ascii="Times New Roman" w:eastAsia="Times New Roman" w:hAnsi="Times New Roman" w:cs="Times New Roman"/>
          <w:color w:val="000000"/>
          <w:sz w:val="24"/>
          <w:szCs w:val="24"/>
        </w:rPr>
        <w:t>. 1ª ed. Brasília/DF. Ministério da Ciência, Tecnologia e Inovação,</w:t>
      </w:r>
      <w:r>
        <w:rPr>
          <w:rFonts w:ascii="Times New Roman" w:eastAsia="Times New Roman" w:hAnsi="Times New Roman" w:cs="Times New Roman"/>
          <w:color w:val="000000"/>
          <w:sz w:val="24"/>
          <w:szCs w:val="24"/>
        </w:rPr>
        <w:t xml:space="preserve"> 1107 p.</w:t>
      </w:r>
    </w:p>
    <w:sectPr w:rsidR="009B4808">
      <w:headerReference w:type="default" r:id="rId7"/>
      <w:footerReference w:type="default" r:id="rId8"/>
      <w:pgSz w:w="11906" w:h="16838"/>
      <w:pgMar w:top="1417" w:right="1701" w:bottom="1417" w:left="1701" w:header="708"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21232E" w14:textId="77777777" w:rsidR="001F7884" w:rsidRDefault="001F7884">
      <w:pPr>
        <w:spacing w:after="0" w:line="240" w:lineRule="auto"/>
      </w:pPr>
      <w:r>
        <w:separator/>
      </w:r>
    </w:p>
  </w:endnote>
  <w:endnote w:type="continuationSeparator" w:id="0">
    <w:p w14:paraId="0174C9E2" w14:textId="77777777" w:rsidR="001F7884" w:rsidRDefault="001F78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fontKey="{B122CD10-3EF8-40D9-9774-F87ACE8D81F6}"/>
    <w:embedBold r:id="rId2" w:fontKey="{E25D23F4-C956-4013-91BC-1541BDFEEBDC}"/>
    <w:embedItalic r:id="rId3" w:fontKey="{21A57DE7-2E5E-4F2D-B118-D6C1A1B07896}"/>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FBF8271D-58D8-4EDB-9DF5-7ACB30BDA38C}"/>
    <w:embedItalic r:id="rId5" w:fontKey="{4E16AA9E-7F4F-4824-93C5-BA0C3CBEFBD0}"/>
  </w:font>
  <w:font w:name="Cambria">
    <w:panose1 w:val="02040503050406030204"/>
    <w:charset w:val="00"/>
    <w:family w:val="roman"/>
    <w:pitch w:val="variable"/>
    <w:sig w:usb0="E00006FF" w:usb1="420024FF" w:usb2="02000000" w:usb3="00000000" w:csb0="0000019F" w:csb1="00000000"/>
    <w:embedRegular r:id="rId6" w:fontKey="{E688B9D7-3E6D-47F1-9FC3-73B1306D052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281F79" w14:textId="77777777" w:rsidR="009B4808" w:rsidRDefault="009B4808">
    <w:pPr>
      <w:pBdr>
        <w:top w:val="nil"/>
        <w:left w:val="nil"/>
        <w:bottom w:val="nil"/>
        <w:right w:val="nil"/>
        <w:between w:val="nil"/>
      </w:pBdr>
      <w:tabs>
        <w:tab w:val="center" w:pos="4252"/>
        <w:tab w:val="right" w:pos="8504"/>
      </w:tabs>
      <w:spacing w:after="0" w:line="240" w:lineRule="auto"/>
      <w:rPr>
        <w:color w:val="000000"/>
      </w:rPr>
    </w:pPr>
  </w:p>
  <w:p w14:paraId="024C41CC" w14:textId="77777777" w:rsidR="009B4808" w:rsidRDefault="009B4808">
    <w:pPr>
      <w:pBdr>
        <w:top w:val="nil"/>
        <w:left w:val="nil"/>
        <w:bottom w:val="nil"/>
        <w:right w:val="nil"/>
        <w:between w:val="nil"/>
      </w:pBdr>
      <w:tabs>
        <w:tab w:val="center" w:pos="4252"/>
        <w:tab w:val="right" w:pos="8504"/>
      </w:tabs>
      <w:spacing w:after="0" w:line="240" w:lineRule="auto"/>
      <w:jc w:val="cente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A11480" w14:textId="77777777" w:rsidR="001F7884" w:rsidRDefault="001F7884">
      <w:pPr>
        <w:spacing w:after="0" w:line="240" w:lineRule="auto"/>
      </w:pPr>
      <w:r>
        <w:separator/>
      </w:r>
    </w:p>
  </w:footnote>
  <w:footnote w:type="continuationSeparator" w:id="0">
    <w:p w14:paraId="26D9A8F1" w14:textId="77777777" w:rsidR="001F7884" w:rsidRDefault="001F78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373D72" w14:textId="5C6F94E9" w:rsidR="009B4808" w:rsidRDefault="005B71A5">
    <w:pPr>
      <w:pBdr>
        <w:top w:val="nil"/>
        <w:left w:val="nil"/>
        <w:bottom w:val="nil"/>
        <w:right w:val="nil"/>
        <w:between w:val="nil"/>
      </w:pBdr>
      <w:tabs>
        <w:tab w:val="center" w:pos="4252"/>
        <w:tab w:val="right" w:pos="8504"/>
      </w:tabs>
      <w:spacing w:after="0" w:line="240" w:lineRule="auto"/>
      <w:jc w:val="center"/>
      <w:rPr>
        <w:color w:val="000000"/>
      </w:rPr>
    </w:pPr>
    <w:r>
      <w:rPr>
        <w:noProof/>
        <w:color w:val="000000"/>
      </w:rPr>
      <w:drawing>
        <wp:inline distT="0" distB="0" distL="0" distR="0" wp14:anchorId="4EF18608" wp14:editId="17E78CB2">
          <wp:extent cx="2705100" cy="1352550"/>
          <wp:effectExtent l="0" t="0" r="0" b="0"/>
          <wp:docPr id="82744337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85000"/>
                    <a:extLst>
                      <a:ext uri="{28A0092B-C50C-407E-A947-70E740481C1C}">
                        <a14:useLocalDpi xmlns:a14="http://schemas.microsoft.com/office/drawing/2010/main" val="0"/>
                      </a:ext>
                    </a:extLst>
                  </a:blip>
                  <a:srcRect/>
                  <a:stretch>
                    <a:fillRect/>
                  </a:stretch>
                </pic:blipFill>
                <pic:spPr bwMode="auto">
                  <a:xfrm>
                    <a:off x="0" y="0"/>
                    <a:ext cx="2705100" cy="1352550"/>
                  </a:xfrm>
                  <a:prstGeom prst="rect">
                    <a:avLst/>
                  </a:prstGeom>
                  <a:noFill/>
                  <a:ln>
                    <a:noFill/>
                  </a:ln>
                </pic:spPr>
              </pic:pic>
            </a:graphicData>
          </a:graphic>
        </wp:inline>
      </w:drawing>
    </w:r>
  </w:p>
  <w:p w14:paraId="563CFC74" w14:textId="77777777" w:rsidR="009B4808" w:rsidRDefault="009B4808">
    <w:pPr>
      <w:pBdr>
        <w:top w:val="nil"/>
        <w:left w:val="nil"/>
        <w:bottom w:val="nil"/>
        <w:right w:val="nil"/>
        <w:between w:val="nil"/>
      </w:pBdr>
      <w:tabs>
        <w:tab w:val="center" w:pos="4252"/>
        <w:tab w:val="right" w:pos="8504"/>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4808"/>
    <w:rsid w:val="00071B44"/>
    <w:rsid w:val="001015E3"/>
    <w:rsid w:val="0011306F"/>
    <w:rsid w:val="001F7884"/>
    <w:rsid w:val="004114AB"/>
    <w:rsid w:val="00523DF0"/>
    <w:rsid w:val="00585CFC"/>
    <w:rsid w:val="005B71A5"/>
    <w:rsid w:val="005F6806"/>
    <w:rsid w:val="00690E39"/>
    <w:rsid w:val="006C3532"/>
    <w:rsid w:val="007442B3"/>
    <w:rsid w:val="00825CAB"/>
    <w:rsid w:val="00874AB6"/>
    <w:rsid w:val="00881F4E"/>
    <w:rsid w:val="00996711"/>
    <w:rsid w:val="009B4808"/>
    <w:rsid w:val="00A00622"/>
    <w:rsid w:val="00A15FDB"/>
    <w:rsid w:val="00A309FE"/>
    <w:rsid w:val="00A415BE"/>
    <w:rsid w:val="00A44038"/>
    <w:rsid w:val="00BA07CC"/>
    <w:rsid w:val="00C046EA"/>
    <w:rsid w:val="00C652A2"/>
    <w:rsid w:val="00D42467"/>
    <w:rsid w:val="00E17980"/>
    <w:rsid w:val="00ED3B7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4F887D"/>
  <w15:docId w15:val="{4F075D87-5B60-44AF-8EEF-3B1C85E2B8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240" w:after="0"/>
      <w:outlineLvl w:val="0"/>
    </w:pPr>
    <w:rPr>
      <w:color w:val="2E75B5"/>
      <w:sz w:val="32"/>
      <w:szCs w:val="32"/>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NormalWeb">
    <w:name w:val="Normal (Web)"/>
    <w:basedOn w:val="Normal"/>
    <w:uiPriority w:val="99"/>
    <w:semiHidden/>
    <w:unhideWhenUsed/>
    <w:rsid w:val="00A00622"/>
    <w:pPr>
      <w:spacing w:before="100" w:beforeAutospacing="1" w:after="100" w:afterAutospacing="1" w:line="240" w:lineRule="auto"/>
    </w:pPr>
    <w:rPr>
      <w:rFonts w:ascii="Times New Roman" w:eastAsia="Times New Roman" w:hAnsi="Times New Roman" w:cs="Times New Roman"/>
      <w:sz w:val="24"/>
      <w:szCs w:val="24"/>
    </w:rPr>
  </w:style>
  <w:style w:type="character" w:styleId="Forte">
    <w:name w:val="Strong"/>
    <w:basedOn w:val="Fontepargpadro"/>
    <w:uiPriority w:val="22"/>
    <w:qFormat/>
    <w:rsid w:val="00A00622"/>
    <w:rPr>
      <w:b/>
      <w:bCs/>
    </w:rPr>
  </w:style>
  <w:style w:type="paragraph" w:styleId="Cabealho">
    <w:name w:val="header"/>
    <w:basedOn w:val="Normal"/>
    <w:link w:val="CabealhoChar"/>
    <w:uiPriority w:val="99"/>
    <w:unhideWhenUsed/>
    <w:rsid w:val="005B71A5"/>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5B71A5"/>
  </w:style>
  <w:style w:type="paragraph" w:styleId="Rodap">
    <w:name w:val="footer"/>
    <w:basedOn w:val="Normal"/>
    <w:link w:val="RodapChar"/>
    <w:uiPriority w:val="99"/>
    <w:unhideWhenUsed/>
    <w:rsid w:val="005B71A5"/>
    <w:pPr>
      <w:tabs>
        <w:tab w:val="center" w:pos="4252"/>
        <w:tab w:val="right" w:pos="8504"/>
      </w:tabs>
      <w:spacing w:after="0" w:line="240" w:lineRule="auto"/>
    </w:pPr>
  </w:style>
  <w:style w:type="character" w:customStyle="1" w:styleId="RodapChar">
    <w:name w:val="Rodapé Char"/>
    <w:basedOn w:val="Fontepargpadro"/>
    <w:link w:val="Rodap"/>
    <w:uiPriority w:val="99"/>
    <w:rsid w:val="005B71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31921">
      <w:bodyDiv w:val="1"/>
      <w:marLeft w:val="0"/>
      <w:marRight w:val="0"/>
      <w:marTop w:val="0"/>
      <w:marBottom w:val="0"/>
      <w:divBdr>
        <w:top w:val="none" w:sz="0" w:space="0" w:color="auto"/>
        <w:left w:val="none" w:sz="0" w:space="0" w:color="auto"/>
        <w:bottom w:val="none" w:sz="0" w:space="0" w:color="auto"/>
        <w:right w:val="none" w:sz="0" w:space="0" w:color="auto"/>
      </w:divBdr>
    </w:div>
    <w:div w:id="281158953">
      <w:bodyDiv w:val="1"/>
      <w:marLeft w:val="0"/>
      <w:marRight w:val="0"/>
      <w:marTop w:val="0"/>
      <w:marBottom w:val="0"/>
      <w:divBdr>
        <w:top w:val="none" w:sz="0" w:space="0" w:color="auto"/>
        <w:left w:val="none" w:sz="0" w:space="0" w:color="auto"/>
        <w:bottom w:val="none" w:sz="0" w:space="0" w:color="auto"/>
        <w:right w:val="none" w:sz="0" w:space="0" w:color="auto"/>
      </w:divBdr>
    </w:div>
    <w:div w:id="930507712">
      <w:bodyDiv w:val="1"/>
      <w:marLeft w:val="0"/>
      <w:marRight w:val="0"/>
      <w:marTop w:val="0"/>
      <w:marBottom w:val="0"/>
      <w:divBdr>
        <w:top w:val="none" w:sz="0" w:space="0" w:color="auto"/>
        <w:left w:val="none" w:sz="0" w:space="0" w:color="auto"/>
        <w:bottom w:val="none" w:sz="0" w:space="0" w:color="auto"/>
        <w:right w:val="none" w:sz="0" w:space="0" w:color="auto"/>
      </w:divBdr>
    </w:div>
    <w:div w:id="939489515">
      <w:bodyDiv w:val="1"/>
      <w:marLeft w:val="0"/>
      <w:marRight w:val="0"/>
      <w:marTop w:val="0"/>
      <w:marBottom w:val="0"/>
      <w:divBdr>
        <w:top w:val="none" w:sz="0" w:space="0" w:color="auto"/>
        <w:left w:val="none" w:sz="0" w:space="0" w:color="auto"/>
        <w:bottom w:val="none" w:sz="0" w:space="0" w:color="auto"/>
        <w:right w:val="none" w:sz="0" w:space="0" w:color="auto"/>
      </w:divBdr>
    </w:div>
    <w:div w:id="1108768352">
      <w:bodyDiv w:val="1"/>
      <w:marLeft w:val="0"/>
      <w:marRight w:val="0"/>
      <w:marTop w:val="0"/>
      <w:marBottom w:val="0"/>
      <w:divBdr>
        <w:top w:val="none" w:sz="0" w:space="0" w:color="auto"/>
        <w:left w:val="none" w:sz="0" w:space="0" w:color="auto"/>
        <w:bottom w:val="none" w:sz="0" w:space="0" w:color="auto"/>
        <w:right w:val="none" w:sz="0" w:space="0" w:color="auto"/>
      </w:divBdr>
    </w:div>
    <w:div w:id="1468821656">
      <w:bodyDiv w:val="1"/>
      <w:marLeft w:val="0"/>
      <w:marRight w:val="0"/>
      <w:marTop w:val="0"/>
      <w:marBottom w:val="0"/>
      <w:divBdr>
        <w:top w:val="none" w:sz="0" w:space="0" w:color="auto"/>
        <w:left w:val="none" w:sz="0" w:space="0" w:color="auto"/>
        <w:bottom w:val="none" w:sz="0" w:space="0" w:color="auto"/>
        <w:right w:val="none" w:sz="0" w:space="0" w:color="auto"/>
      </w:divBdr>
    </w:div>
    <w:div w:id="1708751749">
      <w:bodyDiv w:val="1"/>
      <w:marLeft w:val="0"/>
      <w:marRight w:val="0"/>
      <w:marTop w:val="0"/>
      <w:marBottom w:val="0"/>
      <w:divBdr>
        <w:top w:val="none" w:sz="0" w:space="0" w:color="auto"/>
        <w:left w:val="none" w:sz="0" w:space="0" w:color="auto"/>
        <w:bottom w:val="none" w:sz="0" w:space="0" w:color="auto"/>
        <w:right w:val="none" w:sz="0" w:space="0" w:color="auto"/>
      </w:divBdr>
    </w:div>
    <w:div w:id="184320190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yYPAITbv0bC7/YMbJZoTDryYesg==">CgMxLjAyCGguZ2pkZ3hzOAByITFfbDFYbkVrM0NTMUl4ZE1jSGpzMUtDR05JUTlQanFwaw==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2</Pages>
  <Words>696</Words>
  <Characters>3762</Characters>
  <Application>Microsoft Office Word</Application>
  <DocSecurity>0</DocSecurity>
  <Lines>31</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Jamerson Luiz</cp:lastModifiedBy>
  <cp:revision>14</cp:revision>
  <dcterms:created xsi:type="dcterms:W3CDTF">2025-01-30T17:39:00Z</dcterms:created>
  <dcterms:modified xsi:type="dcterms:W3CDTF">2025-07-02T18:47:00Z</dcterms:modified>
</cp:coreProperties>
</file>