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sz w:val="24"/>
          <w:szCs w:val="24"/>
        </w:rPr>
      </w:pPr>
      <w:r w:rsidDel="00000000" w:rsidR="00000000" w:rsidRPr="00000000">
        <w:rPr>
          <w:b w:val="1"/>
          <w:sz w:val="24"/>
          <w:szCs w:val="24"/>
          <w:rtl w:val="0"/>
        </w:rPr>
        <w:t xml:space="preserve">ANÁLISE EPIDEMIOLÓGICA NO ANO DE 2019: PRINCIPAIS EMERGÊNCIAS ATENDIDAS PELO SAMU</w:t>
      </w:r>
      <w:r w:rsidDel="00000000" w:rsidR="00000000" w:rsidRPr="00000000">
        <w:rPr>
          <w:rtl w:val="0"/>
        </w:rPr>
      </w:r>
    </w:p>
    <w:p w:rsidR="00000000" w:rsidDel="00000000" w:rsidP="00000000" w:rsidRDefault="00000000" w:rsidRPr="00000000" w14:paraId="00000002">
      <w:pPr>
        <w:spacing w:after="240" w:before="240" w:line="360" w:lineRule="auto"/>
        <w:jc w:val="center"/>
        <w:rPr>
          <w:sz w:val="24"/>
          <w:szCs w:val="24"/>
        </w:rPr>
      </w:pPr>
      <w:r w:rsidDel="00000000" w:rsidR="00000000" w:rsidRPr="00000000">
        <w:rPr>
          <w:sz w:val="24"/>
          <w:szCs w:val="24"/>
          <w:rtl w:val="0"/>
        </w:rPr>
        <w:t xml:space="preserve">Erika Araújo dos Santos</w:t>
      </w:r>
      <w:r w:rsidDel="00000000" w:rsidR="00000000" w:rsidRPr="00000000">
        <w:rPr>
          <w:sz w:val="24"/>
          <w:szCs w:val="24"/>
          <w:vertAlign w:val="superscript"/>
          <w:rtl w:val="0"/>
        </w:rPr>
        <w:t xml:space="preserve">¹</w:t>
      </w:r>
      <w:r w:rsidDel="00000000" w:rsidR="00000000" w:rsidRPr="00000000">
        <w:rPr>
          <w:sz w:val="24"/>
          <w:szCs w:val="24"/>
          <w:rtl w:val="0"/>
        </w:rPr>
        <w:t xml:space="preserve">, Fernanda Ribeiro Sousa</w:t>
      </w:r>
      <w:r w:rsidDel="00000000" w:rsidR="00000000" w:rsidRPr="00000000">
        <w:rPr>
          <w:sz w:val="24"/>
          <w:szCs w:val="24"/>
          <w:vertAlign w:val="superscript"/>
          <w:rtl w:val="0"/>
        </w:rPr>
        <w:t xml:space="preserve">¹</w:t>
      </w:r>
      <w:r w:rsidDel="00000000" w:rsidR="00000000" w:rsidRPr="00000000">
        <w:rPr>
          <w:sz w:val="24"/>
          <w:szCs w:val="24"/>
          <w:rtl w:val="0"/>
        </w:rPr>
        <w:t xml:space="preserve">, Helene Dantas Lima Vicentini</w:t>
      </w:r>
      <w:r w:rsidDel="00000000" w:rsidR="00000000" w:rsidRPr="00000000">
        <w:rPr>
          <w:sz w:val="24"/>
          <w:szCs w:val="24"/>
          <w:vertAlign w:val="superscript"/>
          <w:rtl w:val="0"/>
        </w:rPr>
        <w:t xml:space="preserve">¹</w:t>
      </w:r>
      <w:r w:rsidDel="00000000" w:rsidR="00000000" w:rsidRPr="00000000">
        <w:rPr>
          <w:sz w:val="24"/>
          <w:szCs w:val="24"/>
          <w:rtl w:val="0"/>
        </w:rPr>
        <w:t xml:space="preserve">, Isabella Moraes do Nascimento</w:t>
      </w:r>
      <w:r w:rsidDel="00000000" w:rsidR="00000000" w:rsidRPr="00000000">
        <w:rPr>
          <w:sz w:val="24"/>
          <w:szCs w:val="24"/>
          <w:vertAlign w:val="superscript"/>
          <w:rtl w:val="0"/>
        </w:rPr>
        <w:t xml:space="preserve">¹</w:t>
      </w:r>
      <w:r w:rsidDel="00000000" w:rsidR="00000000" w:rsidRPr="00000000">
        <w:rPr>
          <w:sz w:val="24"/>
          <w:szCs w:val="24"/>
          <w:rtl w:val="0"/>
        </w:rPr>
        <w:t xml:space="preserve">, Ludmilla Lorraine Alves Lopes</w:t>
      </w:r>
      <w:r w:rsidDel="00000000" w:rsidR="00000000" w:rsidRPr="00000000">
        <w:rPr>
          <w:sz w:val="24"/>
          <w:szCs w:val="24"/>
          <w:vertAlign w:val="superscript"/>
          <w:rtl w:val="0"/>
        </w:rPr>
        <w:t xml:space="preserve">¹</w:t>
      </w:r>
      <w:r w:rsidDel="00000000" w:rsidR="00000000" w:rsidRPr="00000000">
        <w:rPr>
          <w:sz w:val="24"/>
          <w:szCs w:val="24"/>
          <w:rtl w:val="0"/>
        </w:rPr>
        <w:t xml:space="preserve">, Marília Ribeiro Alves</w:t>
      </w:r>
      <w:r w:rsidDel="00000000" w:rsidR="00000000" w:rsidRPr="00000000">
        <w:rPr>
          <w:sz w:val="24"/>
          <w:szCs w:val="24"/>
          <w:vertAlign w:val="superscript"/>
          <w:rtl w:val="0"/>
        </w:rPr>
        <w:t xml:space="preserve">¹</w:t>
      </w:r>
      <w:r w:rsidDel="00000000" w:rsidR="00000000" w:rsidRPr="00000000">
        <w:rPr>
          <w:sz w:val="24"/>
          <w:szCs w:val="24"/>
          <w:rtl w:val="0"/>
        </w:rPr>
        <w:t xml:space="preserve">, Tállytta Batista Miranda</w:t>
      </w:r>
      <w:r w:rsidDel="00000000" w:rsidR="00000000" w:rsidRPr="00000000">
        <w:rPr>
          <w:sz w:val="24"/>
          <w:szCs w:val="24"/>
          <w:vertAlign w:val="superscript"/>
          <w:rtl w:val="0"/>
        </w:rPr>
        <w:t xml:space="preserve">¹</w:t>
      </w:r>
      <w:r w:rsidDel="00000000" w:rsidR="00000000" w:rsidRPr="00000000">
        <w:rPr>
          <w:sz w:val="24"/>
          <w:szCs w:val="24"/>
          <w:rtl w:val="0"/>
        </w:rPr>
        <w:t xml:space="preserve">, Ana Paula Sá Fortes Gebrim²</w:t>
      </w:r>
    </w:p>
    <w:p w:rsidR="00000000" w:rsidDel="00000000" w:rsidP="00000000" w:rsidRDefault="00000000" w:rsidRPr="00000000" w14:paraId="00000003">
      <w:pPr>
        <w:pStyle w:val="Heading1"/>
        <w:spacing w:before="240" w:line="360" w:lineRule="auto"/>
        <w:jc w:val="center"/>
        <w:rPr>
          <w:sz w:val="24"/>
          <w:szCs w:val="24"/>
        </w:rPr>
      </w:pPr>
      <w:bookmarkStart w:colFirst="0" w:colLast="0" w:name="_qxdgk934haan" w:id="0"/>
      <w:bookmarkEnd w:id="0"/>
      <w:r w:rsidDel="00000000" w:rsidR="00000000" w:rsidRPr="00000000">
        <w:rPr>
          <w:sz w:val="24"/>
          <w:szCs w:val="24"/>
          <w:vertAlign w:val="superscript"/>
          <w:rtl w:val="0"/>
        </w:rPr>
        <w:t xml:space="preserve">¹</w:t>
      </w:r>
      <w:r w:rsidDel="00000000" w:rsidR="00000000" w:rsidRPr="00000000">
        <w:rPr>
          <w:sz w:val="24"/>
          <w:szCs w:val="24"/>
          <w:rtl w:val="0"/>
        </w:rPr>
        <w:t xml:space="preserve">Discentes da Universidade de Rio Verde, Goianésia-GO, Brasil.</w:t>
      </w:r>
    </w:p>
    <w:p w:rsidR="00000000" w:rsidDel="00000000" w:rsidP="00000000" w:rsidRDefault="00000000" w:rsidRPr="00000000" w14:paraId="00000004">
      <w:pPr>
        <w:pStyle w:val="Heading1"/>
        <w:spacing w:before="240" w:line="360" w:lineRule="auto"/>
        <w:jc w:val="center"/>
        <w:rPr>
          <w:b w:val="1"/>
          <w:sz w:val="24"/>
          <w:szCs w:val="24"/>
        </w:rPr>
      </w:pPr>
      <w:bookmarkStart w:colFirst="0" w:colLast="0" w:name="_rflx24b8hwof" w:id="1"/>
      <w:bookmarkEnd w:id="1"/>
      <w:r w:rsidDel="00000000" w:rsidR="00000000" w:rsidRPr="00000000">
        <w:rPr>
          <w:sz w:val="24"/>
          <w:szCs w:val="24"/>
          <w:rtl w:val="0"/>
        </w:rPr>
        <w:t xml:space="preserve">²Docente da Universidade de Rio Verde, Goianésia-GO, Brasil.</w:t>
      </w: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O Serviço de Atendimento Móvel de Urgência (SAMU) possui o propósito de prestar socorro à população em casos de emergência e urgência, tornando-se um serviço fundamental capaz de salvar vidas. O objetivo é a</w:t>
      </w:r>
      <w:r w:rsidDel="00000000" w:rsidR="00000000" w:rsidRPr="00000000">
        <w:rPr>
          <w:sz w:val="24"/>
          <w:szCs w:val="24"/>
          <w:rtl w:val="0"/>
        </w:rPr>
        <w:t xml:space="preserve">nalisar e comparar as emergências de natureza clínica, gineco-obstétricas e psiquiátricas atendidas pelo SAMU 192 na região do Vale do São Patrício, estado de Goiás, Brasil. </w:t>
      </w:r>
      <w:r w:rsidDel="00000000" w:rsidR="00000000" w:rsidRPr="00000000">
        <w:rPr>
          <w:b w:val="1"/>
          <w:sz w:val="24"/>
          <w:szCs w:val="24"/>
          <w:rtl w:val="0"/>
        </w:rPr>
        <w:t xml:space="preserve">MATERIAIS E MÉTODOS:</w:t>
      </w:r>
      <w:r w:rsidDel="00000000" w:rsidR="00000000" w:rsidRPr="00000000">
        <w:rPr>
          <w:sz w:val="24"/>
          <w:szCs w:val="24"/>
          <w:rtl w:val="0"/>
        </w:rPr>
        <w:t xml:space="preserve"> Estudo epidemiológico tendo como base os dados fornecidos pela central de regulação do SAMU regional de Ceres/GO, referente ao relatório de atendimentos realizados entre Janeiro e Dezembro de 2019 nos municípios da região do Vale do São Patrício. </w:t>
      </w:r>
      <w:r w:rsidDel="00000000" w:rsidR="00000000" w:rsidRPr="00000000">
        <w:rPr>
          <w:b w:val="1"/>
          <w:sz w:val="24"/>
          <w:szCs w:val="24"/>
          <w:rtl w:val="0"/>
        </w:rPr>
        <w:t xml:space="preserve">RESULTADOS:</w:t>
      </w:r>
      <w:r w:rsidDel="00000000" w:rsidR="00000000" w:rsidRPr="00000000">
        <w:rPr>
          <w:sz w:val="24"/>
          <w:szCs w:val="24"/>
          <w:rtl w:val="0"/>
        </w:rPr>
        <w:t xml:space="preserve"> No ano de 2019 foram registrados 15.196 atendimentos pelo SAMU, dentre estes os atendimentos de natureza emergencial totalizaram 4.453 casos dos quais 60,5% foram destinados às emergências clínicas, 20,5% as emergências ginecológicas obstétricas e 13% as emergências psiquiátricas. </w:t>
      </w:r>
      <w:r w:rsidDel="00000000" w:rsidR="00000000" w:rsidRPr="00000000">
        <w:rPr>
          <w:b w:val="1"/>
          <w:sz w:val="24"/>
          <w:szCs w:val="24"/>
          <w:rtl w:val="0"/>
        </w:rPr>
        <w:t xml:space="preserve">DISCUSSÃO: </w:t>
      </w:r>
      <w:r w:rsidDel="00000000" w:rsidR="00000000" w:rsidRPr="00000000">
        <w:rPr>
          <w:sz w:val="24"/>
          <w:szCs w:val="24"/>
          <w:rtl w:val="0"/>
        </w:rPr>
        <w:t xml:space="preserve">Houve uma predominância nas chamadas destinadas às </w:t>
      </w:r>
      <w:r w:rsidDel="00000000" w:rsidR="00000000" w:rsidRPr="00000000">
        <w:rPr>
          <w:sz w:val="24"/>
          <w:szCs w:val="24"/>
          <w:rtl w:val="0"/>
        </w:rPr>
        <w:t xml:space="preserve">emergências clínicas, 2.959 registros anuais, sendo o mês de Agosto o que possui maior incidência com 472 atendimentos. Ademais, em relação a esta emergência os possíveis fatores são o envelhecimento populacional além dos hábitos inadequados de alimentação e atividade física. </w:t>
      </w:r>
      <w:r w:rsidDel="00000000" w:rsidR="00000000" w:rsidRPr="00000000">
        <w:rPr>
          <w:sz w:val="24"/>
          <w:szCs w:val="24"/>
          <w:rtl w:val="0"/>
        </w:rPr>
        <w:t xml:space="preserve">Se referindo às emergências gineco-obstétricas, foram 913 casos anuais, onde o mês de Agosto possui a maior quantidade de registros, neste caso, 102 chamadas. Algumas queixas comuns que motivam o chamado dessa unidade móvel de atendimento são, por exemplo, contração uterina, perda do tampão mucoso ou de conteúdo vaginal, perda de líquido, sangramento vaginal. Em relação às </w:t>
      </w:r>
      <w:r w:rsidDel="00000000" w:rsidR="00000000" w:rsidRPr="00000000">
        <w:rPr>
          <w:sz w:val="24"/>
          <w:szCs w:val="24"/>
          <w:rtl w:val="0"/>
        </w:rPr>
        <w:t xml:space="preserve">emergências psiquiátricas, estas totalizaram 581 atendimentos ao longo do ano,</w:t>
      </w:r>
      <w:r w:rsidDel="00000000" w:rsidR="00000000" w:rsidRPr="00000000">
        <w:rPr>
          <w:sz w:val="24"/>
          <w:szCs w:val="24"/>
          <w:rtl w:val="0"/>
        </w:rPr>
        <w:t xml:space="preserve"> percebendo-se o crescimento constante entre os meses de janeiro a dezembro, partindo de 21 casos no primeiro mês e chegando ao ápice no último mês do ano de 2019 com 74 solicitações. Diante disso, apesar de não encontrar nenhuma explicação para tal fato na literatura, este cenário pode apresentar possível relação ao período das festividades de final de ano, uma vez que muitos indivíduos extrapolam no uso de substâncias psicoativas, principalmente o álcool. </w:t>
      </w:r>
      <w:r w:rsidDel="00000000" w:rsidR="00000000" w:rsidRPr="00000000">
        <w:rPr>
          <w:b w:val="1"/>
          <w:sz w:val="24"/>
          <w:szCs w:val="24"/>
          <w:rtl w:val="0"/>
        </w:rPr>
        <w:t xml:space="preserve">CONCLUSÃO:</w:t>
      </w:r>
      <w:r w:rsidDel="00000000" w:rsidR="00000000" w:rsidRPr="00000000">
        <w:rPr>
          <w:sz w:val="24"/>
          <w:szCs w:val="24"/>
          <w:rtl w:val="0"/>
        </w:rPr>
        <w:t xml:space="preserve"> O presente artigo auxiliou na elucidação da sazonalidade da natureza das emergências atendidas pelo SAMU 192 ao longo dos meses, no estado de Goiás no ano de 2019. </w:t>
      </w:r>
    </w:p>
    <w:p w:rsidR="00000000" w:rsidDel="00000000" w:rsidP="00000000" w:rsidRDefault="00000000" w:rsidRPr="00000000" w14:paraId="00000006">
      <w:pPr>
        <w:spacing w:after="240" w:before="240" w:line="360" w:lineRule="auto"/>
        <w:jc w:val="both"/>
        <w:rPr/>
      </w:pPr>
      <w:r w:rsidDel="00000000" w:rsidR="00000000" w:rsidRPr="00000000">
        <w:rPr>
          <w:b w:val="1"/>
          <w:sz w:val="24"/>
          <w:szCs w:val="24"/>
          <w:rtl w:val="0"/>
        </w:rPr>
        <w:t xml:space="preserve">Palavras-chave:</w:t>
      </w:r>
      <w:r w:rsidDel="00000000" w:rsidR="00000000" w:rsidRPr="00000000">
        <w:rPr>
          <w:sz w:val="24"/>
          <w:szCs w:val="24"/>
          <w:rtl w:val="0"/>
        </w:rPr>
        <w:t xml:space="preserve"> SAMU; emergência; urgência</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