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CONDIÇÕES SISTÊMICAS E REPERCUSSÕES PERIODONTAIS NA INFANCIA: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RELATO DE CASO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EM PACIENTE COM DIABETES MELLITUS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Vitória Soares Sousa Dos Santos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2"/>
          <w:szCs w:val="22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Noemy Aminadabe De Sousa Carvalho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2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Bruna Maysa Carvalho Da Silva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2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Ana Eduarda Damasceno Felicíssimo De Oliveira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Melissa Floriano NUNES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Isabela FLORIANO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Doenças crônicas como o diabetes mellitus podem impactar significativamente a saúde bucal e a resposta ao tratamento odontológico. Crianças com controle glicêmico inadequado apresentam maior suscetibilidade a doença periodontal e exigem uma abordagem clínica cautelosa e multidisciplinar.</w:t>
      </w:r>
      <w:r w:rsidDel="00000000" w:rsidR="00000000" w:rsidRPr="00000000">
        <w:rPr>
          <w:b w:val="1"/>
          <w:rtl w:val="0"/>
        </w:rPr>
        <w:t xml:space="preserve"> RELATO DE CASO: </w:t>
      </w:r>
      <w:r w:rsidDel="00000000" w:rsidR="00000000" w:rsidRPr="00000000">
        <w:rPr>
          <w:rtl w:val="0"/>
        </w:rPr>
        <w:t xml:space="preserve">Criança do sexo feminino, com 5 anos de idade, compareceu à clínica de odontopediatria do Serviço-Escola Integrado de Saúde Carolina de Freitas Lira para atendimento odontológico de rotina e relato de resistência à escavação. Ao exame clínico, observou-se acentuado acúmulo de biofilme e mobilidade em todos os incisivos e primeiros molares decíduos. O exame radiográfico revelou perda óssea em região de primeiros molares decíduos. À anamnese, a mãe informou que a criança era diabética, porém sem tratamento médico em curso. O teste de glicemia capilar indicou descompensação glicêmica. Diante do quadro de periodontite grave associada à diabetes tipo 1, realizou-se encaminhamento médico e orientação e motivação de higiene bucal da paciente. </w:t>
      </w:r>
      <w:r w:rsidDel="00000000" w:rsidR="00000000" w:rsidRPr="00000000">
        <w:rPr>
          <w:b w:val="1"/>
          <w:rtl w:val="0"/>
        </w:rPr>
        <w:t xml:space="preserve">CONSIDERAÇÕES FINAIS: </w:t>
      </w:r>
      <w:r w:rsidDel="00000000" w:rsidR="00000000" w:rsidRPr="00000000">
        <w:rPr>
          <w:rtl w:val="0"/>
        </w:rPr>
        <w:t xml:space="preserve">O caso evidencia a importância da abordagem integrada do atendimento odontológico infantil. O diabetes tipo 1 pode agravar quadros periodontais e comprometer a saúde geral, sendo essencial a atuação conjunta entre odontologia e medicina para o sucesso terapêutico. 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/>
      </w:pPr>
      <w:r w:rsidDel="00000000" w:rsidR="00000000" w:rsidRPr="00000000">
        <w:rPr>
          <w:b w:val="1"/>
          <w:rtl w:val="0"/>
        </w:rPr>
        <w:t xml:space="preserve">DESCRITORES</w:t>
      </w:r>
      <w:r w:rsidDel="00000000" w:rsidR="00000000" w:rsidRPr="00000000">
        <w:rPr>
          <w:rtl w:val="0"/>
        </w:rPr>
        <w:t xml:space="preserve">: Odontopediatria. Doença Periodontal. Diabetes Mellitus.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4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Autor. Preceptora de Odontopediatria do curso de graduação em Odontologia no Centro Universitário Santo Agostinho (UNIFSA).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Graduada em Odontologia pela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Universidade Federal do Piauí (2009). Mestre em Ciências Odontológicas- Odontopediatria pela Universidade de São Paulo (2014) e Doutora em Odontopediatria  pela Universidade de São Paulo (2017)</w:t>
      </w:r>
      <w:r w:rsidDel="00000000" w:rsidR="00000000" w:rsidRPr="00000000">
        <w:rPr>
          <w:sz w:val="20"/>
          <w:szCs w:val="20"/>
          <w:rtl w:val="0"/>
        </w:rPr>
        <w:t xml:space="preserve">. Professora do Centro Universitário Santo Agostinho (UNIFSA). Orientadora da Pesquisa.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3114C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HMQxTkaqx/7ne5p/IyDZfW/pA==">CgMxLjA4AHIhMWdodXFUOUtraWlZV09NR2cwaHQ1S3VXNXVPejg0cjNN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2025-05-19T16:01:00Z</dcterms:created>
  <dc:creator>André Felipe Alves Brito</dc:creator>
</cp:coreProperties>
</file>