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46697302"/>
        <w:docPartObj>
          <w:docPartGallery w:val="Cover Pages"/>
          <w:docPartUnique/>
        </w:docPartObj>
      </w:sdtPr>
      <w:sdtEndPr/>
      <w:sdtContent>
        <w:p w14:paraId="376EA4EB" w14:textId="1A2244EB" w:rsidR="0053021A" w:rsidRDefault="0053021A">
          <w:r>
            <w:rPr>
              <w:noProof/>
              <w:lang w:eastAsia="pt-BR"/>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8097E53" w:rsidR="0027518C" w:rsidRDefault="00533FC8">
          <w:r>
            <w:rPr>
              <w:noProof/>
              <w:lang w:eastAsia="pt-BR"/>
            </w:rPr>
            <mc:AlternateContent>
              <mc:Choice Requires="wps">
                <w:drawing>
                  <wp:anchor distT="0" distB="0" distL="114300" distR="114300" simplePos="0" relativeHeight="251664384" behindDoc="0" locked="0" layoutInCell="1" allowOverlap="1" wp14:anchorId="5E65D060" wp14:editId="56E4056F">
                    <wp:simplePos x="0" y="0"/>
                    <wp:positionH relativeFrom="column">
                      <wp:posOffset>1334770</wp:posOffset>
                    </wp:positionH>
                    <wp:positionV relativeFrom="paragraph">
                      <wp:posOffset>6847205</wp:posOffset>
                    </wp:positionV>
                    <wp:extent cx="3694430" cy="1517650"/>
                    <wp:effectExtent l="0" t="0" r="0" b="6350"/>
                    <wp:wrapNone/>
                    <wp:docPr id="10815487" name="Caixa de Texto 2"/>
                    <wp:cNvGraphicFramePr/>
                    <a:graphic xmlns:a="http://schemas.openxmlformats.org/drawingml/2006/main">
                      <a:graphicData uri="http://schemas.microsoft.com/office/word/2010/wordprocessingShape">
                        <wps:wsp>
                          <wps:cNvSpPr txBox="1"/>
                          <wps:spPr>
                            <a:xfrm>
                              <a:off x="0" y="0"/>
                              <a:ext cx="3694430" cy="1517650"/>
                            </a:xfrm>
                            <a:prstGeom prst="rect">
                              <a:avLst/>
                            </a:prstGeom>
                            <a:noFill/>
                            <a:ln w="6350">
                              <a:noFill/>
                            </a:ln>
                          </wps:spPr>
                          <wps:txbx>
                            <w:txbxContent>
                              <w:p w14:paraId="638EDCFA" w14:textId="6388E050" w:rsidR="00DE2DF0" w:rsidRPr="00733AFB" w:rsidRDefault="00533FC8" w:rsidP="0053021A">
                                <w:pPr>
                                  <w:rPr>
                                    <w:rFonts w:ascii="Antonio" w:hAnsi="Antonio"/>
                                    <w:color w:val="1A9B3C"/>
                                    <w:sz w:val="36"/>
                                    <w:szCs w:val="36"/>
                                  </w:rPr>
                                </w:pPr>
                                <w:r>
                                  <w:rPr>
                                    <w:rFonts w:ascii="Antonio" w:hAnsi="Antonio"/>
                                    <w:color w:val="1A9B3C"/>
                                    <w:sz w:val="36"/>
                                    <w:szCs w:val="36"/>
                                  </w:rPr>
                                  <w:t>RESISTÊNCIAS INDÍGENAS, QUILOMBOLAS E DE POVOS E COMUMIDADES TRADICIONAIS: LUTAS PELA TERRA, ECOLOGIA E CRIATIVIDADE POLÍTICA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5.1pt;margin-top:539.15pt;width:290.9pt;height:1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" filled="f" stroked="f" strokeweight=".5pt">
                    <v:textbox>
                      <w:txbxContent>
                        <w:p w14:paraId="638EDCFA" w14:textId="6388E050" w:rsidR="00DE2DF0" w:rsidRPr="00733AFB" w:rsidRDefault="00533FC8" w:rsidP="0053021A">
                          <w:pPr>
                            <w:rPr>
                              <w:rFonts w:ascii="Antonio" w:hAnsi="Antonio"/>
                              <w:color w:val="1A9B3C"/>
                              <w:sz w:val="36"/>
                              <w:szCs w:val="36"/>
                            </w:rPr>
                          </w:pPr>
                          <w:r>
                            <w:rPr>
                              <w:rFonts w:ascii="Antonio" w:hAnsi="Antonio"/>
                              <w:color w:val="1A9B3C"/>
                              <w:sz w:val="36"/>
                              <w:szCs w:val="36"/>
                            </w:rPr>
                            <w:t>RESISTÊNCIAS INDÍGENAS, QUILOMBOLAS E DE POVOS E COMUMIDADES TRADICIONAIS: LUTAS PELA TERRA, ECOLOGIA E CRIATIVIDADE POLÍTICA</w:t>
                          </w:r>
                        </w:p>
                      </w:txbxContent>
                    </v:textbox>
                  </v:shape>
                </w:pict>
              </mc:Fallback>
            </mc:AlternateContent>
          </w:r>
          <w:r w:rsidR="0053021A">
            <w:rPr>
              <w:noProof/>
              <w:lang w:eastAsia="pt-BR"/>
            </w:rPr>
            <mc:AlternateContent>
              <mc:Choice Requires="wps">
                <w:drawing>
                  <wp:anchor distT="0" distB="0" distL="114300" distR="114300" simplePos="0" relativeHeight="251667456" behindDoc="1" locked="0" layoutInCell="1" allowOverlap="1" wp14:anchorId="486A8980" wp14:editId="1F40348F">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7024C6B5"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" fillcolor="#1a9b3c" stroked="f" strokeweight="1pt">
                    <v:stroke joinstyle="miter"/>
                  </v:roundrect>
                </w:pict>
              </mc:Fallback>
            </mc:AlternateContent>
          </w:r>
          <w:r w:rsidR="0053021A">
            <w:rPr>
              <w:noProof/>
              <w:lang w:eastAsia="pt-BR"/>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77777777" w:rsidR="00DE2DF0" w:rsidRPr="00733AFB" w:rsidRDefault="00DE2DF0" w:rsidP="0053021A">
                                <w:pPr>
                                  <w:rPr>
                                    <w:rFonts w:ascii="Antonio" w:hAnsi="Antonio"/>
                                    <w:color w:val="F8EDD1"/>
                                    <w:sz w:val="44"/>
                                    <w:szCs w:val="44"/>
                                  </w:rPr>
                                </w:pPr>
                                <w:r w:rsidRPr="00733AFB">
                                  <w:rPr>
                                    <w:rFonts w:ascii="Antonio" w:hAnsi="Antonio"/>
                                    <w:color w:val="F8EDD1"/>
                                    <w:sz w:val="44"/>
                                    <w:szCs w:val="44"/>
                                  </w:rPr>
                                  <w:t>GT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" filled="f" stroked="f" strokeweight=".5pt">
                    <v:textbox>
                      <w:txbxContent>
                        <w:p w14:paraId="7AC046C5" w14:textId="77777777" w:rsidR="00DE2DF0" w:rsidRPr="00733AFB" w:rsidRDefault="00DE2DF0" w:rsidP="0053021A">
                          <w:pPr>
                            <w:rPr>
                              <w:rFonts w:ascii="Antonio" w:hAnsi="Antonio"/>
                              <w:color w:val="F8EDD1"/>
                              <w:sz w:val="44"/>
                              <w:szCs w:val="44"/>
                            </w:rPr>
                          </w:pPr>
                          <w:r w:rsidRPr="00733AFB">
                            <w:rPr>
                              <w:rFonts w:ascii="Antonio" w:hAnsi="Antonio"/>
                              <w:color w:val="F8EDD1"/>
                              <w:sz w:val="44"/>
                              <w:szCs w:val="44"/>
                            </w:rPr>
                            <w:t>GT 01:</w:t>
                          </w:r>
                        </w:p>
                      </w:txbxContent>
                    </v:textbox>
                  </v:shape>
                </w:pict>
              </mc:Fallback>
            </mc:AlternateContent>
          </w:r>
          <w:r w:rsidR="0053021A">
            <w:br w:type="page"/>
          </w:r>
        </w:p>
      </w:sdtContent>
    </w:sdt>
    <w:p w14:paraId="1BFD7F8E" w14:textId="77777777" w:rsidR="00216EFF" w:rsidRDefault="00216EFF" w:rsidP="003F15DA">
      <w:pPr>
        <w:jc w:val="center"/>
        <w:rPr>
          <w:rFonts w:ascii="Avenir Book" w:eastAsia="Arial" w:hAnsi="Avenir Book"/>
          <w:b/>
          <w:bCs/>
        </w:rPr>
      </w:pPr>
    </w:p>
    <w:p w14:paraId="4569F68F" w14:textId="2262BB15" w:rsidR="00216EFF" w:rsidRPr="00216EFF" w:rsidRDefault="00563BA8" w:rsidP="003F15DA">
      <w:pPr>
        <w:jc w:val="center"/>
        <w:rPr>
          <w:rFonts w:eastAsia="Arial"/>
        </w:rPr>
      </w:pPr>
      <w:r w:rsidRPr="00563BA8">
        <w:rPr>
          <w:rStyle w:val="Forte"/>
        </w:rPr>
        <w:t>CESTA DE BENS E SERVIÇOS TERRITORIAIS E AÇÃO COLETIVA</w:t>
      </w:r>
      <w:r w:rsidR="003F15DA">
        <w:rPr>
          <w:rStyle w:val="Forte"/>
        </w:rPr>
        <w:t xml:space="preserve">: </w:t>
      </w:r>
      <w:r w:rsidRPr="00563BA8">
        <w:br/>
      </w:r>
      <w:r w:rsidRPr="00563BA8">
        <w:rPr>
          <w:rStyle w:val="nfase"/>
          <w:b/>
          <w:i w:val="0"/>
        </w:rPr>
        <w:t>REFLEXÕES SOBRE A COCONSTRUÇÃO DE POLÍTICAS PÚBLICAS COM AGRICULTORAS QUILOMBOLAS NO MARAJÓ</w:t>
      </w:r>
      <w:r w:rsidRPr="00563BA8" w:rsidDel="00563BA8">
        <w:rPr>
          <w:rStyle w:val="nfase"/>
          <w:rFonts w:ascii="Trebuchet MS" w:hAnsi="Trebuchet MS"/>
          <w:i w:val="0"/>
        </w:rPr>
        <w:t xml:space="preserve"> </w:t>
      </w:r>
    </w:p>
    <w:p w14:paraId="0D249CF3" w14:textId="77777777" w:rsidR="00216EFF" w:rsidRPr="00216EFF" w:rsidRDefault="00216EFF" w:rsidP="003F15DA">
      <w:pPr>
        <w:jc w:val="center"/>
        <w:rPr>
          <w:rFonts w:eastAsia="Arial" w:cs="Arial"/>
        </w:rPr>
      </w:pPr>
    </w:p>
    <w:p w14:paraId="50A5D750" w14:textId="6E3ABAD2" w:rsidR="00216EFF" w:rsidRPr="00216EFF" w:rsidRDefault="003F15DA" w:rsidP="003F15DA">
      <w:pPr>
        <w:jc w:val="center"/>
        <w:rPr>
          <w:rFonts w:eastAsia="Arial" w:cs="Arial"/>
          <w:vertAlign w:val="superscript"/>
        </w:rPr>
      </w:pPr>
      <w:r>
        <w:rPr>
          <w:rFonts w:eastAsia="Arial" w:cs="Arial"/>
        </w:rPr>
        <w:t>Evandro Neves</w:t>
      </w:r>
      <w:r w:rsidR="00216EFF" w:rsidRPr="00216EFF">
        <w:rPr>
          <w:rStyle w:val="Refdenotaderodap"/>
          <w:rFonts w:eastAsia="Arial" w:cs="Arial"/>
        </w:rPr>
        <w:footnoteReference w:id="1"/>
      </w:r>
    </w:p>
    <w:p w14:paraId="05420B62" w14:textId="3800DF13" w:rsidR="00216EFF" w:rsidRPr="00216EFF" w:rsidRDefault="003F15DA" w:rsidP="003F15DA">
      <w:pPr>
        <w:jc w:val="center"/>
        <w:rPr>
          <w:rFonts w:eastAsia="Arial" w:cs="Arial"/>
        </w:rPr>
      </w:pPr>
      <w:r>
        <w:rPr>
          <w:rFonts w:eastAsia="Arial" w:cs="Arial"/>
        </w:rPr>
        <w:t>Monique Medeiros</w:t>
      </w:r>
      <w:r w:rsidR="00216EFF" w:rsidRPr="00216EFF">
        <w:rPr>
          <w:rStyle w:val="Refdenotaderodap"/>
          <w:rFonts w:eastAsia="Arial" w:cs="Arial"/>
        </w:rPr>
        <w:footnoteReference w:id="2"/>
      </w:r>
    </w:p>
    <w:p w14:paraId="51BB509E" w14:textId="77777777" w:rsidR="00216EFF" w:rsidRPr="00216EFF" w:rsidRDefault="00216EFF" w:rsidP="00216EFF">
      <w:pPr>
        <w:spacing w:line="360" w:lineRule="auto"/>
        <w:ind w:hanging="2"/>
        <w:rPr>
          <w:rFonts w:eastAsia="Arial" w:cs="Arial"/>
          <w:color w:val="FF0000"/>
        </w:rPr>
      </w:pPr>
    </w:p>
    <w:p w14:paraId="0C32F20E" w14:textId="70A630AE" w:rsidR="00216EFF" w:rsidRPr="00216EFF" w:rsidRDefault="00533FC8" w:rsidP="00CE7282">
      <w:pPr>
        <w:rPr>
          <w:rFonts w:eastAsia="Arial" w:cs="Arial"/>
        </w:rPr>
      </w:pPr>
      <w:r>
        <w:rPr>
          <w:rFonts w:eastAsia="Arial" w:cs="Arial"/>
          <w:b/>
        </w:rPr>
        <w:t>GT2</w:t>
      </w:r>
      <w:r w:rsidR="00216EFF" w:rsidRPr="00216EFF">
        <w:rPr>
          <w:rFonts w:eastAsia="Arial" w:cs="Arial"/>
          <w:b/>
        </w:rPr>
        <w:t>:</w:t>
      </w:r>
      <w:r w:rsidR="00216EFF" w:rsidRPr="00216EFF">
        <w:rPr>
          <w:rFonts w:eastAsia="Arial" w:cs="Arial"/>
        </w:rPr>
        <w:t xml:space="preserve"> </w:t>
      </w:r>
      <w:r>
        <w:rPr>
          <w:rFonts w:eastAsia="Arial" w:cs="Arial"/>
        </w:rPr>
        <w:t>Resistências indígenas, quilombolas e de povos e comunidades tradicionais: lutas pela terra, ecologia e criatividade política</w:t>
      </w:r>
      <w:r w:rsidR="00CE7282">
        <w:rPr>
          <w:rFonts w:eastAsia="Arial" w:cs="Arial"/>
        </w:rPr>
        <w:t>.</w:t>
      </w:r>
    </w:p>
    <w:p w14:paraId="197CC6C0" w14:textId="77777777" w:rsidR="00216EFF" w:rsidRPr="00216EFF" w:rsidRDefault="00216EFF" w:rsidP="00216EFF">
      <w:pPr>
        <w:tabs>
          <w:tab w:val="left" w:pos="3544"/>
        </w:tabs>
        <w:spacing w:line="360" w:lineRule="auto"/>
        <w:ind w:hanging="2"/>
        <w:jc w:val="center"/>
        <w:rPr>
          <w:rFonts w:eastAsia="Arial" w:cs="Arial"/>
          <w:color w:val="FF0000"/>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2AC9358F" w14:textId="33B004F2" w:rsidR="001D10FF" w:rsidRPr="001D10FF" w:rsidRDefault="001D10FF" w:rsidP="001D10FF">
      <w:pPr>
        <w:rPr>
          <w:rFonts w:ascii="Times New Roman" w:eastAsia="Times New Roman" w:hAnsi="Times New Roman" w:cs="Times New Roman"/>
          <w:kern w:val="0"/>
          <w:lang w:eastAsia="pt-BR"/>
          <w14:ligatures w14:val="none"/>
        </w:rPr>
      </w:pPr>
    </w:p>
    <w:p w14:paraId="2FE64D09" w14:textId="59141D2B" w:rsidR="00FA7A19" w:rsidRDefault="00563BA8" w:rsidP="00FA7A19">
      <w:pPr>
        <w:pStyle w:val="NormalWeb"/>
        <w:spacing w:before="0" w:beforeAutospacing="0" w:after="120" w:afterAutospacing="0"/>
        <w:jc w:val="both"/>
        <w:rPr>
          <w:rFonts w:asciiTheme="minorHAnsi" w:hAnsiTheme="minorHAnsi"/>
        </w:rPr>
      </w:pPr>
      <w:r w:rsidRPr="00FA7A19">
        <w:rPr>
          <w:rFonts w:asciiTheme="minorHAnsi" w:hAnsiTheme="minorHAnsi"/>
        </w:rPr>
        <w:t>Este artigo tem como objetivo analisar como a articulação entre a abordagem da Cesta de Bens e Serviços Territoriais (CBST) e a teoria da ação coletiva pode contribuir para compreender a coprodução de políticas públicas em contextos quilombolas. A análise se baseia em uma abordagem qualitativa e participativa, a partir de duas oficinas realizadas em abril de 2025 com</w:t>
      </w:r>
      <w:r w:rsidR="00FA7A19">
        <w:rPr>
          <w:rFonts w:asciiTheme="minorHAnsi" w:hAnsiTheme="minorHAnsi"/>
        </w:rPr>
        <w:t xml:space="preserve"> 23</w:t>
      </w:r>
      <w:r w:rsidRPr="00FA7A19">
        <w:rPr>
          <w:rFonts w:asciiTheme="minorHAnsi" w:hAnsiTheme="minorHAnsi"/>
        </w:rPr>
        <w:t xml:space="preserve"> agricultor</w:t>
      </w:r>
      <w:r w:rsidR="00FA7A19">
        <w:rPr>
          <w:rFonts w:asciiTheme="minorHAnsi" w:hAnsiTheme="minorHAnsi"/>
        </w:rPr>
        <w:t>e</w:t>
      </w:r>
      <w:r w:rsidRPr="00FA7A19">
        <w:rPr>
          <w:rFonts w:asciiTheme="minorHAnsi" w:hAnsiTheme="minorHAnsi"/>
        </w:rPr>
        <w:t>s quilombolas da Comunidade Vila União</w:t>
      </w:r>
      <w:r w:rsidR="00FA7A19">
        <w:rPr>
          <w:rFonts w:asciiTheme="minorHAnsi" w:hAnsiTheme="minorHAnsi"/>
        </w:rPr>
        <w:t>/</w:t>
      </w:r>
      <w:r w:rsidRPr="00FA7A19">
        <w:rPr>
          <w:rFonts w:asciiTheme="minorHAnsi" w:hAnsiTheme="minorHAnsi"/>
        </w:rPr>
        <w:t>Campina, em Salvaterra (PA), envolvendo diferentes instituições. As oficinas permitiram identificar que a mobilização em torno do acesso ao Programa Nacional de Alimentação Escolar (PNAE) fortaleceu vínculos intercomunitários e revalorizou práticas agroalimentares tradicionais. O estudo evidencia que a ação coletiva é tanto condição quanto produto da ativação da CBST</w:t>
      </w:r>
      <w:r w:rsidR="00FA7A19">
        <w:rPr>
          <w:rFonts w:asciiTheme="minorHAnsi" w:hAnsiTheme="minorHAnsi"/>
        </w:rPr>
        <w:t>; e</w:t>
      </w:r>
      <w:r w:rsidRPr="00FA7A19">
        <w:rPr>
          <w:rFonts w:asciiTheme="minorHAnsi" w:hAnsiTheme="minorHAnsi"/>
        </w:rPr>
        <w:t xml:space="preserve"> os sujeitos locais atuam como coprodutores das políticas públicas. Ao propor essa articulação analítica, contribui</w:t>
      </w:r>
      <w:r w:rsidR="00FA7A19">
        <w:rPr>
          <w:rFonts w:asciiTheme="minorHAnsi" w:hAnsiTheme="minorHAnsi"/>
        </w:rPr>
        <w:t>-se</w:t>
      </w:r>
      <w:r w:rsidRPr="00FA7A19">
        <w:rPr>
          <w:rFonts w:asciiTheme="minorHAnsi" w:hAnsiTheme="minorHAnsi"/>
        </w:rPr>
        <w:t xml:space="preserve"> para os debates sobre políticas públicas sensíveis ao território e ao reconhecimento de saberes tradicionais.</w:t>
      </w:r>
    </w:p>
    <w:p w14:paraId="6B558E7C" w14:textId="770BD199" w:rsidR="00D3128D" w:rsidRPr="007E77EB" w:rsidRDefault="00D3128D" w:rsidP="00FA7A19">
      <w:pPr>
        <w:pStyle w:val="NormalWeb"/>
        <w:spacing w:before="0" w:beforeAutospacing="0" w:after="120" w:afterAutospacing="0"/>
        <w:jc w:val="both"/>
        <w:rPr>
          <w:rFonts w:ascii="Trebuchet MS" w:hAnsi="Trebuchet MS"/>
        </w:rPr>
      </w:pPr>
      <w:r w:rsidRPr="007E77EB">
        <w:rPr>
          <w:rFonts w:ascii="Trebuchet MS" w:hAnsi="Trebuchet MS"/>
          <w:b/>
        </w:rPr>
        <w:t>Palavras-chave</w:t>
      </w:r>
      <w:r w:rsidRPr="007E77EB">
        <w:rPr>
          <w:rFonts w:ascii="Trebuchet MS" w:hAnsi="Trebuchet MS"/>
        </w:rPr>
        <w:t>: Cesta de bens e serviços territoriais; ação coletiva;</w:t>
      </w:r>
      <w:r>
        <w:rPr>
          <w:rFonts w:ascii="Trebuchet MS" w:hAnsi="Trebuchet MS"/>
        </w:rPr>
        <w:t xml:space="preserve"> Programa Nacional de Alimentação Escolar;</w:t>
      </w:r>
      <w:r w:rsidRPr="007E77EB">
        <w:rPr>
          <w:rFonts w:ascii="Trebuchet MS" w:hAnsi="Trebuchet MS"/>
        </w:rPr>
        <w:t xml:space="preserve"> </w:t>
      </w:r>
      <w:r w:rsidR="0091748B">
        <w:rPr>
          <w:rFonts w:ascii="Trebuchet MS" w:hAnsi="Trebuchet MS"/>
        </w:rPr>
        <w:t xml:space="preserve">Comunidade Quilombola de </w:t>
      </w:r>
      <w:r>
        <w:rPr>
          <w:rFonts w:ascii="Trebuchet MS" w:hAnsi="Trebuchet MS"/>
        </w:rPr>
        <w:t>Vila União</w:t>
      </w:r>
      <w:r w:rsidR="0091748B">
        <w:rPr>
          <w:rFonts w:ascii="Trebuchet MS" w:hAnsi="Trebuchet MS"/>
        </w:rPr>
        <w:t>/</w:t>
      </w:r>
      <w:r>
        <w:rPr>
          <w:rFonts w:ascii="Trebuchet MS" w:hAnsi="Trebuchet MS"/>
        </w:rPr>
        <w:t>Campina; Marajó</w:t>
      </w:r>
      <w:r w:rsidRPr="007E77EB">
        <w:rPr>
          <w:rFonts w:ascii="Trebuchet MS" w:hAnsi="Trebuchet MS"/>
        </w:rPr>
        <w:t>.</w:t>
      </w:r>
    </w:p>
    <w:p w14:paraId="6FA7FDAB" w14:textId="77777777" w:rsidR="00216EFF" w:rsidRPr="00216EFF" w:rsidRDefault="00216EFF" w:rsidP="00216EFF">
      <w:pPr>
        <w:spacing w:line="360" w:lineRule="auto"/>
        <w:ind w:hanging="2"/>
        <w:jc w:val="both"/>
        <w:rPr>
          <w:rFonts w:eastAsia="Arial" w:cs="Arial"/>
        </w:rPr>
      </w:pPr>
    </w:p>
    <w:p w14:paraId="2872EA6C" w14:textId="77777777" w:rsidR="00D3128D" w:rsidRPr="00846A71" w:rsidRDefault="00D3128D" w:rsidP="00D3128D">
      <w:pPr>
        <w:spacing w:after="120" w:line="360" w:lineRule="auto"/>
        <w:jc w:val="both"/>
        <w:rPr>
          <w:rFonts w:ascii="Trebuchet MS" w:eastAsia="Times New Roman" w:hAnsi="Trebuchet MS" w:cs="Times New Roman"/>
          <w:lang w:eastAsia="pt-BR"/>
        </w:rPr>
      </w:pPr>
      <w:r>
        <w:rPr>
          <w:rFonts w:ascii="Trebuchet MS" w:eastAsia="Times New Roman" w:hAnsi="Trebuchet MS" w:cs="Times New Roman"/>
          <w:bCs/>
          <w:lang w:eastAsia="pt-BR"/>
        </w:rPr>
        <w:t>INTRODUÇÃO</w:t>
      </w:r>
    </w:p>
    <w:p w14:paraId="5B97F438" w14:textId="601AF734" w:rsidR="00D3128D" w:rsidRDefault="00D3128D" w:rsidP="00D3128D">
      <w:pPr>
        <w:spacing w:after="120" w:line="360" w:lineRule="auto"/>
        <w:ind w:firstLine="709"/>
        <w:jc w:val="both"/>
        <w:rPr>
          <w:rFonts w:ascii="Trebuchet MS" w:eastAsia="Times New Roman" w:hAnsi="Trebuchet MS" w:cs="Times New Roman"/>
          <w:lang w:eastAsia="pt-BR"/>
        </w:rPr>
      </w:pPr>
      <w:r w:rsidRPr="00846A71">
        <w:rPr>
          <w:rFonts w:ascii="Trebuchet MS" w:eastAsia="Times New Roman" w:hAnsi="Trebuchet MS" w:cs="Times New Roman"/>
          <w:lang w:eastAsia="pt-BR"/>
        </w:rPr>
        <w:t xml:space="preserve">A Cesta de Bens e Serviços Territoriais (CBST) vem se consolidando como um referencial analítico e metodológico no campo do desenvolvimento territorial, com ênfase na valorização de recursos específicos ancorados em territórios e sistemas </w:t>
      </w:r>
      <w:r w:rsidRPr="00846A71">
        <w:rPr>
          <w:rFonts w:ascii="Trebuchet MS" w:eastAsia="Times New Roman" w:hAnsi="Trebuchet MS" w:cs="Times New Roman"/>
          <w:lang w:eastAsia="pt-BR"/>
        </w:rPr>
        <w:lastRenderedPageBreak/>
        <w:t>socioculturais locais. Fundamentada na articulação entre governança territorial e processos de qualificação de recursos, a CBST parte do princípio de que os bens e serviços não têm valor intrínseco, mas resultam de processos sociais e institucionais que os tornam visíveis, desejáveis e politicamente reconhecíveis (</w:t>
      </w:r>
      <w:r w:rsidR="005C5F0F">
        <w:rPr>
          <w:rFonts w:ascii="Trebuchet MS" w:eastAsia="Times New Roman" w:hAnsi="Trebuchet MS" w:cs="Times New Roman"/>
          <w:lang w:eastAsia="pt-BR"/>
        </w:rPr>
        <w:t>CAZELLA et al., 2019; 2020</w:t>
      </w:r>
      <w:r w:rsidRPr="00846A71">
        <w:rPr>
          <w:rFonts w:ascii="Trebuchet MS" w:eastAsia="Times New Roman" w:hAnsi="Trebuchet MS" w:cs="Times New Roman"/>
          <w:lang w:eastAsia="pt-BR"/>
        </w:rPr>
        <w:t xml:space="preserve">). Essa abordagem vem ganhando força </w:t>
      </w:r>
      <w:r w:rsidR="0048705D">
        <w:rPr>
          <w:rFonts w:ascii="Trebuchet MS" w:eastAsia="Times New Roman" w:hAnsi="Trebuchet MS" w:cs="Times New Roman"/>
          <w:lang w:eastAsia="pt-BR"/>
        </w:rPr>
        <w:t>na literatura</w:t>
      </w:r>
      <w:r w:rsidR="00902FBF">
        <w:rPr>
          <w:rFonts w:ascii="Trebuchet MS" w:eastAsia="Times New Roman" w:hAnsi="Trebuchet MS" w:cs="Times New Roman"/>
          <w:lang w:eastAsia="pt-BR"/>
        </w:rPr>
        <w:t xml:space="preserve"> internacional desde o início desse milênio</w:t>
      </w:r>
      <w:r w:rsidR="0048705D">
        <w:rPr>
          <w:rFonts w:ascii="Trebuchet MS" w:eastAsia="Times New Roman" w:hAnsi="Trebuchet MS" w:cs="Times New Roman"/>
          <w:lang w:eastAsia="pt-BR"/>
        </w:rPr>
        <w:t xml:space="preserve">, </w:t>
      </w:r>
      <w:r w:rsidRPr="00846A71">
        <w:rPr>
          <w:rFonts w:ascii="Trebuchet MS" w:eastAsia="Times New Roman" w:hAnsi="Trebuchet MS" w:cs="Times New Roman"/>
          <w:lang w:eastAsia="pt-BR"/>
        </w:rPr>
        <w:t xml:space="preserve">especialmente </w:t>
      </w:r>
      <w:r w:rsidR="0048705D">
        <w:rPr>
          <w:rFonts w:ascii="Trebuchet MS" w:eastAsia="Times New Roman" w:hAnsi="Trebuchet MS" w:cs="Times New Roman"/>
          <w:lang w:eastAsia="pt-BR"/>
        </w:rPr>
        <w:t xml:space="preserve">para analisar </w:t>
      </w:r>
      <w:r w:rsidRPr="00846A71">
        <w:rPr>
          <w:rFonts w:ascii="Trebuchet MS" w:eastAsia="Times New Roman" w:hAnsi="Trebuchet MS" w:cs="Times New Roman"/>
          <w:lang w:eastAsia="pt-BR"/>
        </w:rPr>
        <w:t>contextos periféricos onde o fortalecimento de economias territoriais é compreendido como uma alternativa às lógicas hegemônicas do agronegócio e do extrativismo predatório.</w:t>
      </w:r>
    </w:p>
    <w:p w14:paraId="6F80F104" w14:textId="414C5B34" w:rsidR="00D3128D" w:rsidRDefault="00D3128D" w:rsidP="00D3128D">
      <w:pPr>
        <w:spacing w:after="120" w:line="360" w:lineRule="auto"/>
        <w:ind w:firstLine="709"/>
        <w:jc w:val="both"/>
        <w:rPr>
          <w:rFonts w:ascii="Trebuchet MS" w:eastAsia="Times New Roman" w:hAnsi="Trebuchet MS" w:cs="Times New Roman"/>
          <w:lang w:eastAsia="pt-BR"/>
        </w:rPr>
      </w:pPr>
      <w:r w:rsidRPr="00846A71">
        <w:rPr>
          <w:rFonts w:ascii="Trebuchet MS" w:eastAsia="Times New Roman" w:hAnsi="Trebuchet MS" w:cs="Times New Roman"/>
          <w:lang w:eastAsia="pt-BR"/>
        </w:rPr>
        <w:t xml:space="preserve">O interesse por este artigo surgiu a partir da realização de oficinas com agricultoras quilombolas </w:t>
      </w:r>
      <w:r>
        <w:rPr>
          <w:rFonts w:ascii="Trebuchet MS" w:eastAsia="Times New Roman" w:hAnsi="Trebuchet MS" w:cs="Times New Roman"/>
          <w:lang w:eastAsia="pt-BR"/>
        </w:rPr>
        <w:t>da Vila União</w:t>
      </w:r>
      <w:r w:rsidR="00534EEB">
        <w:rPr>
          <w:rFonts w:ascii="Trebuchet MS" w:eastAsia="Times New Roman" w:hAnsi="Trebuchet MS" w:cs="Times New Roman"/>
          <w:lang w:eastAsia="pt-BR"/>
        </w:rPr>
        <w:t>/</w:t>
      </w:r>
      <w:r>
        <w:rPr>
          <w:rFonts w:ascii="Trebuchet MS" w:eastAsia="Times New Roman" w:hAnsi="Trebuchet MS" w:cs="Times New Roman"/>
          <w:lang w:eastAsia="pt-BR"/>
        </w:rPr>
        <w:t xml:space="preserve">Campina, localizada </w:t>
      </w:r>
      <w:r w:rsidRPr="00846A71">
        <w:rPr>
          <w:rFonts w:ascii="Trebuchet MS" w:eastAsia="Times New Roman" w:hAnsi="Trebuchet MS" w:cs="Times New Roman"/>
          <w:lang w:eastAsia="pt-BR"/>
        </w:rPr>
        <w:t xml:space="preserve">no município de Salvaterra, </w:t>
      </w:r>
      <w:r>
        <w:rPr>
          <w:rFonts w:ascii="Trebuchet MS" w:eastAsia="Times New Roman" w:hAnsi="Trebuchet MS" w:cs="Times New Roman"/>
          <w:lang w:eastAsia="pt-BR"/>
        </w:rPr>
        <w:t>ilha</w:t>
      </w:r>
      <w:r w:rsidRPr="00846A71">
        <w:rPr>
          <w:rFonts w:ascii="Trebuchet MS" w:eastAsia="Times New Roman" w:hAnsi="Trebuchet MS" w:cs="Times New Roman"/>
          <w:lang w:eastAsia="pt-BR"/>
        </w:rPr>
        <w:t xml:space="preserve"> do Marajó (PA), cujo objetivo foi apoiar a organização da oferta de alimentos produzidos por essas mulheres para o Programa Nacional de Alimentação Escolar (PNAE). As oficinas, </w:t>
      </w:r>
      <w:r w:rsidR="000B44C3">
        <w:rPr>
          <w:rFonts w:ascii="Trebuchet MS" w:eastAsia="Times New Roman" w:hAnsi="Trebuchet MS" w:cs="Times New Roman"/>
          <w:lang w:eastAsia="pt-BR"/>
        </w:rPr>
        <w:t>realizadas no mês de maio do presente ano</w:t>
      </w:r>
      <w:r w:rsidR="00175359">
        <w:rPr>
          <w:rFonts w:ascii="Trebuchet MS" w:eastAsia="Times New Roman" w:hAnsi="Trebuchet MS" w:cs="Times New Roman"/>
          <w:lang w:eastAsia="pt-BR"/>
        </w:rPr>
        <w:t xml:space="preserve">, e </w:t>
      </w:r>
      <w:r w:rsidRPr="00846A71">
        <w:rPr>
          <w:rFonts w:ascii="Trebuchet MS" w:eastAsia="Times New Roman" w:hAnsi="Trebuchet MS" w:cs="Times New Roman"/>
          <w:lang w:eastAsia="pt-BR"/>
        </w:rPr>
        <w:t xml:space="preserve">que articularam temas como agricultura familiar, segurança alimentar, territorialidade e políticas públicas, evidenciaram que a construção dessa oferta extrapola dimensões técnicas de produção e logística. As agricultoras mobilizam saberes locais, relações de parentesco, vínculos com o território e articulações políticas para garantir o acesso a esse mercado institucional. Nesse processo, emergem recursos específicos que compõem uma possível </w:t>
      </w:r>
      <w:r w:rsidR="00190982">
        <w:rPr>
          <w:rFonts w:ascii="Trebuchet MS" w:eastAsia="Times New Roman" w:hAnsi="Trebuchet MS" w:cs="Times New Roman"/>
          <w:lang w:eastAsia="pt-BR"/>
        </w:rPr>
        <w:t>CBST</w:t>
      </w:r>
      <w:r w:rsidRPr="00846A71">
        <w:rPr>
          <w:rFonts w:ascii="Trebuchet MS" w:eastAsia="Times New Roman" w:hAnsi="Trebuchet MS" w:cs="Times New Roman"/>
          <w:lang w:eastAsia="pt-BR"/>
        </w:rPr>
        <w:t xml:space="preserve"> — entre os quais destacam-se alimentos tradicionais, práticas agroextrativistas, redes de solidariedade e formas próprias de organização social. A partir dessa experiência concreta, levantou-se a necessidade de refletir sobre os fundamentos sociais e políticos da CBST e, particularmente, sobre o papel da ação coletiva em sua construção.</w:t>
      </w:r>
    </w:p>
    <w:p w14:paraId="40AB1D24" w14:textId="5E33B171" w:rsidR="00D3128D" w:rsidRDefault="00D3128D" w:rsidP="00D3128D">
      <w:pPr>
        <w:spacing w:after="120" w:line="360" w:lineRule="auto"/>
        <w:ind w:firstLine="709"/>
        <w:jc w:val="both"/>
        <w:rPr>
          <w:rFonts w:ascii="Trebuchet MS" w:eastAsia="Times New Roman" w:hAnsi="Trebuchet MS" w:cs="Times New Roman"/>
          <w:lang w:eastAsia="pt-BR"/>
        </w:rPr>
      </w:pPr>
      <w:r w:rsidRPr="00846A71">
        <w:rPr>
          <w:rFonts w:ascii="Trebuchet MS" w:eastAsia="Times New Roman" w:hAnsi="Trebuchet MS" w:cs="Times New Roman"/>
          <w:lang w:eastAsia="pt-BR"/>
        </w:rPr>
        <w:t>Nos últimos anos, alguns trabalhos têm buscado expandir a abordagem da CBST para além da dimensão econômica e institucional, incorporando dinâmicas relacionais, saberes locais e prátic</w:t>
      </w:r>
      <w:r w:rsidR="00084904">
        <w:rPr>
          <w:rFonts w:ascii="Trebuchet MS" w:eastAsia="Times New Roman" w:hAnsi="Trebuchet MS" w:cs="Times New Roman"/>
          <w:lang w:eastAsia="pt-BR"/>
        </w:rPr>
        <w:t xml:space="preserve">as de cooperação. </w:t>
      </w:r>
      <w:proofErr w:type="spellStart"/>
      <w:r w:rsidR="00084904">
        <w:rPr>
          <w:rFonts w:ascii="Trebuchet MS" w:eastAsia="Times New Roman" w:hAnsi="Trebuchet MS" w:cs="Times New Roman"/>
          <w:lang w:eastAsia="pt-BR"/>
        </w:rPr>
        <w:t>Hirczak</w:t>
      </w:r>
      <w:proofErr w:type="spellEnd"/>
      <w:r w:rsidR="00084904">
        <w:rPr>
          <w:rFonts w:ascii="Trebuchet MS" w:eastAsia="Times New Roman" w:hAnsi="Trebuchet MS" w:cs="Times New Roman"/>
          <w:lang w:eastAsia="pt-BR"/>
        </w:rPr>
        <w:t xml:space="preserve">, </w:t>
      </w:r>
      <w:proofErr w:type="spellStart"/>
      <w:r w:rsidR="00084904">
        <w:rPr>
          <w:rFonts w:ascii="Trebuchet MS" w:eastAsia="Times New Roman" w:hAnsi="Trebuchet MS" w:cs="Times New Roman"/>
          <w:lang w:eastAsia="pt-BR"/>
        </w:rPr>
        <w:t>Janin</w:t>
      </w:r>
      <w:proofErr w:type="spellEnd"/>
      <w:r w:rsidR="00084904">
        <w:rPr>
          <w:rFonts w:ascii="Trebuchet MS" w:eastAsia="Times New Roman" w:hAnsi="Trebuchet MS" w:cs="Times New Roman"/>
          <w:lang w:eastAsia="pt-BR"/>
        </w:rPr>
        <w:t xml:space="preserve"> e </w:t>
      </w:r>
      <w:proofErr w:type="spellStart"/>
      <w:r w:rsidR="00084904">
        <w:rPr>
          <w:rFonts w:ascii="Trebuchet MS" w:eastAsia="Times New Roman" w:hAnsi="Trebuchet MS" w:cs="Times New Roman"/>
          <w:lang w:eastAsia="pt-BR"/>
        </w:rPr>
        <w:t>Lapostolle</w:t>
      </w:r>
      <w:proofErr w:type="spellEnd"/>
      <w:r w:rsidRPr="00846A71">
        <w:rPr>
          <w:rFonts w:ascii="Trebuchet MS" w:eastAsia="Times New Roman" w:hAnsi="Trebuchet MS" w:cs="Times New Roman"/>
          <w:lang w:eastAsia="pt-BR"/>
        </w:rPr>
        <w:t xml:space="preserve"> (2022), por exemplo, propõem compreender a CBST a partir da noção de inteligência </w:t>
      </w:r>
      <w:r w:rsidRPr="00846A71">
        <w:rPr>
          <w:rFonts w:ascii="Trebuchet MS" w:eastAsia="Times New Roman" w:hAnsi="Trebuchet MS" w:cs="Times New Roman"/>
          <w:lang w:eastAsia="pt-BR"/>
        </w:rPr>
        <w:lastRenderedPageBreak/>
        <w:t>coletiva, entendida como a capacidade de atores territoriais diversos de construir, por meio do diálogo e da interação, soluções compartilhadas para a valorização de recursos e para o enfrentamento de desafios co</w:t>
      </w:r>
      <w:r w:rsidR="00084904">
        <w:rPr>
          <w:rFonts w:ascii="Trebuchet MS" w:eastAsia="Times New Roman" w:hAnsi="Trebuchet MS" w:cs="Times New Roman"/>
          <w:lang w:eastAsia="pt-BR"/>
        </w:rPr>
        <w:t xml:space="preserve">muns. </w:t>
      </w:r>
      <w:proofErr w:type="spellStart"/>
      <w:r w:rsidR="00084904">
        <w:rPr>
          <w:rFonts w:ascii="Trebuchet MS" w:eastAsia="Times New Roman" w:hAnsi="Trebuchet MS" w:cs="Times New Roman"/>
          <w:lang w:eastAsia="pt-BR"/>
        </w:rPr>
        <w:t>Lauermann</w:t>
      </w:r>
      <w:proofErr w:type="spellEnd"/>
      <w:r w:rsidR="00084904">
        <w:rPr>
          <w:rFonts w:ascii="Trebuchet MS" w:eastAsia="Times New Roman" w:hAnsi="Trebuchet MS" w:cs="Times New Roman"/>
          <w:lang w:eastAsia="pt-BR"/>
        </w:rPr>
        <w:t xml:space="preserve">, </w:t>
      </w:r>
      <w:proofErr w:type="spellStart"/>
      <w:r w:rsidR="00084904">
        <w:rPr>
          <w:rFonts w:ascii="Trebuchet MS" w:eastAsia="Times New Roman" w:hAnsi="Trebuchet MS" w:cs="Times New Roman"/>
          <w:lang w:eastAsia="pt-BR"/>
        </w:rPr>
        <w:t>Capellesso</w:t>
      </w:r>
      <w:proofErr w:type="spellEnd"/>
      <w:r w:rsidR="00084904">
        <w:rPr>
          <w:rFonts w:ascii="Trebuchet MS" w:eastAsia="Times New Roman" w:hAnsi="Trebuchet MS" w:cs="Times New Roman"/>
          <w:lang w:eastAsia="pt-BR"/>
        </w:rPr>
        <w:t xml:space="preserve"> e Gazolla</w:t>
      </w:r>
      <w:r w:rsidRPr="00846A71">
        <w:rPr>
          <w:rFonts w:ascii="Trebuchet MS" w:eastAsia="Times New Roman" w:hAnsi="Trebuchet MS" w:cs="Times New Roman"/>
          <w:lang w:eastAsia="pt-BR"/>
        </w:rPr>
        <w:t xml:space="preserve"> (2022) também reconhecem o papel das agroindústrias familiares como mediadoras de processos de qualificação territorial, ao mesmo tempo em que destacam os vínculos entre práticas produtivas, identidades culturais e conhecimentos tradicionais. Por sua vez, </w:t>
      </w:r>
      <w:proofErr w:type="spellStart"/>
      <w:r w:rsidRPr="00846A71">
        <w:rPr>
          <w:rFonts w:ascii="Trebuchet MS" w:eastAsia="Times New Roman" w:hAnsi="Trebuchet MS" w:cs="Times New Roman"/>
          <w:lang w:eastAsia="pt-BR"/>
        </w:rPr>
        <w:t>Rebollar</w:t>
      </w:r>
      <w:proofErr w:type="spellEnd"/>
      <w:r w:rsidRPr="00846A71">
        <w:rPr>
          <w:rFonts w:ascii="Trebuchet MS" w:eastAsia="Times New Roman" w:hAnsi="Trebuchet MS" w:cs="Times New Roman"/>
          <w:lang w:eastAsia="pt-BR"/>
        </w:rPr>
        <w:t xml:space="preserve"> et al. (2024) desenvolvem uma metodologia participativa para a construção de CBST, envolvendo inventário e qualificação de recursos territoriais com a participação ativa de atores locais.</w:t>
      </w:r>
      <w:r w:rsidR="00E40844">
        <w:rPr>
          <w:rFonts w:ascii="Trebuchet MS" w:eastAsia="Times New Roman" w:hAnsi="Trebuchet MS" w:cs="Times New Roman"/>
          <w:lang w:eastAsia="pt-BR"/>
        </w:rPr>
        <w:t xml:space="preserve"> </w:t>
      </w:r>
      <w:r w:rsidR="00E40844">
        <w:t>No contexto amazônico, Medeiros, Sablayrolles e Cazella (2021) propõem a CBST como uma estratégia inovadora de desenvolvimento territorial, destacando sua capacidade de articular dimensões socioculturais, ecológicas e econômicas na valorização de recursos locais.</w:t>
      </w:r>
      <w:r w:rsidR="00DB1D7A">
        <w:rPr>
          <w:rFonts w:ascii="Trebuchet MS" w:eastAsia="Times New Roman" w:hAnsi="Trebuchet MS" w:cs="Times New Roman"/>
          <w:lang w:eastAsia="pt-BR"/>
        </w:rPr>
        <w:t xml:space="preserve"> </w:t>
      </w:r>
      <w:r w:rsidR="00DB1D7A">
        <w:t xml:space="preserve">Complementando essas contribuições, </w:t>
      </w:r>
      <w:proofErr w:type="spellStart"/>
      <w:r w:rsidR="00DB1D7A">
        <w:t>Turnes</w:t>
      </w:r>
      <w:proofErr w:type="spellEnd"/>
      <w:r w:rsidR="00DB1D7A">
        <w:t xml:space="preserve"> et al. (2022) propõem um painel de indicadores para o monitoramento da CBST, com o duplo propósito de avaliar a maturação do processo de construção da cesta em diferentes territórios e de capacitar socialmente os atores envolvidos nos sistemas locais de governança</w:t>
      </w:r>
      <w:r w:rsidR="00D656CF">
        <w:t xml:space="preserve">. </w:t>
      </w:r>
    </w:p>
    <w:p w14:paraId="7F89BD20" w14:textId="545E33AC" w:rsidR="00D3128D" w:rsidRDefault="00E40844" w:rsidP="00D3128D">
      <w:pPr>
        <w:spacing w:after="120" w:line="360" w:lineRule="auto"/>
        <w:ind w:firstLine="709"/>
        <w:jc w:val="both"/>
        <w:rPr>
          <w:rFonts w:ascii="Trebuchet MS" w:eastAsia="Times New Roman" w:hAnsi="Trebuchet MS" w:cs="Times New Roman"/>
          <w:lang w:eastAsia="pt-BR"/>
        </w:rPr>
      </w:pPr>
      <w:r>
        <w:t xml:space="preserve">Embora a literatura sobre a Cesta de Bens e Serviços Territoriais (CBST) tenha avançado no reconhecimento dos recursos socioterritoriais como fundamentos para estratégias de desenvolvimento territorial alternativo, a dimensão política e coletiva envolvida na qualificação desses recursos — especialmente no que se refere à ação coletiva — permanece pouco explorada. Ainda que existam contribuições que tangenciem essa temática, o tratamento sistemático da ação coletiva como elemento constitutivo da construção da cesta permanece pouco explorado. Este artigo busca preencher essa lacuna, propondo uma aproximação analítica entre a CBST e a teoria da ação coletiva. </w:t>
      </w:r>
      <w:r w:rsidR="00D3128D">
        <w:rPr>
          <w:rFonts w:ascii="Trebuchet MS" w:eastAsia="Times New Roman" w:hAnsi="Trebuchet MS" w:cs="Times New Roman"/>
          <w:lang w:eastAsia="pt-BR"/>
        </w:rPr>
        <w:t>Mesmo</w:t>
      </w:r>
      <w:r w:rsidR="00D3128D" w:rsidRPr="00846A71">
        <w:rPr>
          <w:rFonts w:ascii="Trebuchet MS" w:eastAsia="Times New Roman" w:hAnsi="Trebuchet MS" w:cs="Times New Roman"/>
          <w:lang w:eastAsia="pt-BR"/>
        </w:rPr>
        <w:t xml:space="preserve"> que o conceito de inteligência coletiva se aproxime de certos aspectos da ação coletiva, trata-se de categorias distintas. A inteligência coletiva refere-se a um processo de construção compartilhada de conhecimento e solução de problemas baseado na interação entre atores com </w:t>
      </w:r>
      <w:r w:rsidR="00D3128D" w:rsidRPr="00846A71">
        <w:rPr>
          <w:rFonts w:ascii="Trebuchet MS" w:eastAsia="Times New Roman" w:hAnsi="Trebuchet MS" w:cs="Times New Roman"/>
          <w:lang w:eastAsia="pt-BR"/>
        </w:rPr>
        <w:lastRenderedPageBreak/>
        <w:t>saberes distintos, podendo ou não envolver organização formal ou objetivos</w:t>
      </w:r>
      <w:r w:rsidR="00D656CF">
        <w:rPr>
          <w:rFonts w:ascii="Trebuchet MS" w:eastAsia="Times New Roman" w:hAnsi="Trebuchet MS" w:cs="Times New Roman"/>
          <w:lang w:eastAsia="pt-BR"/>
        </w:rPr>
        <w:t xml:space="preserve"> estratégicos de transformação. Já a ação coletiva </w:t>
      </w:r>
      <w:r w:rsidR="00D3128D" w:rsidRPr="00846A71">
        <w:rPr>
          <w:rFonts w:ascii="Trebuchet MS" w:eastAsia="Times New Roman" w:hAnsi="Trebuchet MS" w:cs="Times New Roman"/>
          <w:lang w:eastAsia="pt-BR"/>
        </w:rPr>
        <w:t>envolve a coordenação intencional entre indivíduos ou grupos em torno de interesses comuns, com vistas à obtenção de bens coletivos e à sup</w:t>
      </w:r>
      <w:r w:rsidR="00D656CF">
        <w:rPr>
          <w:rFonts w:ascii="Trebuchet MS" w:eastAsia="Times New Roman" w:hAnsi="Trebuchet MS" w:cs="Times New Roman"/>
          <w:lang w:eastAsia="pt-BR"/>
        </w:rPr>
        <w:t>eração de dilemas de cooperação (BECKER, 1977; OSTROM, 1990).</w:t>
      </w:r>
    </w:p>
    <w:p w14:paraId="719200EF" w14:textId="77777777" w:rsidR="00A36499" w:rsidRDefault="00EF2C18" w:rsidP="00A36499">
      <w:pPr>
        <w:spacing w:after="120" w:line="360" w:lineRule="auto"/>
        <w:jc w:val="both"/>
      </w:pPr>
      <w:r>
        <w:rPr>
          <w:rFonts w:ascii="Trebuchet MS" w:eastAsia="Times New Roman" w:hAnsi="Trebuchet MS" w:cs="Times New Roman"/>
          <w:lang w:eastAsia="pt-BR"/>
        </w:rPr>
        <w:t>A</w:t>
      </w:r>
      <w:r w:rsidR="00FD434C">
        <w:rPr>
          <w:rFonts w:ascii="Trebuchet MS" w:eastAsia="Times New Roman" w:hAnsi="Trebuchet MS" w:cs="Times New Roman"/>
          <w:lang w:eastAsia="pt-BR"/>
        </w:rPr>
        <w:t>lém disso, a</w:t>
      </w:r>
      <w:r w:rsidR="00D3128D" w:rsidRPr="00846A71">
        <w:rPr>
          <w:rFonts w:ascii="Trebuchet MS" w:eastAsia="Times New Roman" w:hAnsi="Trebuchet MS" w:cs="Times New Roman"/>
          <w:lang w:eastAsia="pt-BR"/>
        </w:rPr>
        <w:t xml:space="preserve"> ação coletiva</w:t>
      </w:r>
      <w:r w:rsidR="00D3128D">
        <w:rPr>
          <w:rFonts w:ascii="Trebuchet MS" w:eastAsia="Times New Roman" w:hAnsi="Trebuchet MS" w:cs="Times New Roman"/>
          <w:lang w:eastAsia="pt-BR"/>
        </w:rPr>
        <w:t xml:space="preserve"> </w:t>
      </w:r>
      <w:r w:rsidR="00D3128D" w:rsidRPr="00846A71">
        <w:rPr>
          <w:rFonts w:ascii="Trebuchet MS" w:eastAsia="Times New Roman" w:hAnsi="Trebuchet MS" w:cs="Times New Roman"/>
          <w:lang w:eastAsia="pt-BR"/>
        </w:rPr>
        <w:t>possui uma dimensão política e institucional mais pronunciada. Ela requer a constituição de sujeitos coletiv</w:t>
      </w:r>
      <w:r w:rsidR="00D3128D">
        <w:rPr>
          <w:rFonts w:ascii="Trebuchet MS" w:eastAsia="Times New Roman" w:hAnsi="Trebuchet MS" w:cs="Times New Roman"/>
          <w:lang w:eastAsia="pt-BR"/>
        </w:rPr>
        <w:t xml:space="preserve">os com capacidade de agência, </w:t>
      </w:r>
      <w:r w:rsidR="00D3128D" w:rsidRPr="00846A71">
        <w:rPr>
          <w:rFonts w:ascii="Trebuchet MS" w:eastAsia="Times New Roman" w:hAnsi="Trebuchet MS" w:cs="Times New Roman"/>
          <w:lang w:eastAsia="pt-BR"/>
        </w:rPr>
        <w:t>o que é particularmente relevante em contextos marcado</w:t>
      </w:r>
      <w:r w:rsidR="00665BDF">
        <w:rPr>
          <w:rFonts w:ascii="Trebuchet MS" w:eastAsia="Times New Roman" w:hAnsi="Trebuchet MS" w:cs="Times New Roman"/>
          <w:lang w:eastAsia="pt-BR"/>
        </w:rPr>
        <w:t>s por desigualdades e</w:t>
      </w:r>
      <w:r w:rsidR="00D3128D" w:rsidRPr="00846A71">
        <w:rPr>
          <w:rFonts w:ascii="Trebuchet MS" w:eastAsia="Times New Roman" w:hAnsi="Trebuchet MS" w:cs="Times New Roman"/>
          <w:lang w:eastAsia="pt-BR"/>
        </w:rPr>
        <w:t xml:space="preserve"> disputas territoriais. No caso da CBST, reconhecer essa dimensão é fundamental para compreender como determinados recursos se tornam qualificáveis, quais atores têm voz nos processos de seleção e valorização, e como se definem as regras de acesso e usufruto dos bens e serviços territorializados. </w:t>
      </w:r>
      <w:r w:rsidR="00456123">
        <w:rPr>
          <w:rFonts w:ascii="Trebuchet MS" w:eastAsia="Times New Roman" w:hAnsi="Trebuchet MS" w:cs="Times New Roman"/>
          <w:lang w:eastAsia="pt-BR"/>
        </w:rPr>
        <w:t xml:space="preserve">Assim, </w:t>
      </w:r>
      <w:r w:rsidR="00456123">
        <w:t>ao incorporar a ação coletiva como eixo estruturante da CBST, este artigo busca ampliar o alcance analítico da abordagem, especialmente em contextos marcados por desigualdades e lutas por justiça territorial, como os territórios quilombolas.</w:t>
      </w:r>
    </w:p>
    <w:p w14:paraId="5C2DCABC" w14:textId="00808969" w:rsidR="00A36499" w:rsidRPr="00A36499" w:rsidRDefault="00A36499" w:rsidP="00A36499">
      <w:pPr>
        <w:spacing w:after="120" w:line="360" w:lineRule="auto"/>
        <w:ind w:firstLine="709"/>
        <w:jc w:val="both"/>
        <w:rPr>
          <w:rFonts w:eastAsia="Times New Roman" w:cs="Times New Roman"/>
          <w:kern w:val="0"/>
          <w:lang w:eastAsia="pt-BR"/>
          <w14:ligatures w14:val="none"/>
        </w:rPr>
      </w:pPr>
      <w:r w:rsidRPr="00A36499">
        <w:rPr>
          <w:rFonts w:eastAsia="Times New Roman" w:cs="Times New Roman"/>
          <w:kern w:val="0"/>
          <w:lang w:eastAsia="pt-BR"/>
          <w14:ligatures w14:val="none"/>
        </w:rPr>
        <w:t>Em termos metodológicos, o estudo adota uma abordagem qualitativa, combinando pesquisa bibliográfica e trabalho de campo participativo. A análise baseia-se em oficinas realizadas com agricultoras quilombolas da Vila União</w:t>
      </w:r>
      <w:r>
        <w:rPr>
          <w:rFonts w:eastAsia="Times New Roman" w:cs="Times New Roman"/>
          <w:kern w:val="0"/>
          <w:lang w:eastAsia="pt-BR"/>
          <w14:ligatures w14:val="none"/>
        </w:rPr>
        <w:t>/</w:t>
      </w:r>
      <w:r w:rsidRPr="00A36499">
        <w:rPr>
          <w:rFonts w:eastAsia="Times New Roman" w:cs="Times New Roman"/>
          <w:kern w:val="0"/>
          <w:lang w:eastAsia="pt-BR"/>
          <w14:ligatures w14:val="none"/>
        </w:rPr>
        <w:t>Campina, em Salvaterra (PA), enfocando os mecanismos de acesso ao PNAE e a mobilização de recursos territoriais no contexto amazônico. As duas oficinas ocorreram nos dias 28 e 29 de abril de 2025, na Comunidade Quilombola Vila União/Campina</w:t>
      </w:r>
      <w:r>
        <w:rPr>
          <w:rFonts w:eastAsia="Times New Roman" w:cs="Times New Roman"/>
          <w:kern w:val="0"/>
          <w:lang w:eastAsia="pt-BR"/>
          <w14:ligatures w14:val="none"/>
        </w:rPr>
        <w:t xml:space="preserve">, e </w:t>
      </w:r>
      <w:r w:rsidRPr="00A36499">
        <w:rPr>
          <w:rFonts w:eastAsia="Times New Roman" w:cs="Times New Roman"/>
          <w:kern w:val="0"/>
          <w:lang w:eastAsia="pt-BR"/>
          <w14:ligatures w14:val="none"/>
        </w:rPr>
        <w:t xml:space="preserve">foram realizadas em parceria com diversas instituições e coletivos locais, entre eles o Centro Colaborador em Alimentação e Nutrição Escolar (CECANE/UFPA), a Universidade Federal do Pará (por meio do projeto “Inovação e transição sustentável: cesta de bens e serviços em territórios amazônicos”, vinculado à iniciativa Amazônia+10, e financiado pela Fundação Amazônia de Amparo a Estudos e Pesquisas), a Empresa de Assistência Técnica e Extensão Rural de Salvaterra, a </w:t>
      </w:r>
      <w:r w:rsidRPr="00A36499">
        <w:rPr>
          <w:rFonts w:eastAsia="Times New Roman" w:cs="Times New Roman"/>
          <w:kern w:val="0"/>
          <w:lang w:eastAsia="pt-BR"/>
          <w14:ligatures w14:val="none"/>
        </w:rPr>
        <w:lastRenderedPageBreak/>
        <w:t xml:space="preserve">Prefeitura de Salvaterra, a Associação de Mães e Agricultores Remanescentes de Quilombos de Vila União/Campinas (AMARQVUC) e o Núcleo de Articulação e Resistências Quilombola Campina Vila União (NARQ). </w:t>
      </w:r>
    </w:p>
    <w:p w14:paraId="7822A199" w14:textId="5082B34E" w:rsidR="00A36499" w:rsidRDefault="00A36499" w:rsidP="00D3128D">
      <w:pPr>
        <w:spacing w:after="120" w:line="360" w:lineRule="auto"/>
        <w:ind w:firstLine="709"/>
        <w:jc w:val="both"/>
        <w:rPr>
          <w:rFonts w:eastAsia="Times New Roman" w:cs="Times New Roman"/>
          <w:kern w:val="0"/>
          <w:lang w:eastAsia="pt-BR"/>
          <w14:ligatures w14:val="none"/>
        </w:rPr>
      </w:pPr>
      <w:r>
        <w:t>As falas foram registradas em relato de campo e posteriormente sistematizadas com base em três etapas analíticas: (1) seleção de excertos conforme o temário previamente definido; (2) caracterização das agricultoras participantes e organização dos trechos por eixo temático; e (3) revisão final do material com foco na coerência analítica</w:t>
      </w:r>
    </w:p>
    <w:p w14:paraId="3DC425BC" w14:textId="77777777" w:rsidR="00936743" w:rsidRPr="00B22094" w:rsidRDefault="00936743" w:rsidP="00936743">
      <w:pPr>
        <w:spacing w:before="240" w:after="120" w:line="360" w:lineRule="auto"/>
        <w:jc w:val="both"/>
        <w:rPr>
          <w:rFonts w:ascii="Times New Roman" w:eastAsia="Times New Roman" w:hAnsi="Times New Roman" w:cs="Times New Roman"/>
          <w:lang w:eastAsia="pt-BR"/>
        </w:rPr>
      </w:pPr>
      <w:r>
        <w:rPr>
          <w:rFonts w:ascii="Trebuchet MS" w:eastAsia="Times New Roman" w:hAnsi="Trebuchet MS" w:cs="Times New Roman"/>
          <w:lang w:eastAsia="pt-BR"/>
        </w:rPr>
        <w:t xml:space="preserve">FUNDAMENTAÇÃO TEÓRICA </w:t>
      </w:r>
    </w:p>
    <w:p w14:paraId="08C7C40C" w14:textId="77777777" w:rsidR="008063B2" w:rsidRDefault="008063B2" w:rsidP="008063B2">
      <w:pPr>
        <w:spacing w:after="120" w:line="360" w:lineRule="auto"/>
        <w:ind w:firstLine="709"/>
        <w:jc w:val="both"/>
        <w:rPr>
          <w:rFonts w:eastAsia="Times New Roman" w:cs="Times New Roman"/>
          <w:kern w:val="0"/>
          <w:lang w:eastAsia="pt-BR"/>
          <w14:ligatures w14:val="none"/>
        </w:rPr>
      </w:pPr>
      <w:r w:rsidRPr="008063B2">
        <w:rPr>
          <w:rFonts w:eastAsia="Times New Roman" w:cs="Times New Roman"/>
          <w:kern w:val="0"/>
          <w:lang w:eastAsia="pt-BR"/>
          <w14:ligatures w14:val="none"/>
        </w:rPr>
        <w:t>A articulação entre ação coletiva e CBST exige a convergência de distintas tradições teóricas que compartilham o objetivo de compreender como sujeitos sociais se organizam para gerar valor, produzir sentido e transformar suas realidades territoriais. Nessa ótica, os recursos materiais e imateriais de um território não são dados, mas são ativados, reconhecidos e reproduzidos através da ação coletiva (O’DWYER, 2002).</w:t>
      </w:r>
    </w:p>
    <w:p w14:paraId="4B52D176" w14:textId="1161B58E" w:rsidR="008063B2" w:rsidRDefault="008063B2" w:rsidP="008063B2">
      <w:pPr>
        <w:spacing w:after="120" w:line="360" w:lineRule="auto"/>
        <w:ind w:firstLine="709"/>
        <w:jc w:val="both"/>
      </w:pPr>
      <w:r>
        <w:t>Becker (1977, p. 205-222) oferece uma metáfora para entender a CBST</w:t>
      </w:r>
      <w:r w:rsidR="007919E5">
        <w:t>: assim como a arte, os bens e serviços territoriais não existem de forma isolada, mas ganham sentido, valor e legitimidade e só se realizam por meio de redes sociais, cooperação e disputas simbólicas.</w:t>
      </w:r>
      <w:r>
        <w:t xml:space="preserve"> Da mesma forma, a valorização dos bens territoriais não é fruto de uma ação isolada, mas de um conjunto de interações sociais, negociações e disputas sobre o que deve ser reconhecido e valorizado. </w:t>
      </w:r>
      <w:r w:rsidR="007919E5">
        <w:t xml:space="preserve">Essa leitura converge com a concepção de ação coletiva em </w:t>
      </w:r>
      <w:r>
        <w:t xml:space="preserve">Touraine (1996), </w:t>
      </w:r>
      <w:r w:rsidR="007919E5">
        <w:t>que a entende</w:t>
      </w:r>
      <w:r>
        <w:t xml:space="preserve"> como um processo socialmente construído, sustentado por mobilizações, conflitos e articulações políticas que visam transformar estruturas sociais, especialmente em contextos de desigualdade.</w:t>
      </w:r>
      <w:r w:rsidR="007919E5">
        <w:t xml:space="preserve"> Assim, a construção de valor — seja artístico ou territorial — depende de sujeitos coletivos em ação e da disputa permanente por reconhecimento em contextos marcados por desigualdades.</w:t>
      </w:r>
      <w:r w:rsidR="009E1996">
        <w:t xml:space="preserve"> </w:t>
      </w:r>
    </w:p>
    <w:p w14:paraId="11792A4E" w14:textId="77777777" w:rsidR="009E1996" w:rsidRPr="009E1996" w:rsidRDefault="009E1996" w:rsidP="009E1996">
      <w:pPr>
        <w:pStyle w:val="NormalWeb"/>
        <w:spacing w:before="0" w:beforeAutospacing="0" w:after="120" w:afterAutospacing="0" w:line="360" w:lineRule="auto"/>
        <w:ind w:firstLine="709"/>
        <w:jc w:val="both"/>
        <w:rPr>
          <w:rFonts w:asciiTheme="minorHAnsi" w:hAnsiTheme="minorHAnsi"/>
        </w:rPr>
      </w:pPr>
      <w:r w:rsidRPr="009E1996">
        <w:rPr>
          <w:rFonts w:asciiTheme="minorHAnsi" w:hAnsiTheme="minorHAnsi"/>
        </w:rPr>
        <w:lastRenderedPageBreak/>
        <w:t>A contribuição de Ostrom (1990) é central para este artigo ao demonstrar que a governança dos bens comuns não depende exclusivamente de instituições externas, mas pode ser efetivamente conduzida por regras e práticas construídas pelas próprias comunidades, em sintonia com seus contextos socioculturais. Essa perspectiva dialoga com a realidade dos territórios quilombolas, nos quais a ação coletiva vai além da gestão de recursos materiais e assume um papel fundamental na afirmação identitária e na resistência a modelos de desenvolvimento hegemônicos (GOMES, 2010).</w:t>
      </w:r>
    </w:p>
    <w:p w14:paraId="67B54959" w14:textId="0B17BEED" w:rsidR="000C4BAC" w:rsidRPr="008063B2" w:rsidRDefault="000C4BAC" w:rsidP="008063B2">
      <w:pPr>
        <w:spacing w:after="120" w:line="360" w:lineRule="auto"/>
        <w:ind w:firstLine="709"/>
        <w:jc w:val="both"/>
        <w:rPr>
          <w:rFonts w:eastAsia="Times New Roman" w:cs="Times New Roman"/>
          <w:kern w:val="0"/>
          <w:lang w:eastAsia="pt-BR"/>
          <w14:ligatures w14:val="none"/>
        </w:rPr>
      </w:pPr>
      <w:r>
        <w:t>A concepção de território como construção social, proposta por Pecqueur (2006, p. 13), reforça a ideia de que o território não é apenas um espaço físico, mas um produto das interações sociais e culturais dos atores envolvidos. O autor reformula o conceito de território ao enfatizar que ele adquire valor estratégico quando é mobilizado por sujeitos que compartilham objetivos e se organizam em torno de um projeto comum, o que resulta em um “processo de elaboração de um conteúdo”. Esse entendimento é corroborado por Haesbaert (2004), que, ao introduzir a noção de multiterritorialidade, argumenta que os territórios não são homogêneos, mas compostos por camadas de experiências, memórias e vínculos afetivos, culturais e políticos. Essas aproximações possibilitam a compreensão da CBST não limitada à valorização de produtos e recursos naturais, mas com o potencial de envolver também a incorporação de saberes, tradições e sentidos que ligam os sujeitos ao território. A construção da CBST, portanto, pode ser aqui compreendida como um processo político, no qual a valorização dos bens e serviços depende da capacidade coletiva de produzir narrativas, instituir regras e afirmar modos de vida territorializados. Isso ocorre em um contexto de pressões externas e das lógicas hegemônicas de desenvolvimento (CAZELLA et al., 2020; MEDEIROS; SABLAYROLLES; CAZELLA, 202</w:t>
      </w:r>
      <w:r w:rsidR="009E1996">
        <w:t>1</w:t>
      </w:r>
      <w:r>
        <w:t xml:space="preserve">). Neste sentido, o conceito de multiterritorialidade de Haesbaert contribui para entender como a CBST se constrói através da valorização das diferentes dimensões do território, que envolvem não só aspectos econômicos, mas </w:t>
      </w:r>
      <w:r>
        <w:lastRenderedPageBreak/>
        <w:t>também culturais, sociais e simbólicos. Assim, a construção e a defesa da CBST se inserem em um processo contínuo de mobilização coletiva e resistência, no qual as comunidades quilombolas reafirmam sua identidade e autonomia frente a projetos de desenvolvimento que buscam desestruturar seus modos de vida.</w:t>
      </w:r>
    </w:p>
    <w:p w14:paraId="7B647142" w14:textId="77777777" w:rsidR="009E1996" w:rsidRDefault="00936743" w:rsidP="009E1996">
      <w:pPr>
        <w:spacing w:after="120" w:line="360" w:lineRule="auto"/>
        <w:ind w:firstLine="709"/>
        <w:jc w:val="both"/>
        <w:rPr>
          <w:rFonts w:ascii="Trebuchet MS" w:eastAsia="Times New Roman" w:hAnsi="Trebuchet MS" w:cs="Times New Roman"/>
          <w:lang w:eastAsia="pt-BR"/>
        </w:rPr>
      </w:pPr>
      <w:r w:rsidRPr="00B22094">
        <w:rPr>
          <w:rFonts w:ascii="Trebuchet MS" w:eastAsia="Times New Roman" w:hAnsi="Trebuchet MS" w:cs="Times New Roman"/>
          <w:lang w:eastAsia="pt-BR"/>
        </w:rPr>
        <w:t>A abordagem da CBST desenvolvida no Brasil oferece uma proposta concreta e aplicada para identificar os elementos que sustentam a reprodução social e econôm</w:t>
      </w:r>
      <w:r w:rsidR="003D5CE2">
        <w:rPr>
          <w:rFonts w:ascii="Trebuchet MS" w:eastAsia="Times New Roman" w:hAnsi="Trebuchet MS" w:cs="Times New Roman"/>
          <w:lang w:eastAsia="pt-BR"/>
        </w:rPr>
        <w:t>ica de comunidades tradicionais</w:t>
      </w:r>
      <w:r w:rsidRPr="00B22094">
        <w:rPr>
          <w:rFonts w:ascii="Trebuchet MS" w:eastAsia="Times New Roman" w:hAnsi="Trebuchet MS" w:cs="Times New Roman"/>
          <w:lang w:eastAsia="pt-BR"/>
        </w:rPr>
        <w:t xml:space="preserve">. </w:t>
      </w:r>
      <w:r w:rsidR="00E93C77">
        <w:rPr>
          <w:rFonts w:eastAsia="Times New Roman" w:cs="Times New Roman"/>
          <w:lang w:eastAsia="pt-BR"/>
        </w:rPr>
        <w:t>Ao analisar</w:t>
      </w:r>
      <w:r w:rsidR="003D5CE2" w:rsidRPr="003D5CE2">
        <w:rPr>
          <w:rFonts w:eastAsia="Times New Roman" w:cs="Times New Roman"/>
          <w:lang w:eastAsia="pt-BR"/>
        </w:rPr>
        <w:t xml:space="preserve"> </w:t>
      </w:r>
      <w:r w:rsidR="003D5CE2" w:rsidRPr="003D5CE2">
        <w:rPr>
          <w:rFonts w:eastAsia="Times New Roman" w:cs="Times New Roman"/>
          <w:kern w:val="0"/>
          <w:lang w:eastAsia="pt-BR"/>
          <w14:ligatures w14:val="none"/>
        </w:rPr>
        <w:t>“a oferta articulada de produtos e serviços que valorize recursos e ativos específicos de territórios rurais a partir de um sistema de governança constituído por atores públicos, associativos e privado</w:t>
      </w:r>
      <w:r w:rsidR="003D5CE2">
        <w:rPr>
          <w:rFonts w:eastAsia="Times New Roman" w:cs="Times New Roman"/>
          <w:kern w:val="0"/>
          <w:lang w:eastAsia="pt-BR"/>
          <w14:ligatures w14:val="none"/>
        </w:rPr>
        <w:t>s” (</w:t>
      </w:r>
      <w:r w:rsidR="000C4BAC">
        <w:rPr>
          <w:rFonts w:eastAsia="Times New Roman" w:cs="Times New Roman"/>
          <w:kern w:val="0"/>
          <w:lang w:eastAsia="pt-BR"/>
          <w14:ligatures w14:val="none"/>
        </w:rPr>
        <w:t>CAZELLA</w:t>
      </w:r>
      <w:r w:rsidR="003D5CE2">
        <w:rPr>
          <w:rFonts w:eastAsia="Times New Roman" w:cs="Times New Roman"/>
          <w:kern w:val="0"/>
          <w:lang w:eastAsia="pt-BR"/>
          <w14:ligatures w14:val="none"/>
        </w:rPr>
        <w:t xml:space="preserve"> et al., 2020, p. 193</w:t>
      </w:r>
      <w:r w:rsidR="003D5CE2" w:rsidRPr="003D5CE2">
        <w:rPr>
          <w:rFonts w:eastAsia="Times New Roman" w:cs="Times New Roman"/>
          <w:kern w:val="0"/>
          <w:lang w:eastAsia="pt-BR"/>
          <w14:ligatures w14:val="none"/>
        </w:rPr>
        <w:t>)</w:t>
      </w:r>
      <w:r w:rsidR="00E93C77">
        <w:rPr>
          <w:rFonts w:eastAsia="Times New Roman" w:cs="Times New Roman"/>
          <w:kern w:val="0"/>
          <w:lang w:eastAsia="pt-BR"/>
          <w14:ligatures w14:val="none"/>
        </w:rPr>
        <w:t xml:space="preserve">, os autores que a desenvolvem enfatizam </w:t>
      </w:r>
      <w:r w:rsidR="003D5CE2" w:rsidRPr="003D5CE2">
        <w:rPr>
          <w:rFonts w:eastAsia="Times New Roman" w:cs="Times New Roman"/>
          <w:kern w:val="0"/>
          <w:lang w:eastAsia="pt-BR"/>
          <w14:ligatures w14:val="none"/>
        </w:rPr>
        <w:t>a importância de uma construção coletiva e integrada que reconheça o saber-fazer local, a cultura, o ambiente natural e os arranjos institucionais que promovem o desenvolvi</w:t>
      </w:r>
      <w:r w:rsidR="003D5CE2">
        <w:rPr>
          <w:rFonts w:eastAsia="Times New Roman" w:cs="Times New Roman"/>
          <w:kern w:val="0"/>
          <w:lang w:eastAsia="pt-BR"/>
          <w14:ligatures w14:val="none"/>
        </w:rPr>
        <w:t>mento territorial sustentável.</w:t>
      </w:r>
      <w:r w:rsidR="008E14DA">
        <w:rPr>
          <w:rFonts w:eastAsia="Times New Roman" w:cs="Times New Roman"/>
          <w:kern w:val="0"/>
          <w:lang w:eastAsia="pt-BR"/>
          <w14:ligatures w14:val="none"/>
        </w:rPr>
        <w:t xml:space="preserve"> </w:t>
      </w:r>
      <w:r w:rsidRPr="00B22094">
        <w:rPr>
          <w:rFonts w:ascii="Trebuchet MS" w:eastAsia="Times New Roman" w:hAnsi="Trebuchet MS" w:cs="Times New Roman"/>
          <w:lang w:eastAsia="pt-BR"/>
        </w:rPr>
        <w:t xml:space="preserve">Não se trata apenas de um conjunto de ativos econômicos, mas da expressão da identidade territorial e das relações de solidariedade e cooperação. </w:t>
      </w:r>
      <w:r w:rsidR="008E14DA">
        <w:rPr>
          <w:rFonts w:ascii="Trebuchet MS" w:eastAsia="Times New Roman" w:hAnsi="Trebuchet MS" w:cs="Times New Roman"/>
          <w:lang w:eastAsia="pt-BR"/>
        </w:rPr>
        <w:t>Isso nos indica que a</w:t>
      </w:r>
      <w:r w:rsidRPr="00B22094">
        <w:rPr>
          <w:rFonts w:ascii="Trebuchet MS" w:eastAsia="Times New Roman" w:hAnsi="Trebuchet MS" w:cs="Times New Roman"/>
          <w:lang w:eastAsia="pt-BR"/>
        </w:rPr>
        <w:t xml:space="preserve"> construção da CBST é, por si só, um processo de ação coletiva, exigindo a mobilização dos sujeitos para identificar, nomear, valorizar e defender os elementos que compõem seus modos de vida. </w:t>
      </w:r>
    </w:p>
    <w:p w14:paraId="290442AC" w14:textId="77777777" w:rsidR="009E1996" w:rsidRDefault="009E1996" w:rsidP="00936743">
      <w:pPr>
        <w:spacing w:after="120" w:line="360" w:lineRule="auto"/>
        <w:ind w:firstLine="709"/>
        <w:jc w:val="both"/>
      </w:pPr>
      <w:r>
        <w:t xml:space="preserve">Com base nisso, a contribuição de Ostrom (1990) é fundamental para pensar a Cesta de Bens e Serviços Territoriais (CBST) como uma forma de gestão coletiva dos bens comuns, ao evidenciar que a governança de recursos compartilhados não depende exclusivamente de instituições externas, mas pode ser sustentada por regras, práticas e instituições elaboradas pelas próprias comunidades, em diálogo com suas especificidades locais. </w:t>
      </w:r>
      <w:r w:rsidR="000C4BAC">
        <w:t>A ação coletiva, nesses contextos, é um meio para garantir um processo contínuo de negociação, adaptação e afirmação identitária, no qual a gestão dos bens comuns está profundamente ligada à reprodução das relações sociais e culturais que lhes dão sentido. Em territórios quilombolas, como destacado por Medeiros, Sablayrolles e Cazella (202</w:t>
      </w:r>
      <w:r>
        <w:t>1</w:t>
      </w:r>
      <w:r w:rsidR="000C4BAC">
        <w:t xml:space="preserve">), a governança dos recursos vai além da </w:t>
      </w:r>
      <w:r w:rsidR="000C4BAC">
        <w:lastRenderedPageBreak/>
        <w:t xml:space="preserve">dimensão econômica e se conecta à construção e afirmação da identidade territorial, sendo marcada por práticas sociais e culturais que envolvem, por exemplo, a gestão comunitária dos bens naturais e a resistência frente a modelos de desenvolvimento predatórios. Nesse sentido, a gestão dos recursos é inseparável das práticas de uso da terra, dos saberes tradicionais e das formas de solidariedade, que sustentam e reconfiguram continuamente a própria estrutura da CBST. A ação coletiva, portanto, não se limita ao gerenciamento dos recursos materiais, mas envolve a reconfiguração constante da própria cesta, sendo um processo dinâmico de fortalecimento da identidade territorial e de resistência à imposição de lógicas hegemônicas de desenvolvimento. </w:t>
      </w:r>
    </w:p>
    <w:p w14:paraId="3A81F3D3" w14:textId="237E7948" w:rsidR="00936743" w:rsidRPr="00B22094" w:rsidRDefault="00936743" w:rsidP="00936743">
      <w:pPr>
        <w:spacing w:after="120" w:line="360" w:lineRule="auto"/>
        <w:ind w:firstLine="709"/>
        <w:jc w:val="both"/>
        <w:rPr>
          <w:rFonts w:ascii="Trebuchet MS" w:eastAsia="Times New Roman" w:hAnsi="Trebuchet MS" w:cs="Times New Roman"/>
          <w:lang w:eastAsia="pt-BR"/>
        </w:rPr>
      </w:pPr>
      <w:r w:rsidRPr="00B22094">
        <w:rPr>
          <w:rFonts w:ascii="Trebuchet MS" w:eastAsia="Times New Roman" w:hAnsi="Trebuchet MS" w:cs="Times New Roman"/>
          <w:lang w:eastAsia="pt-BR"/>
        </w:rPr>
        <w:t xml:space="preserve">No contexto brasileiro, autores como </w:t>
      </w:r>
      <w:r w:rsidR="00EA3A0E">
        <w:rPr>
          <w:rFonts w:ascii="Trebuchet MS" w:eastAsia="Times New Roman" w:hAnsi="Trebuchet MS" w:cs="Times New Roman"/>
          <w:lang w:eastAsia="pt-BR"/>
        </w:rPr>
        <w:t>Acevedo Marin (2009</w:t>
      </w:r>
      <w:r w:rsidRPr="00B22094">
        <w:rPr>
          <w:rFonts w:ascii="Trebuchet MS" w:eastAsia="Times New Roman" w:hAnsi="Trebuchet MS" w:cs="Times New Roman"/>
          <w:lang w:eastAsia="pt-BR"/>
        </w:rPr>
        <w:t xml:space="preserve">) e Porto-Gonçalves (2006) são fundamentais para entender as dinâmicas de disputa territorial vividas por povos tradicionais e comunidades quilombolas diante de projetos hegemônicos de desenvolvimento. Ambos evidenciam que o território é um espaço de luta, onde os saberes e práticas tradicionais enfrentam processos de desestruturação promovidos por modelos que buscam homogeneizar e mercantilizar os usos da terra. A abordagem da CBST, nesse sentido, </w:t>
      </w:r>
      <w:r w:rsidR="0088560F">
        <w:rPr>
          <w:rFonts w:ascii="Trebuchet MS" w:eastAsia="Times New Roman" w:hAnsi="Trebuchet MS" w:cs="Times New Roman"/>
          <w:lang w:eastAsia="pt-BR"/>
        </w:rPr>
        <w:t>é posta em relevo</w:t>
      </w:r>
      <w:r w:rsidRPr="00B22094">
        <w:rPr>
          <w:rFonts w:ascii="Trebuchet MS" w:eastAsia="Times New Roman" w:hAnsi="Trebuchet MS" w:cs="Times New Roman"/>
          <w:lang w:eastAsia="pt-BR"/>
        </w:rPr>
        <w:t xml:space="preserve"> como estratégia de resistência política, ao nomear e valorizar os elementos que compõem os modos de vida desses povos e, com isso, reafirmar o poder sobre seus territórios frente a projetos de mineração, monoculturas ou outras formas de exploração intensiva</w:t>
      </w:r>
      <w:r w:rsidR="0088560F">
        <w:rPr>
          <w:rFonts w:ascii="Trebuchet MS" w:eastAsia="Times New Roman" w:hAnsi="Trebuchet MS" w:cs="Times New Roman"/>
          <w:lang w:eastAsia="pt-BR"/>
        </w:rPr>
        <w:t xml:space="preserve"> que os autores analisam</w:t>
      </w:r>
      <w:r w:rsidRPr="00B22094">
        <w:rPr>
          <w:rFonts w:ascii="Trebuchet MS" w:eastAsia="Times New Roman" w:hAnsi="Trebuchet MS" w:cs="Times New Roman"/>
          <w:lang w:eastAsia="pt-BR"/>
        </w:rPr>
        <w:t xml:space="preserve">. </w:t>
      </w:r>
      <w:r w:rsidR="00FE4676">
        <w:rPr>
          <w:rFonts w:ascii="Trebuchet MS" w:eastAsia="Times New Roman" w:hAnsi="Trebuchet MS" w:cs="Times New Roman"/>
          <w:lang w:eastAsia="pt-BR"/>
        </w:rPr>
        <w:t xml:space="preserve">Ambos </w:t>
      </w:r>
      <w:r w:rsidRPr="00B22094">
        <w:rPr>
          <w:rFonts w:ascii="Trebuchet MS" w:eastAsia="Times New Roman" w:hAnsi="Trebuchet MS" w:cs="Times New Roman"/>
          <w:lang w:eastAsia="pt-BR"/>
        </w:rPr>
        <w:t xml:space="preserve">destacam que a luta pelo território envolve, além do enfrentamento de interesses econômicos, a resistência </w:t>
      </w:r>
      <w:r w:rsidR="00FE4676">
        <w:rPr>
          <w:rFonts w:ascii="Trebuchet MS" w:eastAsia="Times New Roman" w:hAnsi="Trebuchet MS" w:cs="Times New Roman"/>
          <w:lang w:eastAsia="pt-BR"/>
        </w:rPr>
        <w:t>às tentativas</w:t>
      </w:r>
      <w:r w:rsidRPr="00B22094">
        <w:rPr>
          <w:rFonts w:ascii="Trebuchet MS" w:eastAsia="Times New Roman" w:hAnsi="Trebuchet MS" w:cs="Times New Roman"/>
          <w:lang w:eastAsia="pt-BR"/>
        </w:rPr>
        <w:t xml:space="preserve"> de apagar os saberes locais e impor formas exógenas de desenvolvimento. A explicitação da CBST torna-se, assim, um ato político de resistência e afirmação da autonomia coletiva.</w:t>
      </w:r>
    </w:p>
    <w:p w14:paraId="27C52E2D" w14:textId="77777777" w:rsidR="002679CA" w:rsidRDefault="009E1996" w:rsidP="002679CA">
      <w:pPr>
        <w:spacing w:after="120" w:line="360" w:lineRule="auto"/>
        <w:ind w:firstLine="709"/>
        <w:jc w:val="both"/>
        <w:rPr>
          <w:rFonts w:ascii="Trebuchet MS" w:eastAsia="Times New Roman" w:hAnsi="Trebuchet MS" w:cs="Times New Roman"/>
          <w:lang w:eastAsia="pt-BR"/>
        </w:rPr>
      </w:pPr>
      <w:r>
        <w:t xml:space="preserve">A ação coletiva, nesse contexto, é o meio pelo qual as comunidades protegem não apenas o que convencionamos chamar de recursos, mas também suas formas de vida, seus vínculos sociais, seus saberes e espiritualidades. No caso das comunidades </w:t>
      </w:r>
      <w:r>
        <w:lastRenderedPageBreak/>
        <w:t>quilombolas, é importante reconhecer que o próprio uso do termo "recurso" pode ser problemático, pois carrega uma conotação instrumental e utilitária da natureza que nem sempre corresponde às práticas e visões de mundo dessas populações. Esse questionamento abre espaço para repensar a abordagem da Cesta de Bens e Serviços Territoriais (CBST), ampliando seu escopo para além da valorização dos bens materiais, de modo a incluir os saberes, as práticas espirituais e as relações simbólicas que conferem sentido ao território. Como destaca Vandana Shiva (200</w:t>
      </w:r>
      <w:r w:rsidR="002679CA">
        <w:t>0</w:t>
      </w:r>
      <w:r>
        <w:t>), o conceito de "recursos naturais" é uma construção do pensamento ocidental desenvolvimentista que frequentemente ignora as múltiplas dimensões culturais, espirituais e ecológicas envolvidas nas relações com a natureza</w:t>
      </w:r>
      <w:r w:rsidR="002679CA">
        <w:t xml:space="preserve">. </w:t>
      </w:r>
      <w:r w:rsidR="00936743" w:rsidRPr="00B22094">
        <w:rPr>
          <w:rFonts w:ascii="Trebuchet MS" w:eastAsia="Times New Roman" w:hAnsi="Trebuchet MS" w:cs="Times New Roman"/>
          <w:lang w:eastAsia="pt-BR"/>
        </w:rPr>
        <w:t xml:space="preserve">A mobilização dos membros da comunidade para construir e defender a cesta revela que a luta pelo território é também uma luta por reconhecimento e continuidade de modos de vida territorializados diante de transformações impostas por dinâmicas predatórias. A </w:t>
      </w:r>
      <w:r w:rsidR="00CD571B">
        <w:rPr>
          <w:rFonts w:ascii="Trebuchet MS" w:eastAsia="Times New Roman" w:hAnsi="Trebuchet MS" w:cs="Times New Roman"/>
          <w:lang w:eastAsia="pt-BR"/>
        </w:rPr>
        <w:t xml:space="preserve">ativação de </w:t>
      </w:r>
      <w:r w:rsidR="00936743" w:rsidRPr="00B22094">
        <w:rPr>
          <w:rFonts w:ascii="Trebuchet MS" w:eastAsia="Times New Roman" w:hAnsi="Trebuchet MS" w:cs="Times New Roman"/>
          <w:lang w:eastAsia="pt-BR"/>
        </w:rPr>
        <w:t>CBST torna-se, assim, um instrumento de ação política</w:t>
      </w:r>
      <w:r w:rsidR="00CD571B">
        <w:rPr>
          <w:rFonts w:ascii="Trebuchet MS" w:eastAsia="Times New Roman" w:hAnsi="Trebuchet MS" w:cs="Times New Roman"/>
          <w:lang w:eastAsia="pt-BR"/>
        </w:rPr>
        <w:t>.</w:t>
      </w:r>
    </w:p>
    <w:p w14:paraId="26E495A5" w14:textId="77777777" w:rsidR="002679CA" w:rsidRDefault="00936743" w:rsidP="009436BB">
      <w:pPr>
        <w:spacing w:before="240" w:after="120" w:line="360" w:lineRule="auto"/>
        <w:jc w:val="both"/>
      </w:pPr>
      <w:r w:rsidRPr="00B22094">
        <w:rPr>
          <w:rFonts w:ascii="Trebuchet MS" w:eastAsia="Times New Roman" w:hAnsi="Trebuchet MS" w:cs="Times New Roman"/>
          <w:lang w:eastAsia="pt-BR"/>
        </w:rPr>
        <w:t xml:space="preserve"> </w:t>
      </w:r>
      <w:r w:rsidR="002679CA">
        <w:t xml:space="preserve">Onde, então, se inserem a construção e valorização da cesta? Pode-se observar esse processo em ações concretas como a elaboração de protocolos de consulta, o desenvolvimento de iniciativas de turismo de base comunitária e o acesso a políticas públicas, que fortalecem a coesão social, a capacidade organizativa e a força política de comunidades quilombolas, por exemplo. O que está em jogo não é apenas a gestão dos “recursos”, mas a articulação entre os sujeitos em torno de um projeto de vida que esteja enraizado no território e que, ao mesmo tempo, seja capaz de enfrentar as pressões externas e reafirmar a autonomia coletiva. Assim, é especialmente na arena das políticas públicas que se delineiam os desafios e as oportunidades para a construção de formas mais justas de se relacionar e construir o território. Essa abordagem reflete a ideia de que, ao reconsiderar o termo "recurso", podemos abrir espaço para uma compreensão mais ampla da CBST, que se distancie da visão </w:t>
      </w:r>
      <w:r w:rsidR="002679CA">
        <w:lastRenderedPageBreak/>
        <w:t>utilitária e envolva de maneira mais profunda a relação espiritual, cultural e simbólica das comunidades quilombolas com seu território.</w:t>
      </w:r>
    </w:p>
    <w:p w14:paraId="2EFA7C10" w14:textId="2A4D9024" w:rsidR="009436BB" w:rsidRDefault="009436BB" w:rsidP="009436BB">
      <w:pPr>
        <w:spacing w:before="240" w:after="120" w:line="360" w:lineRule="auto"/>
        <w:jc w:val="both"/>
        <w:rPr>
          <w:rFonts w:eastAsia="Times New Roman" w:cs="Times New Roman"/>
          <w:bCs/>
          <w:kern w:val="0"/>
          <w:lang w:eastAsia="pt-BR"/>
          <w14:ligatures w14:val="none"/>
        </w:rPr>
      </w:pPr>
      <w:r w:rsidRPr="009436BB">
        <w:rPr>
          <w:rFonts w:eastAsia="Times New Roman" w:cs="Times New Roman"/>
          <w:bCs/>
          <w:kern w:val="0"/>
          <w:lang w:eastAsia="pt-BR"/>
          <w14:ligatures w14:val="none"/>
        </w:rPr>
        <w:t>ENTRE A CONSTRUÇÃO DA CESTA DE BENS E SERVIÇOS TERRITORIAIS E A MOBILIZAÇÃO COLETIVA</w:t>
      </w:r>
    </w:p>
    <w:p w14:paraId="40F571F9" w14:textId="1A2B36E5" w:rsidR="00BD36BA" w:rsidRDefault="009436BB" w:rsidP="00BD36BA">
      <w:pPr>
        <w:spacing w:after="120" w:line="360" w:lineRule="auto"/>
        <w:ind w:firstLine="709"/>
        <w:jc w:val="both"/>
        <w:rPr>
          <w:rFonts w:eastAsia="Times New Roman" w:cs="Times New Roman"/>
          <w:bCs/>
          <w:kern w:val="0"/>
          <w:lang w:eastAsia="pt-BR"/>
          <w14:ligatures w14:val="none"/>
        </w:rPr>
      </w:pPr>
      <w:r w:rsidRPr="009436BB">
        <w:rPr>
          <w:rFonts w:eastAsia="Times New Roman" w:cs="Times New Roman"/>
          <w:kern w:val="0"/>
          <w:lang w:eastAsia="pt-BR"/>
          <w14:ligatures w14:val="none"/>
        </w:rPr>
        <w:t xml:space="preserve">As oficinas realizadas com agricultoras quilombolas </w:t>
      </w:r>
      <w:r w:rsidR="00C76077">
        <w:rPr>
          <w:rFonts w:eastAsia="Times New Roman" w:cs="Times New Roman"/>
          <w:kern w:val="0"/>
          <w:lang w:eastAsia="pt-BR"/>
          <w14:ligatures w14:val="none"/>
        </w:rPr>
        <w:t xml:space="preserve">de Salvaterra </w:t>
      </w:r>
      <w:r w:rsidRPr="009436BB">
        <w:rPr>
          <w:rFonts w:eastAsia="Times New Roman" w:cs="Times New Roman"/>
          <w:kern w:val="0"/>
          <w:lang w:eastAsia="pt-BR"/>
          <w14:ligatures w14:val="none"/>
        </w:rPr>
        <w:t xml:space="preserve">evidenciam que o acesso ao </w:t>
      </w:r>
      <w:r w:rsidR="00C76077">
        <w:rPr>
          <w:rFonts w:eastAsia="Times New Roman" w:cs="Times New Roman"/>
          <w:kern w:val="0"/>
          <w:lang w:eastAsia="pt-BR"/>
          <w14:ligatures w14:val="none"/>
        </w:rPr>
        <w:t>PNAE</w:t>
      </w:r>
      <w:r w:rsidRPr="009436BB">
        <w:rPr>
          <w:rFonts w:eastAsia="Times New Roman" w:cs="Times New Roman"/>
          <w:kern w:val="0"/>
          <w:lang w:eastAsia="pt-BR"/>
          <w14:ligatures w14:val="none"/>
        </w:rPr>
        <w:t xml:space="preserve"> ultrapassa a dimensão técnica da aquisição de produtos da agricultura familiar. Trata-se de um processo político e territorializado que envolve disputas por reconhecimento, afirmação identitária e negociação de normas institucionais. Ao discutirem os entraves das chamadas públicas e os limites impostos pela burocracia municipal, as participantes mobilizaram um repertório amplo de saberes, práticas e vínculos socioterritoriais que expressam concretamente o </w:t>
      </w:r>
      <w:r>
        <w:rPr>
          <w:rFonts w:eastAsia="Times New Roman" w:cs="Times New Roman"/>
          <w:kern w:val="0"/>
          <w:lang w:eastAsia="pt-BR"/>
          <w14:ligatures w14:val="none"/>
        </w:rPr>
        <w:t>que Cazella et al. (2020, p. 193</w:t>
      </w:r>
      <w:r w:rsidRPr="009436BB">
        <w:rPr>
          <w:rFonts w:eastAsia="Times New Roman" w:cs="Times New Roman"/>
          <w:kern w:val="0"/>
          <w:lang w:eastAsia="pt-BR"/>
          <w14:ligatures w14:val="none"/>
        </w:rPr>
        <w:t xml:space="preserve">) definem como </w:t>
      </w:r>
      <w:r w:rsidRPr="009436BB">
        <w:rPr>
          <w:rFonts w:eastAsia="Times New Roman" w:cs="Times New Roman"/>
          <w:bCs/>
          <w:kern w:val="0"/>
          <w:lang w:eastAsia="pt-BR"/>
          <w14:ligatures w14:val="none"/>
        </w:rPr>
        <w:t>“a oferta articulada de produtos e serviços que valorize recursos e ativos específicos de territórios rurais a partir de um sistema de governança constituído por atores pú</w:t>
      </w:r>
      <w:r>
        <w:rPr>
          <w:rFonts w:eastAsia="Times New Roman" w:cs="Times New Roman"/>
          <w:bCs/>
          <w:kern w:val="0"/>
          <w:lang w:eastAsia="pt-BR"/>
          <w14:ligatures w14:val="none"/>
        </w:rPr>
        <w:t>blicos, associativos e privados</w:t>
      </w:r>
      <w:r w:rsidRPr="009436BB">
        <w:rPr>
          <w:rFonts w:eastAsia="Times New Roman" w:cs="Times New Roman"/>
          <w:bCs/>
          <w:kern w:val="0"/>
          <w:lang w:eastAsia="pt-BR"/>
          <w14:ligatures w14:val="none"/>
        </w:rPr>
        <w:t>”</w:t>
      </w:r>
      <w:r>
        <w:rPr>
          <w:rFonts w:eastAsia="Times New Roman" w:cs="Times New Roman"/>
          <w:bCs/>
          <w:kern w:val="0"/>
          <w:lang w:eastAsia="pt-BR"/>
          <w14:ligatures w14:val="none"/>
        </w:rPr>
        <w:t>.</w:t>
      </w:r>
    </w:p>
    <w:p w14:paraId="4FE79DF4" w14:textId="22BD3721" w:rsidR="009E7545" w:rsidRDefault="009436BB" w:rsidP="009E7545">
      <w:pPr>
        <w:spacing w:after="120" w:line="360" w:lineRule="auto"/>
        <w:ind w:firstLine="709"/>
        <w:jc w:val="both"/>
        <w:rPr>
          <w:rFonts w:eastAsia="Times New Roman" w:cs="Times New Roman"/>
          <w:kern w:val="0"/>
          <w:lang w:eastAsia="pt-BR"/>
          <w14:ligatures w14:val="none"/>
        </w:rPr>
      </w:pPr>
      <w:r w:rsidRPr="009436BB">
        <w:rPr>
          <w:rFonts w:eastAsia="Times New Roman" w:cs="Times New Roman"/>
          <w:kern w:val="0"/>
          <w:lang w:eastAsia="pt-BR"/>
          <w14:ligatures w14:val="none"/>
        </w:rPr>
        <w:t>A construção dessa cesta territorial, no caso de Salvaterra, está ancorada tanto em bens materiais — como a farinha de mandioca e outros alimentos tradicionais — quanto em dimensões imateriais que estruturam a vida coletiva: circuitos de reciprocidade entre mulheres, formas própr</w:t>
      </w:r>
      <w:r w:rsidR="00BD36BA">
        <w:rPr>
          <w:rFonts w:eastAsia="Times New Roman" w:cs="Times New Roman"/>
          <w:kern w:val="0"/>
          <w:lang w:eastAsia="pt-BR"/>
          <w14:ligatures w14:val="none"/>
        </w:rPr>
        <w:t xml:space="preserve">ias de organização do trabalho </w:t>
      </w:r>
      <w:r w:rsidRPr="009436BB">
        <w:rPr>
          <w:rFonts w:eastAsia="Times New Roman" w:cs="Times New Roman"/>
          <w:kern w:val="0"/>
          <w:lang w:eastAsia="pt-BR"/>
          <w14:ligatures w14:val="none"/>
        </w:rPr>
        <w:t>e experiências locais de comercialização em feiras comunitárias</w:t>
      </w:r>
      <w:r w:rsidR="00BD36BA">
        <w:rPr>
          <w:rFonts w:eastAsia="Times New Roman" w:cs="Times New Roman"/>
          <w:kern w:val="0"/>
          <w:lang w:eastAsia="pt-BR"/>
          <w14:ligatures w14:val="none"/>
        </w:rPr>
        <w:t>, como a Feira Quilombola</w:t>
      </w:r>
      <w:r w:rsidRPr="009436BB">
        <w:rPr>
          <w:rFonts w:eastAsia="Times New Roman" w:cs="Times New Roman"/>
          <w:kern w:val="0"/>
          <w:lang w:eastAsia="pt-BR"/>
          <w14:ligatures w14:val="none"/>
        </w:rPr>
        <w:t>. Esses ele</w:t>
      </w:r>
      <w:r w:rsidR="009E7545">
        <w:rPr>
          <w:rFonts w:eastAsia="Times New Roman" w:cs="Times New Roman"/>
          <w:kern w:val="0"/>
          <w:lang w:eastAsia="pt-BR"/>
          <w14:ligatures w14:val="none"/>
        </w:rPr>
        <w:t>mentos não existem isoladamente, mas</w:t>
      </w:r>
      <w:r w:rsidRPr="009436BB">
        <w:rPr>
          <w:rFonts w:eastAsia="Times New Roman" w:cs="Times New Roman"/>
          <w:kern w:val="0"/>
          <w:lang w:eastAsia="pt-BR"/>
          <w14:ligatures w14:val="none"/>
        </w:rPr>
        <w:t xml:space="preserve"> se tornam politicamente significativos quando ativados por sujeitos coletivos. </w:t>
      </w:r>
      <w:r w:rsidR="00BE6B01">
        <w:rPr>
          <w:rFonts w:eastAsia="Times New Roman" w:cs="Times New Roman"/>
          <w:kern w:val="0"/>
          <w:lang w:eastAsia="pt-BR"/>
          <w14:ligatures w14:val="none"/>
        </w:rPr>
        <w:t>Pecqueur (2006</w:t>
      </w:r>
      <w:r w:rsidR="009E7545">
        <w:rPr>
          <w:rFonts w:eastAsia="Times New Roman" w:cs="Times New Roman"/>
          <w:kern w:val="0"/>
          <w:lang w:eastAsia="pt-BR"/>
          <w14:ligatures w14:val="none"/>
        </w:rPr>
        <w:t>) argumenta que</w:t>
      </w:r>
      <w:r w:rsidRPr="009436BB">
        <w:rPr>
          <w:rFonts w:eastAsia="Times New Roman" w:cs="Times New Roman"/>
          <w:kern w:val="0"/>
          <w:lang w:eastAsia="pt-BR"/>
          <w14:ligatures w14:val="none"/>
        </w:rPr>
        <w:t xml:space="preserve"> o território se transforma em recurso estratégico quando as suas especificidades são mobilizadas coletivamente em função de um projeto compartilhado de desenvolvimento. </w:t>
      </w:r>
      <w:r w:rsidR="009E7545">
        <w:rPr>
          <w:rFonts w:eastAsia="Times New Roman" w:cs="Times New Roman"/>
          <w:kern w:val="0"/>
          <w:lang w:eastAsia="pt-BR"/>
          <w14:ligatures w14:val="none"/>
        </w:rPr>
        <w:t xml:space="preserve">Isso nos permite afirmar que </w:t>
      </w:r>
      <w:r w:rsidRPr="009436BB">
        <w:rPr>
          <w:rFonts w:eastAsia="Times New Roman" w:cs="Times New Roman"/>
          <w:kern w:val="0"/>
          <w:lang w:eastAsia="pt-BR"/>
          <w14:ligatures w14:val="none"/>
        </w:rPr>
        <w:t>esse projeto está em processo de formulação</w:t>
      </w:r>
      <w:r w:rsidR="009E7545">
        <w:rPr>
          <w:rFonts w:eastAsia="Times New Roman" w:cs="Times New Roman"/>
          <w:kern w:val="0"/>
          <w:lang w:eastAsia="pt-BR"/>
          <w14:ligatures w14:val="none"/>
        </w:rPr>
        <w:t xml:space="preserve"> em Salvaterra</w:t>
      </w:r>
      <w:r w:rsidRPr="009436BB">
        <w:rPr>
          <w:rFonts w:eastAsia="Times New Roman" w:cs="Times New Roman"/>
          <w:kern w:val="0"/>
          <w:lang w:eastAsia="pt-BR"/>
          <w14:ligatures w14:val="none"/>
        </w:rPr>
        <w:t xml:space="preserve">, e apesar das assimetrias institucionais enfrentadas, ele se materializa em ações concretas que articulam </w:t>
      </w:r>
      <w:r w:rsidR="009E7545">
        <w:rPr>
          <w:rFonts w:eastAsia="Times New Roman" w:cs="Times New Roman"/>
          <w:kern w:val="0"/>
          <w:lang w:eastAsia="pt-BR"/>
          <w14:ligatures w14:val="none"/>
        </w:rPr>
        <w:t xml:space="preserve">(a) </w:t>
      </w:r>
      <w:r w:rsidRPr="009436BB">
        <w:rPr>
          <w:rFonts w:eastAsia="Times New Roman" w:cs="Times New Roman"/>
          <w:kern w:val="0"/>
          <w:lang w:eastAsia="pt-BR"/>
          <w14:ligatures w14:val="none"/>
        </w:rPr>
        <w:t xml:space="preserve">produção agroalimentar, </w:t>
      </w:r>
      <w:r w:rsidR="009E7545">
        <w:rPr>
          <w:rFonts w:eastAsia="Times New Roman" w:cs="Times New Roman"/>
          <w:kern w:val="0"/>
          <w:lang w:eastAsia="pt-BR"/>
          <w14:ligatures w14:val="none"/>
        </w:rPr>
        <w:t xml:space="preserve">(b) </w:t>
      </w:r>
      <w:r w:rsidRPr="009436BB">
        <w:rPr>
          <w:rFonts w:eastAsia="Times New Roman" w:cs="Times New Roman"/>
          <w:kern w:val="0"/>
          <w:lang w:eastAsia="pt-BR"/>
          <w14:ligatures w14:val="none"/>
        </w:rPr>
        <w:t xml:space="preserve">afirmação de direitos e </w:t>
      </w:r>
      <w:r w:rsidR="009E7545">
        <w:rPr>
          <w:rFonts w:eastAsia="Times New Roman" w:cs="Times New Roman"/>
          <w:kern w:val="0"/>
          <w:lang w:eastAsia="pt-BR"/>
          <w14:ligatures w14:val="none"/>
        </w:rPr>
        <w:t xml:space="preserve">(c) </w:t>
      </w:r>
      <w:r w:rsidRPr="009436BB">
        <w:rPr>
          <w:rFonts w:eastAsia="Times New Roman" w:cs="Times New Roman"/>
          <w:kern w:val="0"/>
          <w:lang w:eastAsia="pt-BR"/>
          <w14:ligatures w14:val="none"/>
        </w:rPr>
        <w:t>estratégias de valorização territorial.</w:t>
      </w:r>
    </w:p>
    <w:p w14:paraId="42D10262" w14:textId="0C08162A" w:rsidR="00F21345" w:rsidRDefault="009436BB" w:rsidP="00C86D19">
      <w:pPr>
        <w:spacing w:after="120" w:line="360" w:lineRule="auto"/>
        <w:ind w:firstLine="709"/>
        <w:jc w:val="both"/>
        <w:rPr>
          <w:rFonts w:eastAsia="Times New Roman" w:cs="Times New Roman"/>
          <w:kern w:val="0"/>
          <w:lang w:eastAsia="pt-BR"/>
          <w14:ligatures w14:val="none"/>
        </w:rPr>
      </w:pPr>
      <w:r w:rsidRPr="009436BB">
        <w:rPr>
          <w:rFonts w:eastAsia="Times New Roman" w:cs="Times New Roman"/>
          <w:kern w:val="0"/>
          <w:lang w:eastAsia="pt-BR"/>
          <w14:ligatures w14:val="none"/>
        </w:rPr>
        <w:lastRenderedPageBreak/>
        <w:t xml:space="preserve">Essa perspectiva reforça </w:t>
      </w:r>
      <w:r w:rsidR="00146ED0">
        <w:rPr>
          <w:rFonts w:eastAsia="Times New Roman" w:cs="Times New Roman"/>
          <w:kern w:val="0"/>
          <w:lang w:eastAsia="pt-BR"/>
          <w14:ligatures w14:val="none"/>
        </w:rPr>
        <w:t>o argumento</w:t>
      </w:r>
      <w:r w:rsidRPr="009436BB">
        <w:rPr>
          <w:rFonts w:eastAsia="Times New Roman" w:cs="Times New Roman"/>
          <w:kern w:val="0"/>
          <w:lang w:eastAsia="pt-BR"/>
          <w14:ligatures w14:val="none"/>
        </w:rPr>
        <w:t xml:space="preserve"> de que a CBST não se constitui de forma espontânea ou natural: ela é construída socialmente, sustentada por process</w:t>
      </w:r>
      <w:r w:rsidR="00146ED0">
        <w:rPr>
          <w:rFonts w:eastAsia="Times New Roman" w:cs="Times New Roman"/>
          <w:kern w:val="0"/>
          <w:lang w:eastAsia="pt-BR"/>
          <w14:ligatures w14:val="none"/>
        </w:rPr>
        <w:t>os contínuos de ação coletiva. Retomemos o fundamento teórico para explicitar essa assertiva. A</w:t>
      </w:r>
      <w:r w:rsidRPr="009436BB">
        <w:rPr>
          <w:rFonts w:eastAsia="Times New Roman" w:cs="Times New Roman"/>
          <w:kern w:val="0"/>
          <w:lang w:eastAsia="pt-BR"/>
          <w14:ligatures w14:val="none"/>
        </w:rPr>
        <w:t xml:space="preserve"> teoria interacionista de </w:t>
      </w:r>
      <w:r w:rsidR="00146ED0">
        <w:rPr>
          <w:rFonts w:eastAsia="Times New Roman" w:cs="Times New Roman"/>
          <w:kern w:val="0"/>
          <w:lang w:eastAsia="pt-BR"/>
          <w14:ligatures w14:val="none"/>
        </w:rPr>
        <w:t>Becker (1977</w:t>
      </w:r>
      <w:r w:rsidRPr="009436BB">
        <w:rPr>
          <w:rFonts w:eastAsia="Times New Roman" w:cs="Times New Roman"/>
          <w:kern w:val="0"/>
          <w:lang w:eastAsia="pt-BR"/>
          <w14:ligatures w14:val="none"/>
        </w:rPr>
        <w:t>) aj</w:t>
      </w:r>
      <w:r w:rsidR="00146ED0">
        <w:rPr>
          <w:rFonts w:eastAsia="Times New Roman" w:cs="Times New Roman"/>
          <w:kern w:val="0"/>
          <w:lang w:eastAsia="pt-BR"/>
          <w14:ligatures w14:val="none"/>
        </w:rPr>
        <w:t>uda a compreender esse processo</w:t>
      </w:r>
      <w:r w:rsidRPr="009436BB">
        <w:rPr>
          <w:rFonts w:eastAsia="Times New Roman" w:cs="Times New Roman"/>
          <w:kern w:val="0"/>
          <w:lang w:eastAsia="pt-BR"/>
          <w14:ligatures w14:val="none"/>
        </w:rPr>
        <w:t xml:space="preserve"> ao demonstrar que a produção de qualquer bem — inclusive os bens culturais ou territoriais — depende de uma rede de atores que torna possível sua existência. Tal como no “mundo da arte”, onde a obra depende de críticos, técnicos, distribuidores e instituições, a cesta territorial depende de sujeitos organizados que produzem, interpretam, circulam e defendem os elementos que a compõem. Em Salvaterra, isso implica articular informações, disputar normativas, dialogar com </w:t>
      </w:r>
      <w:r w:rsidR="00B449E3">
        <w:rPr>
          <w:rFonts w:eastAsia="Times New Roman" w:cs="Times New Roman"/>
          <w:kern w:val="0"/>
          <w:lang w:eastAsia="pt-BR"/>
          <w14:ligatures w14:val="none"/>
        </w:rPr>
        <w:t>r</w:t>
      </w:r>
      <w:r w:rsidRPr="009436BB">
        <w:rPr>
          <w:rFonts w:eastAsia="Times New Roman" w:cs="Times New Roman"/>
          <w:kern w:val="0"/>
          <w:lang w:eastAsia="pt-BR"/>
          <w14:ligatures w14:val="none"/>
        </w:rPr>
        <w:t>epresentantes públicos, ocupar conselhos municipais e pressionar por regras mais justas e adaptadas à realidade local. Como afirmou uma das agricultoras durante a</w:t>
      </w:r>
      <w:r w:rsidR="00B449E3">
        <w:rPr>
          <w:rFonts w:eastAsia="Times New Roman" w:cs="Times New Roman"/>
          <w:kern w:val="0"/>
          <w:lang w:eastAsia="pt-BR"/>
          <w14:ligatures w14:val="none"/>
        </w:rPr>
        <w:t>s</w:t>
      </w:r>
      <w:r w:rsidRPr="009436BB">
        <w:rPr>
          <w:rFonts w:eastAsia="Times New Roman" w:cs="Times New Roman"/>
          <w:kern w:val="0"/>
          <w:lang w:eastAsia="pt-BR"/>
          <w14:ligatures w14:val="none"/>
        </w:rPr>
        <w:t xml:space="preserve"> oficina</w:t>
      </w:r>
      <w:r w:rsidR="00B449E3">
        <w:rPr>
          <w:rFonts w:eastAsia="Times New Roman" w:cs="Times New Roman"/>
          <w:kern w:val="0"/>
          <w:lang w:eastAsia="pt-BR"/>
          <w14:ligatures w14:val="none"/>
        </w:rPr>
        <w:t>s</w:t>
      </w:r>
      <w:r w:rsidR="00C86D19">
        <w:rPr>
          <w:rFonts w:eastAsia="Times New Roman" w:cs="Times New Roman"/>
          <w:kern w:val="0"/>
          <w:lang w:eastAsia="pt-BR"/>
          <w14:ligatures w14:val="none"/>
        </w:rPr>
        <w:t xml:space="preserve"> em relação às políticas aplicadas no município</w:t>
      </w:r>
      <w:r w:rsidRPr="009436BB">
        <w:rPr>
          <w:rFonts w:eastAsia="Times New Roman" w:cs="Times New Roman"/>
          <w:kern w:val="0"/>
          <w:lang w:eastAsia="pt-BR"/>
          <w14:ligatures w14:val="none"/>
        </w:rPr>
        <w:t xml:space="preserve">: </w:t>
      </w:r>
      <w:r w:rsidRPr="009436BB">
        <w:rPr>
          <w:rFonts w:eastAsia="Times New Roman" w:cs="Times New Roman"/>
          <w:i/>
          <w:iCs/>
          <w:kern w:val="0"/>
          <w:lang w:eastAsia="pt-BR"/>
          <w14:ligatures w14:val="none"/>
        </w:rPr>
        <w:t>“o problema não é produzir, é ser ouvido”</w:t>
      </w:r>
      <w:r w:rsidR="00C86D19">
        <w:rPr>
          <w:rFonts w:eastAsia="Times New Roman" w:cs="Times New Roman"/>
          <w:kern w:val="0"/>
          <w:lang w:eastAsia="pt-BR"/>
          <w14:ligatures w14:val="none"/>
        </w:rPr>
        <w:t xml:space="preserve">. </w:t>
      </w:r>
    </w:p>
    <w:p w14:paraId="47A77797" w14:textId="77777777" w:rsidR="002D6E11" w:rsidRDefault="002D6E11" w:rsidP="002D6E11">
      <w:pPr>
        <w:spacing w:after="120" w:line="360" w:lineRule="auto"/>
        <w:ind w:firstLine="709"/>
        <w:jc w:val="both"/>
      </w:pPr>
      <w:r>
        <w:t xml:space="preserve">Esse esforço para inserir-se na política pública caracteriza um processo de coprodução de políticas públicas territorializadas, no qual os produtos da agricultura familiar não são vistos apenas como mercadorias, mas como expressões de um modo de vida que busca legitimidade e reconhecimento. A partir da fundamentação teórica adotada neste texto, observa-se que a gestão de bens comuns depende da construção de regras localmente legitimadas, da participação ativa dos usuários e de mecanismos de monitoramento (OSTROM, 1990). O que se verificou nas oficinas foi o esforço das agricultoras em instituir tais regras, criando espaços de diálogo e pressão política para garantir sua presença no PNAE. Assim, a ação coletiva, nesse caso, não é apenas condição de possibilidade, mas também produto da própria construção da CBST. Ela emerge da necessidade de inserção nas políticas públicas e se fortalece à medida que a comunidade se reconhece como agente ativo e legítimo nesse processo. </w:t>
      </w:r>
    </w:p>
    <w:p w14:paraId="2F65705A" w14:textId="7EA3C7AC" w:rsidR="00EE14C9" w:rsidRDefault="002D6E11" w:rsidP="002D6E11">
      <w:pPr>
        <w:spacing w:after="120" w:line="360" w:lineRule="auto"/>
        <w:ind w:firstLine="709"/>
        <w:jc w:val="both"/>
      </w:pPr>
      <w:r>
        <w:lastRenderedPageBreak/>
        <w:t xml:space="preserve">O caso de Salvaterra evidencia que a construção da Cesta de Bens e Serviços Territoriais (CBST) está intrinsecamente ligada à ação coletiva, sendo o acesso ao PNAE um mediador estratégico dessa relação. A mobilização das agricultoras quilombolas para acessar o programa não se restringe à venda de produtos agrícolas — ela revela um processo mais amplo de organização social, afirmação identitária e disputa por reconhecimento institucional. A CBST, nesse contexto, não é apenas um inventário de recursos, mas um campo dinâmico de luta por direitos, no qual os bens materiais e imateriais ganham sentido à medida que são ativados coletivamente em torno de um projeto de vida ancorado no território. O PNAE funciona, assim, como uma arena onde a CBST se manifesta de forma concreta: é ao buscar a inserção nas políticas públicas que as comunidades quilombolas acionam e redefinem os elementos que compõem sua cesta, fortalecendo os vínculos socioterritoriais que sustentam sua autonomia. A ação coletiva é, portanto, tanto condição quanto expressão da CBST — ela emerge das necessidades práticas das comunidades, como o escoamento da produção e o reconhecimento de saberes, e se realiza na articulação de sujeitos que transformam o território em um espaço político ativo. </w:t>
      </w:r>
    </w:p>
    <w:p w14:paraId="5B017E4F" w14:textId="77777777" w:rsidR="002D0D39" w:rsidRPr="008D63AD" w:rsidRDefault="002D0D39" w:rsidP="002D6E11">
      <w:pPr>
        <w:spacing w:before="240" w:after="120" w:line="360" w:lineRule="auto"/>
        <w:jc w:val="both"/>
        <w:rPr>
          <w:rFonts w:ascii="Trebuchet MS" w:eastAsia="Times New Roman" w:hAnsi="Trebuchet MS" w:cs="Times New Roman"/>
          <w:lang w:eastAsia="pt-BR"/>
        </w:rPr>
      </w:pPr>
      <w:r w:rsidRPr="008D63AD">
        <w:rPr>
          <w:rFonts w:ascii="Trebuchet MS" w:eastAsia="Times New Roman" w:hAnsi="Trebuchet MS" w:cs="Times New Roman"/>
          <w:bCs/>
          <w:lang w:eastAsia="pt-BR"/>
        </w:rPr>
        <w:t>REFLEXÕES PRELIMINARES</w:t>
      </w:r>
    </w:p>
    <w:p w14:paraId="63577809" w14:textId="59E607AD" w:rsidR="002D0D39" w:rsidRPr="008D63AD" w:rsidRDefault="000B2943" w:rsidP="002D0D39">
      <w:pPr>
        <w:spacing w:after="120" w:line="360" w:lineRule="auto"/>
        <w:ind w:firstLine="709"/>
        <w:jc w:val="both"/>
        <w:rPr>
          <w:rFonts w:ascii="Trebuchet MS" w:eastAsia="Times New Roman" w:hAnsi="Trebuchet MS" w:cs="Times New Roman"/>
          <w:lang w:eastAsia="pt-BR"/>
        </w:rPr>
      </w:pPr>
      <w:r>
        <w:rPr>
          <w:rFonts w:ascii="Trebuchet MS" w:eastAsia="Times New Roman" w:hAnsi="Trebuchet MS" w:cs="Times New Roman"/>
          <w:lang w:eastAsia="pt-BR"/>
        </w:rPr>
        <w:t>Os argumentos aqui aduzidos exploram de forma inicial</w:t>
      </w:r>
      <w:r w:rsidR="002D0D39" w:rsidRPr="008D63AD">
        <w:rPr>
          <w:rFonts w:ascii="Trebuchet MS" w:eastAsia="Times New Roman" w:hAnsi="Trebuchet MS" w:cs="Times New Roman"/>
          <w:lang w:eastAsia="pt-BR"/>
        </w:rPr>
        <w:t xml:space="preserve"> a possibilidade de articulação entre a abordagem da </w:t>
      </w:r>
      <w:r w:rsidR="007F3EB1">
        <w:rPr>
          <w:rFonts w:ascii="Trebuchet MS" w:eastAsia="Times New Roman" w:hAnsi="Trebuchet MS" w:cs="Times New Roman"/>
          <w:lang w:eastAsia="pt-BR"/>
        </w:rPr>
        <w:t>CBST</w:t>
      </w:r>
      <w:r w:rsidR="002D0D39" w:rsidRPr="008D63AD">
        <w:rPr>
          <w:rFonts w:ascii="Trebuchet MS" w:eastAsia="Times New Roman" w:hAnsi="Trebuchet MS" w:cs="Times New Roman"/>
          <w:lang w:eastAsia="pt-BR"/>
        </w:rPr>
        <w:t xml:space="preserve"> e a teoria da ação coletiva, com o objetivo de compreender processos sociais e políticos situados </w:t>
      </w:r>
      <w:r>
        <w:rPr>
          <w:rFonts w:ascii="Trebuchet MS" w:eastAsia="Times New Roman" w:hAnsi="Trebuchet MS" w:cs="Times New Roman"/>
          <w:lang w:eastAsia="pt-BR"/>
        </w:rPr>
        <w:t>em</w:t>
      </w:r>
      <w:r w:rsidR="002D0D39" w:rsidRPr="008D63AD">
        <w:rPr>
          <w:rFonts w:ascii="Trebuchet MS" w:eastAsia="Times New Roman" w:hAnsi="Trebuchet MS" w:cs="Times New Roman"/>
          <w:lang w:eastAsia="pt-BR"/>
        </w:rPr>
        <w:t xml:space="preserve"> territórios </w:t>
      </w:r>
      <w:r>
        <w:rPr>
          <w:rFonts w:ascii="Trebuchet MS" w:eastAsia="Times New Roman" w:hAnsi="Trebuchet MS" w:cs="Times New Roman"/>
          <w:lang w:eastAsia="pt-BR"/>
        </w:rPr>
        <w:t>quilombolas</w:t>
      </w:r>
      <w:r w:rsidR="002D0D39" w:rsidRPr="008D63AD">
        <w:rPr>
          <w:rFonts w:ascii="Trebuchet MS" w:eastAsia="Times New Roman" w:hAnsi="Trebuchet MS" w:cs="Times New Roman"/>
          <w:lang w:eastAsia="pt-BR"/>
        </w:rPr>
        <w:t xml:space="preserve"> da Amazônia. </w:t>
      </w:r>
      <w:r w:rsidR="003C4AE7">
        <w:rPr>
          <w:rFonts w:ascii="Trebuchet MS" w:eastAsia="Times New Roman" w:hAnsi="Trebuchet MS" w:cs="Times New Roman"/>
          <w:lang w:eastAsia="pt-BR"/>
        </w:rPr>
        <w:t>Foi</w:t>
      </w:r>
      <w:r w:rsidR="002D0D39" w:rsidRPr="008D63AD">
        <w:rPr>
          <w:rFonts w:ascii="Trebuchet MS" w:eastAsia="Times New Roman" w:hAnsi="Trebuchet MS" w:cs="Times New Roman"/>
          <w:lang w:eastAsia="pt-BR"/>
        </w:rPr>
        <w:t xml:space="preserve"> possível evidenciar que a construção </w:t>
      </w:r>
      <w:r>
        <w:rPr>
          <w:rFonts w:ascii="Trebuchet MS" w:eastAsia="Times New Roman" w:hAnsi="Trebuchet MS" w:cs="Times New Roman"/>
          <w:lang w:eastAsia="pt-BR"/>
        </w:rPr>
        <w:t>da CBST</w:t>
      </w:r>
      <w:r w:rsidR="002D0D39" w:rsidRPr="008D63AD">
        <w:rPr>
          <w:rFonts w:ascii="Trebuchet MS" w:eastAsia="Times New Roman" w:hAnsi="Trebuchet MS" w:cs="Times New Roman"/>
          <w:lang w:eastAsia="pt-BR"/>
        </w:rPr>
        <w:t xml:space="preserve"> é indissociável das dinâmicas coletivas que a sustentam, disputam e qualificam.</w:t>
      </w:r>
    </w:p>
    <w:p w14:paraId="2DA4DB38" w14:textId="58A0344F" w:rsidR="002D0D39" w:rsidRPr="008D63AD" w:rsidRDefault="002D0D39" w:rsidP="002D0D39">
      <w:pPr>
        <w:spacing w:after="120" w:line="360" w:lineRule="auto"/>
        <w:ind w:firstLine="709"/>
        <w:jc w:val="both"/>
        <w:rPr>
          <w:rFonts w:ascii="Trebuchet MS" w:eastAsia="Times New Roman" w:hAnsi="Trebuchet MS" w:cs="Times New Roman"/>
          <w:lang w:eastAsia="pt-BR"/>
        </w:rPr>
      </w:pPr>
      <w:r w:rsidRPr="008D63AD">
        <w:rPr>
          <w:rFonts w:ascii="Trebuchet MS" w:eastAsia="Times New Roman" w:hAnsi="Trebuchet MS" w:cs="Times New Roman"/>
          <w:lang w:eastAsia="pt-BR"/>
        </w:rPr>
        <w:t xml:space="preserve">Os aportes teóricos mobilizados indicam que a CBST oferece uma lente para identificar a riqueza dos territórios para além dos </w:t>
      </w:r>
      <w:r w:rsidR="00842F2E">
        <w:rPr>
          <w:rFonts w:ascii="Trebuchet MS" w:eastAsia="Times New Roman" w:hAnsi="Trebuchet MS" w:cs="Times New Roman"/>
          <w:lang w:eastAsia="pt-BR"/>
        </w:rPr>
        <w:t>“</w:t>
      </w:r>
      <w:r w:rsidRPr="008D63AD">
        <w:rPr>
          <w:rFonts w:ascii="Trebuchet MS" w:eastAsia="Times New Roman" w:hAnsi="Trebuchet MS" w:cs="Times New Roman"/>
          <w:lang w:eastAsia="pt-BR"/>
        </w:rPr>
        <w:t>recursos</w:t>
      </w:r>
      <w:r w:rsidR="00842F2E">
        <w:rPr>
          <w:rFonts w:ascii="Trebuchet MS" w:eastAsia="Times New Roman" w:hAnsi="Trebuchet MS" w:cs="Times New Roman"/>
          <w:lang w:eastAsia="pt-BR"/>
        </w:rPr>
        <w:t xml:space="preserve">”; </w:t>
      </w:r>
      <w:r w:rsidRPr="008D63AD">
        <w:rPr>
          <w:rFonts w:ascii="Trebuchet MS" w:eastAsia="Times New Roman" w:hAnsi="Trebuchet MS" w:cs="Times New Roman"/>
          <w:lang w:eastAsia="pt-BR"/>
        </w:rPr>
        <w:t>dimensões simbólicas, sociais e políticas dos modos de vida locais</w:t>
      </w:r>
      <w:r w:rsidR="00842F2E">
        <w:rPr>
          <w:rFonts w:ascii="Trebuchet MS" w:eastAsia="Times New Roman" w:hAnsi="Trebuchet MS" w:cs="Times New Roman"/>
          <w:lang w:eastAsia="pt-BR"/>
        </w:rPr>
        <w:t xml:space="preserve"> são fundamentais</w:t>
      </w:r>
      <w:r w:rsidRPr="008D63AD">
        <w:rPr>
          <w:rFonts w:ascii="Trebuchet MS" w:eastAsia="Times New Roman" w:hAnsi="Trebuchet MS" w:cs="Times New Roman"/>
          <w:lang w:eastAsia="pt-BR"/>
        </w:rPr>
        <w:t xml:space="preserve">. Por sua </w:t>
      </w:r>
      <w:r w:rsidR="007F3EB1">
        <w:rPr>
          <w:rFonts w:ascii="Trebuchet MS" w:eastAsia="Times New Roman" w:hAnsi="Trebuchet MS" w:cs="Times New Roman"/>
          <w:lang w:eastAsia="pt-BR"/>
        </w:rPr>
        <w:t>vez, a ação coletiva</w:t>
      </w:r>
      <w:r w:rsidRPr="008D63AD">
        <w:rPr>
          <w:rFonts w:ascii="Trebuchet MS" w:eastAsia="Times New Roman" w:hAnsi="Trebuchet MS" w:cs="Times New Roman"/>
          <w:lang w:eastAsia="pt-BR"/>
        </w:rPr>
        <w:t xml:space="preserve"> permite deslocar o foco de estruturas institucionais ou econômicas para os sujeitos, suas redes e capacidades de articulação, negociação e resistência. O </w:t>
      </w:r>
      <w:r w:rsidRPr="008D63AD">
        <w:rPr>
          <w:rFonts w:ascii="Trebuchet MS" w:eastAsia="Times New Roman" w:hAnsi="Trebuchet MS" w:cs="Times New Roman"/>
          <w:lang w:eastAsia="pt-BR"/>
        </w:rPr>
        <w:lastRenderedPageBreak/>
        <w:t>cruzamento dessas abordagens sugere que os bens e serviços territoriais não se manifestam automaticamente como recursos valorizados: eles precisam ser ativados, defendidos e performados por sujeitos organizados coletivamente.</w:t>
      </w:r>
    </w:p>
    <w:p w14:paraId="6B45C5A8" w14:textId="26FA1DD4" w:rsidR="003F15DA" w:rsidRPr="003F15DA" w:rsidRDefault="002D0D39" w:rsidP="003F15DA">
      <w:pPr>
        <w:spacing w:after="120" w:line="360" w:lineRule="auto"/>
        <w:ind w:firstLine="709"/>
        <w:jc w:val="both"/>
      </w:pPr>
      <w:r w:rsidRPr="008D63AD">
        <w:rPr>
          <w:rFonts w:ascii="Trebuchet MS" w:eastAsia="Times New Roman" w:hAnsi="Trebuchet MS" w:cs="Times New Roman"/>
          <w:lang w:eastAsia="pt-BR"/>
        </w:rPr>
        <w:t xml:space="preserve">Como exercício teórico-metodológico, essa articulação ainda demanda aprofundamentos. Entre os desafios, destaca-se a necessidade de avançar na compreensão das escalas e temporalidades em que se dão os processos de ativação da cesta e de fortalecimento da ação coletiva. </w:t>
      </w:r>
      <w:r w:rsidR="000D5FD8">
        <w:rPr>
          <w:rFonts w:ascii="Trebuchet MS" w:eastAsia="Times New Roman" w:hAnsi="Trebuchet MS" w:cs="Times New Roman"/>
          <w:lang w:eastAsia="pt-BR"/>
        </w:rPr>
        <w:t>Por outro lado, a</w:t>
      </w:r>
      <w:r w:rsidR="003F15DA">
        <w:t xml:space="preserve">creditamos que um caminho promissor para futuras investigações consiste em explorar o potencial da CBST como ferramenta de avaliação de políticas públicas voltadas a territórios tradicionais, contribuindo para mensurar não apenas indicadores econômicos, mas também dimensões simbólicas, sociais e ecológicas que compõem os modos de vida locais. </w:t>
      </w:r>
      <w:r w:rsidR="00947A42">
        <w:t>Também</w:t>
      </w:r>
      <w:bookmarkStart w:id="0" w:name="_GoBack"/>
      <w:bookmarkEnd w:id="0"/>
      <w:r w:rsidR="003F15DA">
        <w:t xml:space="preserve"> vale considerar a possibilidade de adaptar e aplicar essa abordagem em outros contextos socioterritoriais, como reservas extrativistas e assentamentos de reforma agrária, respeitando suas especificidades históricas e culturais. </w:t>
      </w:r>
    </w:p>
    <w:p w14:paraId="1940576C" w14:textId="317B9EEA" w:rsidR="00946962" w:rsidRPr="004148C0" w:rsidRDefault="00946962" w:rsidP="00A72E28">
      <w:pPr>
        <w:spacing w:before="240" w:after="120"/>
        <w:jc w:val="both"/>
        <w:rPr>
          <w:rFonts w:eastAsia="Times New Roman" w:cs="Times New Roman"/>
          <w:kern w:val="0"/>
          <w:lang w:eastAsia="pt-BR"/>
          <w14:ligatures w14:val="none"/>
        </w:rPr>
      </w:pPr>
      <w:r w:rsidRPr="004148C0">
        <w:rPr>
          <w:rFonts w:eastAsia="Times New Roman" w:cs="Times New Roman"/>
          <w:kern w:val="0"/>
          <w:lang w:eastAsia="pt-BR"/>
          <w14:ligatures w14:val="none"/>
        </w:rPr>
        <w:t>REFERÊNCIAS BIBLIOGRÁFICAS</w:t>
      </w:r>
    </w:p>
    <w:p w14:paraId="7C65E334" w14:textId="77777777" w:rsidR="00A72E28" w:rsidRPr="00582148" w:rsidRDefault="00A72E28" w:rsidP="004148C0">
      <w:pPr>
        <w:spacing w:after="120"/>
        <w:jc w:val="both"/>
        <w:rPr>
          <w:rFonts w:eastAsia="Times New Roman" w:cs="Times New Roman"/>
          <w:color w:val="000000" w:themeColor="text1"/>
          <w:kern w:val="0"/>
          <w:highlight w:val="yellow"/>
          <w:lang w:eastAsia="pt-BR"/>
          <w14:ligatures w14:val="none"/>
        </w:rPr>
      </w:pPr>
      <w:r w:rsidRPr="00582148">
        <w:rPr>
          <w:rFonts w:cs="Segoe UI"/>
          <w:color w:val="000000" w:themeColor="text1"/>
          <w:shd w:val="clear" w:color="auto" w:fill="FFFFFF"/>
        </w:rPr>
        <w:t xml:space="preserve">ACEVEDO MARIN, Rosa Elizabeth. Quilombolas na ilha de Marajó: território e organização política. In: GODOI, </w:t>
      </w:r>
      <w:proofErr w:type="spellStart"/>
      <w:r w:rsidRPr="00582148">
        <w:rPr>
          <w:rFonts w:cs="Segoe UI"/>
          <w:color w:val="000000" w:themeColor="text1"/>
          <w:shd w:val="clear" w:color="auto" w:fill="FFFFFF"/>
        </w:rPr>
        <w:t>Emilia</w:t>
      </w:r>
      <w:proofErr w:type="spellEnd"/>
      <w:r w:rsidRPr="00582148">
        <w:rPr>
          <w:rFonts w:cs="Segoe UI"/>
          <w:color w:val="000000" w:themeColor="text1"/>
          <w:shd w:val="clear" w:color="auto" w:fill="FFFFFF"/>
        </w:rPr>
        <w:t xml:space="preserve"> </w:t>
      </w:r>
      <w:proofErr w:type="spellStart"/>
      <w:r w:rsidRPr="00582148">
        <w:rPr>
          <w:rFonts w:cs="Segoe UI"/>
          <w:color w:val="000000" w:themeColor="text1"/>
          <w:shd w:val="clear" w:color="auto" w:fill="FFFFFF"/>
        </w:rPr>
        <w:t>Pietrafesa</w:t>
      </w:r>
      <w:proofErr w:type="spellEnd"/>
      <w:r w:rsidRPr="00582148">
        <w:rPr>
          <w:rFonts w:cs="Segoe UI"/>
          <w:color w:val="000000" w:themeColor="text1"/>
          <w:shd w:val="clear" w:color="auto" w:fill="FFFFFF"/>
        </w:rPr>
        <w:t xml:space="preserve"> de; MENEZES, Marilda Aparecida de; ACEVEDO MARIN, Rosa (org.). </w:t>
      </w:r>
      <w:r w:rsidRPr="00582148">
        <w:rPr>
          <w:rFonts w:cs="Segoe UI"/>
          <w:b/>
          <w:color w:val="000000" w:themeColor="text1"/>
          <w:shd w:val="clear" w:color="auto" w:fill="FFFFFF"/>
        </w:rPr>
        <w:t>Diversidade do campesinato</w:t>
      </w:r>
      <w:r w:rsidRPr="00582148">
        <w:rPr>
          <w:rFonts w:cs="Segoe UI"/>
          <w:color w:val="000000" w:themeColor="text1"/>
          <w:shd w:val="clear" w:color="auto" w:fill="FFFFFF"/>
        </w:rPr>
        <w:t>: expressões e categorias. São Paulo: UNESP, 2009. v. 1, p. 209-227.</w:t>
      </w:r>
    </w:p>
    <w:p w14:paraId="6BCA4889" w14:textId="77777777" w:rsidR="00A72E28" w:rsidRPr="00582148" w:rsidRDefault="00A72E28" w:rsidP="004148C0">
      <w:pPr>
        <w:spacing w:after="120"/>
        <w:jc w:val="both"/>
        <w:rPr>
          <w:rFonts w:eastAsia="Times New Roman" w:cs="Times New Roman"/>
          <w:kern w:val="0"/>
          <w:lang w:eastAsia="pt-BR"/>
          <w14:ligatures w14:val="none"/>
        </w:rPr>
      </w:pPr>
      <w:r w:rsidRPr="00582148">
        <w:rPr>
          <w:rFonts w:eastAsia="Times New Roman" w:cs="Times New Roman"/>
          <w:kern w:val="0"/>
          <w:lang w:eastAsia="pt-BR"/>
          <w14:ligatures w14:val="none"/>
        </w:rPr>
        <w:t xml:space="preserve">BECKER, Howard S. </w:t>
      </w:r>
      <w:r w:rsidRPr="00582148">
        <w:rPr>
          <w:rFonts w:eastAsia="Times New Roman" w:cs="Times New Roman"/>
          <w:b/>
          <w:iCs/>
          <w:kern w:val="0"/>
          <w:lang w:eastAsia="pt-BR"/>
          <w14:ligatures w14:val="none"/>
        </w:rPr>
        <w:t>Uma teoria da ação coletiva</w:t>
      </w:r>
      <w:r w:rsidRPr="00582148">
        <w:rPr>
          <w:rFonts w:eastAsia="Times New Roman" w:cs="Times New Roman"/>
          <w:kern w:val="0"/>
          <w:lang w:eastAsia="pt-BR"/>
          <w14:ligatures w14:val="none"/>
        </w:rPr>
        <w:t>. São Paulo: Zahar, 1977.</w:t>
      </w:r>
    </w:p>
    <w:p w14:paraId="4A4D9958" w14:textId="77777777" w:rsidR="00A72E28" w:rsidRPr="00582148" w:rsidRDefault="00A72E28" w:rsidP="004148C0">
      <w:pPr>
        <w:spacing w:after="120"/>
        <w:jc w:val="both"/>
        <w:rPr>
          <w:rFonts w:ascii="Trebuchet MS" w:eastAsia="Times New Roman" w:hAnsi="Trebuchet MS" w:cs="Times New Roman"/>
          <w:lang w:eastAsia="pt-BR"/>
        </w:rPr>
      </w:pPr>
      <w:r w:rsidRPr="00582148">
        <w:t xml:space="preserve">CAZELLA, Ademir A.; MEDEIROS, Monique; DESCONSI, Cristiano; SCHNEIDER, Sérgio; PAULA, Leandro Guimarães Nunes de. O enfoque da cesta de bens e serviços territoriais: seus fundamentos teóricos e aplicação no Brasil. </w:t>
      </w:r>
      <w:r w:rsidRPr="00582148">
        <w:rPr>
          <w:rStyle w:val="nfase"/>
          <w:b/>
          <w:i w:val="0"/>
        </w:rPr>
        <w:t>Revista Brasileira de Gestão e Desenvolvimento Regional</w:t>
      </w:r>
      <w:r w:rsidRPr="00582148">
        <w:t>, Taubaté, v. 16, n. 3, p. 193-206, 2020.</w:t>
      </w:r>
    </w:p>
    <w:p w14:paraId="1E009C43" w14:textId="77777777" w:rsidR="00A72E28" w:rsidRPr="00582148" w:rsidRDefault="00A72E28" w:rsidP="004148C0">
      <w:pPr>
        <w:spacing w:after="120"/>
        <w:jc w:val="both"/>
        <w:rPr>
          <w:rFonts w:eastAsia="Times New Roman" w:cs="Times New Roman"/>
          <w:kern w:val="0"/>
          <w:lang w:eastAsia="pt-BR"/>
          <w14:ligatures w14:val="none"/>
        </w:rPr>
      </w:pPr>
      <w:r w:rsidRPr="00582148">
        <w:rPr>
          <w:rFonts w:eastAsia="Times New Roman" w:cs="Times New Roman"/>
          <w:kern w:val="0"/>
          <w:lang w:eastAsia="pt-BR"/>
          <w14:ligatures w14:val="none"/>
        </w:rPr>
        <w:t xml:space="preserve">CAZELLA, Ademir A.; PAULA, Leandro Guimarães Nunes de; MEDEIROS, Monique; TURNES, Valério Alécio. A construção de um território de desenvolvimento rural: recursos e ativos territoriais específicos. </w:t>
      </w:r>
      <w:r w:rsidRPr="00582148">
        <w:rPr>
          <w:rFonts w:eastAsia="Times New Roman" w:cs="Times New Roman"/>
          <w:b/>
          <w:kern w:val="0"/>
          <w:lang w:eastAsia="pt-BR"/>
          <w14:ligatures w14:val="none"/>
        </w:rPr>
        <w:t>Redes</w:t>
      </w:r>
      <w:r w:rsidRPr="00582148">
        <w:rPr>
          <w:rFonts w:eastAsia="Times New Roman" w:cs="Times New Roman"/>
          <w:kern w:val="0"/>
          <w:lang w:eastAsia="pt-BR"/>
          <w14:ligatures w14:val="none"/>
        </w:rPr>
        <w:t xml:space="preserve">, Santa Cruz do Sul, v. 24, n. 3, p. 49-74, set. 2019. </w:t>
      </w:r>
    </w:p>
    <w:p w14:paraId="18778145" w14:textId="77777777" w:rsidR="00A72E28" w:rsidRPr="00582148" w:rsidRDefault="00A72E28" w:rsidP="004148C0">
      <w:pPr>
        <w:spacing w:after="120"/>
        <w:jc w:val="both"/>
      </w:pPr>
      <w:r w:rsidRPr="00582148">
        <w:rPr>
          <w:rFonts w:ascii="Trebuchet MS" w:eastAsia="Times New Roman" w:hAnsi="Trebuchet MS" w:cs="Times New Roman"/>
          <w:lang w:eastAsia="pt-BR"/>
        </w:rPr>
        <w:t xml:space="preserve">GOMES, Lílian. Justiça seja feita: direito quilombola ao território. In: ALMEIDA, Alfredo Wagner </w:t>
      </w:r>
      <w:proofErr w:type="spellStart"/>
      <w:r w:rsidRPr="00582148">
        <w:rPr>
          <w:rFonts w:ascii="Trebuchet MS" w:eastAsia="Times New Roman" w:hAnsi="Trebuchet MS" w:cs="Times New Roman"/>
          <w:lang w:eastAsia="pt-BR"/>
        </w:rPr>
        <w:t>Berno</w:t>
      </w:r>
      <w:proofErr w:type="spellEnd"/>
      <w:r w:rsidRPr="00582148">
        <w:rPr>
          <w:rFonts w:ascii="Trebuchet MS" w:eastAsia="Times New Roman" w:hAnsi="Trebuchet MS" w:cs="Times New Roman"/>
          <w:lang w:eastAsia="pt-BR"/>
        </w:rPr>
        <w:t xml:space="preserve"> de (org.). </w:t>
      </w:r>
      <w:r w:rsidRPr="00582148">
        <w:rPr>
          <w:rFonts w:ascii="Trebuchet MS" w:eastAsia="Times New Roman" w:hAnsi="Trebuchet MS" w:cs="Times New Roman"/>
          <w:b/>
          <w:lang w:eastAsia="pt-BR"/>
        </w:rPr>
        <w:t>Territórios quilombolas e conflitos</w:t>
      </w:r>
      <w:r w:rsidRPr="00582148">
        <w:rPr>
          <w:rFonts w:ascii="Trebuchet MS" w:eastAsia="Times New Roman" w:hAnsi="Trebuchet MS" w:cs="Times New Roman"/>
          <w:lang w:eastAsia="pt-BR"/>
        </w:rPr>
        <w:t xml:space="preserve">. Manaus: Projeto Nova Cartografia Social da Amazônia/UEA Edições, 2010. p. 186-195. </w:t>
      </w:r>
    </w:p>
    <w:p w14:paraId="3BA7001F" w14:textId="77777777" w:rsidR="00A72E28" w:rsidRPr="00582148" w:rsidRDefault="00A72E28" w:rsidP="004148C0">
      <w:pPr>
        <w:spacing w:after="120"/>
        <w:jc w:val="both"/>
        <w:rPr>
          <w:rFonts w:eastAsia="Times New Roman" w:cs="Times New Roman"/>
          <w:kern w:val="0"/>
          <w:lang w:eastAsia="pt-BR"/>
          <w14:ligatures w14:val="none"/>
        </w:rPr>
      </w:pPr>
      <w:r w:rsidRPr="00582148">
        <w:rPr>
          <w:rFonts w:eastAsia="Times New Roman" w:cs="Times New Roman"/>
          <w:kern w:val="0"/>
          <w:lang w:eastAsia="pt-BR"/>
          <w14:ligatures w14:val="none"/>
        </w:rPr>
        <w:lastRenderedPageBreak/>
        <w:t xml:space="preserve">HAESBAERT, Rogério. </w:t>
      </w:r>
      <w:r w:rsidRPr="00582148">
        <w:rPr>
          <w:rFonts w:eastAsia="Times New Roman" w:cs="Times New Roman"/>
          <w:b/>
          <w:iCs/>
          <w:kern w:val="0"/>
          <w:lang w:eastAsia="pt-BR"/>
          <w14:ligatures w14:val="none"/>
        </w:rPr>
        <w:t>O mito da desterritorialização</w:t>
      </w:r>
      <w:r w:rsidRPr="00582148">
        <w:rPr>
          <w:rFonts w:eastAsia="Times New Roman" w:cs="Times New Roman"/>
          <w:iCs/>
          <w:kern w:val="0"/>
          <w:lang w:eastAsia="pt-BR"/>
          <w14:ligatures w14:val="none"/>
        </w:rPr>
        <w:t>: do “fim dos territórios” à multiterritorialidade</w:t>
      </w:r>
      <w:r w:rsidRPr="00582148">
        <w:rPr>
          <w:rFonts w:eastAsia="Times New Roman" w:cs="Times New Roman"/>
          <w:kern w:val="0"/>
          <w:lang w:eastAsia="pt-BR"/>
          <w14:ligatures w14:val="none"/>
        </w:rPr>
        <w:t>. Rio de Janeiro: Bertrand Brasil, 2004.</w:t>
      </w:r>
    </w:p>
    <w:p w14:paraId="10BC66C1" w14:textId="77777777" w:rsidR="00A72E28" w:rsidRPr="00582148" w:rsidRDefault="00A72E28" w:rsidP="00504233">
      <w:pPr>
        <w:spacing w:after="120"/>
        <w:jc w:val="both"/>
      </w:pPr>
      <w:r w:rsidRPr="00582148">
        <w:rPr>
          <w:rStyle w:val="Forte"/>
          <w:b w:val="0"/>
        </w:rPr>
        <w:t xml:space="preserve">HIRCZAK, </w:t>
      </w:r>
      <w:proofErr w:type="spellStart"/>
      <w:r w:rsidRPr="00582148">
        <w:rPr>
          <w:rStyle w:val="Forte"/>
          <w:b w:val="0"/>
        </w:rPr>
        <w:t>Maud</w:t>
      </w:r>
      <w:proofErr w:type="spellEnd"/>
      <w:r w:rsidRPr="00582148">
        <w:rPr>
          <w:rStyle w:val="Forte"/>
          <w:b w:val="0"/>
        </w:rPr>
        <w:t>; JANIN, Claude; LAPOSTOLLE, Dany</w:t>
      </w:r>
      <w:r w:rsidRPr="00582148">
        <w:rPr>
          <w:rStyle w:val="Forte"/>
        </w:rPr>
        <w:t>.</w:t>
      </w:r>
      <w:r w:rsidRPr="00582148">
        <w:t xml:space="preserve"> A cesta de bens e serviços territoriais face à transição: o papel da inteligência coletiva na construção da qualidade territorial. </w:t>
      </w:r>
      <w:r w:rsidRPr="00582148">
        <w:rPr>
          <w:rStyle w:val="nfase"/>
          <w:b/>
          <w:i w:val="0"/>
        </w:rPr>
        <w:t>Revista Raízes</w:t>
      </w:r>
      <w:r w:rsidRPr="00582148">
        <w:t xml:space="preserve">, Campina Grande, v. 42, n. 1, p. [inserir página inicial–final], 2022. </w:t>
      </w:r>
    </w:p>
    <w:p w14:paraId="26BEA426" w14:textId="77777777" w:rsidR="00A72E28" w:rsidRPr="00582148" w:rsidRDefault="00A72E28" w:rsidP="00504233">
      <w:pPr>
        <w:spacing w:after="120"/>
        <w:jc w:val="both"/>
      </w:pPr>
      <w:r w:rsidRPr="00582148">
        <w:rPr>
          <w:rStyle w:val="Forte"/>
          <w:b w:val="0"/>
        </w:rPr>
        <w:t xml:space="preserve">LAUERMANN, Daniela; CAPELLESSO, </w:t>
      </w:r>
      <w:proofErr w:type="spellStart"/>
      <w:r w:rsidRPr="00582148">
        <w:rPr>
          <w:rStyle w:val="Forte"/>
          <w:b w:val="0"/>
        </w:rPr>
        <w:t>Adinor</w:t>
      </w:r>
      <w:proofErr w:type="spellEnd"/>
      <w:r w:rsidRPr="00582148">
        <w:rPr>
          <w:rStyle w:val="Forte"/>
          <w:b w:val="0"/>
        </w:rPr>
        <w:t xml:space="preserve"> José; GAZOLLA, Marcio</w:t>
      </w:r>
      <w:r w:rsidRPr="00582148">
        <w:rPr>
          <w:rStyle w:val="Forte"/>
        </w:rPr>
        <w:t>.</w:t>
      </w:r>
      <w:r w:rsidRPr="00582148">
        <w:t xml:space="preserve"> O enfoque da cesta de bens e serviços territoriais aplicado à análise das agroindústrias familiares e suas especificidades alimentares no Extremo Oeste Catarinense. </w:t>
      </w:r>
      <w:r w:rsidRPr="00582148">
        <w:rPr>
          <w:rStyle w:val="nfase"/>
          <w:b/>
          <w:i w:val="0"/>
        </w:rPr>
        <w:t>Revista Raízes</w:t>
      </w:r>
      <w:r w:rsidRPr="00582148">
        <w:t>, Campina Grande, v. 42, n. 1, p. [inserir página inicial–final], 2022.</w:t>
      </w:r>
    </w:p>
    <w:p w14:paraId="7AAC1BD2" w14:textId="77777777" w:rsidR="00A72E28" w:rsidRPr="00582148" w:rsidRDefault="00A72E28" w:rsidP="00504233">
      <w:pPr>
        <w:spacing w:after="120"/>
        <w:jc w:val="both"/>
      </w:pPr>
      <w:r w:rsidRPr="00582148">
        <w:t xml:space="preserve">MEDEIROS, Monique; SABLAYROLLES, Philippe Jean Louis; CAZELLA, Ademir </w:t>
      </w:r>
      <w:proofErr w:type="spellStart"/>
      <w:r w:rsidRPr="00582148">
        <w:t>Antonio</w:t>
      </w:r>
      <w:proofErr w:type="spellEnd"/>
      <w:r w:rsidRPr="00582148">
        <w:t xml:space="preserve">. A reconfiguração de cesta de bens e serviços territoriais como estratégia inovadora de desenvolvimento amazônico. </w:t>
      </w:r>
      <w:r w:rsidRPr="00582148">
        <w:rPr>
          <w:b/>
        </w:rPr>
        <w:t>Redes</w:t>
      </w:r>
      <w:r w:rsidRPr="00582148">
        <w:t xml:space="preserve">, Santa Cruz do Sul, v. 26, p. 1-21, 2021. </w:t>
      </w:r>
    </w:p>
    <w:p w14:paraId="37B43536" w14:textId="77777777" w:rsidR="00A72E28" w:rsidRPr="00582148" w:rsidRDefault="00A72E28" w:rsidP="004148C0">
      <w:pPr>
        <w:spacing w:after="120"/>
        <w:jc w:val="both"/>
        <w:rPr>
          <w:rFonts w:eastAsia="Arial" w:cs="Arial"/>
        </w:rPr>
      </w:pPr>
      <w:r w:rsidRPr="00582148">
        <w:t xml:space="preserve">O’DWYER, Eliane </w:t>
      </w:r>
      <w:proofErr w:type="spellStart"/>
      <w:r w:rsidRPr="00582148">
        <w:t>Cantarino</w:t>
      </w:r>
      <w:proofErr w:type="spellEnd"/>
      <w:r w:rsidRPr="00582148">
        <w:t xml:space="preserve">. </w:t>
      </w:r>
      <w:r w:rsidRPr="00582148">
        <w:rPr>
          <w:b/>
        </w:rPr>
        <w:t>Quilombos</w:t>
      </w:r>
      <w:r w:rsidRPr="00582148">
        <w:t>: identidade étnica e territorialidade. Rio de Janeiro: FGV, 2002.</w:t>
      </w:r>
    </w:p>
    <w:p w14:paraId="176A1E14" w14:textId="77777777" w:rsidR="00A72E28" w:rsidRPr="00582148" w:rsidRDefault="00A72E28" w:rsidP="004148C0">
      <w:pPr>
        <w:spacing w:after="120"/>
        <w:jc w:val="both"/>
        <w:rPr>
          <w:rFonts w:eastAsia="Times New Roman" w:cs="Times New Roman"/>
          <w:kern w:val="0"/>
          <w:lang w:eastAsia="pt-BR"/>
          <w14:ligatures w14:val="none"/>
        </w:rPr>
      </w:pPr>
      <w:r w:rsidRPr="00582148">
        <w:rPr>
          <w:rFonts w:eastAsia="Times New Roman" w:cs="Times New Roman"/>
          <w:kern w:val="0"/>
          <w:lang w:eastAsia="pt-BR"/>
          <w14:ligatures w14:val="none"/>
        </w:rPr>
        <w:t xml:space="preserve">OSTROM, Elinor. </w:t>
      </w:r>
      <w:proofErr w:type="spellStart"/>
      <w:r w:rsidRPr="00582148">
        <w:rPr>
          <w:rFonts w:eastAsia="Times New Roman" w:cs="Times New Roman"/>
          <w:b/>
          <w:iCs/>
          <w:kern w:val="0"/>
          <w:lang w:eastAsia="pt-BR"/>
          <w14:ligatures w14:val="none"/>
        </w:rPr>
        <w:t>Governing</w:t>
      </w:r>
      <w:proofErr w:type="spellEnd"/>
      <w:r w:rsidRPr="00582148">
        <w:rPr>
          <w:rFonts w:eastAsia="Times New Roman" w:cs="Times New Roman"/>
          <w:b/>
          <w:iCs/>
          <w:kern w:val="0"/>
          <w:lang w:eastAsia="pt-BR"/>
          <w14:ligatures w14:val="none"/>
        </w:rPr>
        <w:t xml:space="preserve"> </w:t>
      </w:r>
      <w:proofErr w:type="spellStart"/>
      <w:r w:rsidRPr="00582148">
        <w:rPr>
          <w:rFonts w:eastAsia="Times New Roman" w:cs="Times New Roman"/>
          <w:b/>
          <w:iCs/>
          <w:kern w:val="0"/>
          <w:lang w:eastAsia="pt-BR"/>
          <w14:ligatures w14:val="none"/>
        </w:rPr>
        <w:t>the</w:t>
      </w:r>
      <w:proofErr w:type="spellEnd"/>
      <w:r w:rsidRPr="00582148">
        <w:rPr>
          <w:rFonts w:eastAsia="Times New Roman" w:cs="Times New Roman"/>
          <w:b/>
          <w:iCs/>
          <w:kern w:val="0"/>
          <w:lang w:eastAsia="pt-BR"/>
          <w14:ligatures w14:val="none"/>
        </w:rPr>
        <w:t xml:space="preserve"> </w:t>
      </w:r>
      <w:proofErr w:type="spellStart"/>
      <w:r w:rsidRPr="00582148">
        <w:rPr>
          <w:rFonts w:eastAsia="Times New Roman" w:cs="Times New Roman"/>
          <w:b/>
          <w:iCs/>
          <w:kern w:val="0"/>
          <w:lang w:eastAsia="pt-BR"/>
          <w14:ligatures w14:val="none"/>
        </w:rPr>
        <w:t>commons</w:t>
      </w:r>
      <w:proofErr w:type="spellEnd"/>
      <w:r w:rsidRPr="00582148">
        <w:rPr>
          <w:rFonts w:eastAsia="Times New Roman" w:cs="Times New Roman"/>
          <w:iCs/>
          <w:kern w:val="0"/>
          <w:lang w:eastAsia="pt-BR"/>
          <w14:ligatures w14:val="none"/>
        </w:rPr>
        <w:t xml:space="preserve">: </w:t>
      </w:r>
      <w:proofErr w:type="spellStart"/>
      <w:r w:rsidRPr="00582148">
        <w:rPr>
          <w:rFonts w:eastAsia="Times New Roman" w:cs="Times New Roman"/>
          <w:iCs/>
          <w:kern w:val="0"/>
          <w:lang w:eastAsia="pt-BR"/>
          <w14:ligatures w14:val="none"/>
        </w:rPr>
        <w:t>the</w:t>
      </w:r>
      <w:proofErr w:type="spellEnd"/>
      <w:r w:rsidRPr="00582148">
        <w:rPr>
          <w:rFonts w:eastAsia="Times New Roman" w:cs="Times New Roman"/>
          <w:iCs/>
          <w:kern w:val="0"/>
          <w:lang w:eastAsia="pt-BR"/>
          <w14:ligatures w14:val="none"/>
        </w:rPr>
        <w:t xml:space="preserve"> </w:t>
      </w:r>
      <w:proofErr w:type="spellStart"/>
      <w:r w:rsidRPr="00582148">
        <w:rPr>
          <w:rFonts w:eastAsia="Times New Roman" w:cs="Times New Roman"/>
          <w:iCs/>
          <w:kern w:val="0"/>
          <w:lang w:eastAsia="pt-BR"/>
          <w14:ligatures w14:val="none"/>
        </w:rPr>
        <w:t>evolution</w:t>
      </w:r>
      <w:proofErr w:type="spellEnd"/>
      <w:r w:rsidRPr="00582148">
        <w:rPr>
          <w:rFonts w:eastAsia="Times New Roman" w:cs="Times New Roman"/>
          <w:iCs/>
          <w:kern w:val="0"/>
          <w:lang w:eastAsia="pt-BR"/>
          <w14:ligatures w14:val="none"/>
        </w:rPr>
        <w:t xml:space="preserve"> of </w:t>
      </w:r>
      <w:proofErr w:type="spellStart"/>
      <w:r w:rsidRPr="00582148">
        <w:rPr>
          <w:rFonts w:eastAsia="Times New Roman" w:cs="Times New Roman"/>
          <w:iCs/>
          <w:kern w:val="0"/>
          <w:lang w:eastAsia="pt-BR"/>
          <w14:ligatures w14:val="none"/>
        </w:rPr>
        <w:t>institutions</w:t>
      </w:r>
      <w:proofErr w:type="spellEnd"/>
      <w:r w:rsidRPr="00582148">
        <w:rPr>
          <w:rFonts w:eastAsia="Times New Roman" w:cs="Times New Roman"/>
          <w:iCs/>
          <w:kern w:val="0"/>
          <w:lang w:eastAsia="pt-BR"/>
          <w14:ligatures w14:val="none"/>
        </w:rPr>
        <w:t xml:space="preserve"> for </w:t>
      </w:r>
      <w:proofErr w:type="spellStart"/>
      <w:r w:rsidRPr="00582148">
        <w:rPr>
          <w:rFonts w:eastAsia="Times New Roman" w:cs="Times New Roman"/>
          <w:iCs/>
          <w:kern w:val="0"/>
          <w:lang w:eastAsia="pt-BR"/>
          <w14:ligatures w14:val="none"/>
        </w:rPr>
        <w:t>collective</w:t>
      </w:r>
      <w:proofErr w:type="spellEnd"/>
      <w:r w:rsidRPr="00582148">
        <w:rPr>
          <w:rFonts w:eastAsia="Times New Roman" w:cs="Times New Roman"/>
          <w:iCs/>
          <w:kern w:val="0"/>
          <w:lang w:eastAsia="pt-BR"/>
          <w14:ligatures w14:val="none"/>
        </w:rPr>
        <w:t xml:space="preserve"> </w:t>
      </w:r>
      <w:proofErr w:type="spellStart"/>
      <w:r w:rsidRPr="00582148">
        <w:rPr>
          <w:rFonts w:eastAsia="Times New Roman" w:cs="Times New Roman"/>
          <w:iCs/>
          <w:kern w:val="0"/>
          <w:lang w:eastAsia="pt-BR"/>
          <w14:ligatures w14:val="none"/>
        </w:rPr>
        <w:t>action</w:t>
      </w:r>
      <w:proofErr w:type="spellEnd"/>
      <w:r w:rsidRPr="00582148">
        <w:rPr>
          <w:rFonts w:eastAsia="Times New Roman" w:cs="Times New Roman"/>
          <w:kern w:val="0"/>
          <w:lang w:eastAsia="pt-BR"/>
          <w14:ligatures w14:val="none"/>
        </w:rPr>
        <w:t>. Cambridge: Cambridge University Press, 1990.</w:t>
      </w:r>
    </w:p>
    <w:p w14:paraId="5D10A75A" w14:textId="77777777" w:rsidR="00A72E28" w:rsidRPr="00582148" w:rsidRDefault="00A72E28" w:rsidP="004148C0">
      <w:pPr>
        <w:spacing w:after="120"/>
        <w:jc w:val="both"/>
        <w:rPr>
          <w:color w:val="000000" w:themeColor="text1"/>
          <w:spacing w:val="2"/>
          <w:shd w:val="clear" w:color="auto" w:fill="FFFFFF"/>
        </w:rPr>
      </w:pPr>
      <w:r w:rsidRPr="00582148">
        <w:rPr>
          <w:color w:val="000000" w:themeColor="text1"/>
          <w:spacing w:val="2"/>
          <w:shd w:val="clear" w:color="auto" w:fill="FFFFFF"/>
        </w:rPr>
        <w:t>PECQUEUR, Bernard. O desenvolvimento territorial: uma nova abordagem dos processos de desenvolvimento para as economias do Sul. </w:t>
      </w:r>
      <w:r w:rsidRPr="00582148">
        <w:rPr>
          <w:b/>
          <w:bCs/>
          <w:color w:val="000000" w:themeColor="text1"/>
          <w:spacing w:val="2"/>
          <w:shd w:val="clear" w:color="auto" w:fill="FFFFFF"/>
        </w:rPr>
        <w:t>Raízes: Revista de Ciências Sociais e Econômicas</w:t>
      </w:r>
      <w:r w:rsidRPr="00582148">
        <w:rPr>
          <w:color w:val="000000" w:themeColor="text1"/>
          <w:spacing w:val="2"/>
          <w:shd w:val="clear" w:color="auto" w:fill="FFFFFF"/>
        </w:rPr>
        <w:t>, </w:t>
      </w:r>
      <w:r w:rsidRPr="00582148">
        <w:rPr>
          <w:i/>
          <w:iCs/>
          <w:color w:val="000000" w:themeColor="text1"/>
          <w:spacing w:val="2"/>
          <w:shd w:val="clear" w:color="auto" w:fill="FFFFFF"/>
        </w:rPr>
        <w:t>[S. l.]</w:t>
      </w:r>
      <w:r w:rsidRPr="00582148">
        <w:rPr>
          <w:color w:val="000000" w:themeColor="text1"/>
          <w:spacing w:val="2"/>
          <w:shd w:val="clear" w:color="auto" w:fill="FFFFFF"/>
        </w:rPr>
        <w:t xml:space="preserve">, v. 24, n. 1 e 2, p. 10–22, 2006. </w:t>
      </w:r>
    </w:p>
    <w:p w14:paraId="62F1097A" w14:textId="77777777" w:rsidR="00A72E28" w:rsidRPr="00582148" w:rsidRDefault="00A72E28" w:rsidP="004148C0">
      <w:pPr>
        <w:spacing w:after="120"/>
        <w:jc w:val="both"/>
        <w:rPr>
          <w:rFonts w:eastAsia="Times New Roman" w:cs="Times New Roman"/>
          <w:kern w:val="0"/>
          <w:lang w:eastAsia="pt-BR"/>
          <w14:ligatures w14:val="none"/>
        </w:rPr>
      </w:pPr>
      <w:r w:rsidRPr="00582148">
        <w:rPr>
          <w:rFonts w:eastAsia="Times New Roman" w:cs="Times New Roman"/>
          <w:kern w:val="0"/>
          <w:lang w:eastAsia="pt-BR"/>
          <w14:ligatures w14:val="none"/>
        </w:rPr>
        <w:t xml:space="preserve">PORTO-GONÇALVES, Carlos Walter. </w:t>
      </w:r>
      <w:r w:rsidRPr="00582148">
        <w:rPr>
          <w:rFonts w:eastAsia="Times New Roman" w:cs="Times New Roman"/>
          <w:b/>
          <w:iCs/>
          <w:kern w:val="0"/>
          <w:lang w:eastAsia="pt-BR"/>
          <w14:ligatures w14:val="none"/>
        </w:rPr>
        <w:t>A globalização da natureza e a natureza da globalização</w:t>
      </w:r>
      <w:r w:rsidRPr="00582148">
        <w:rPr>
          <w:rFonts w:eastAsia="Times New Roman" w:cs="Times New Roman"/>
          <w:kern w:val="0"/>
          <w:lang w:eastAsia="pt-BR"/>
          <w14:ligatures w14:val="none"/>
        </w:rPr>
        <w:t>. Rio de Janeiro: Civilização Brasileira, 2006.</w:t>
      </w:r>
    </w:p>
    <w:p w14:paraId="540568BB" w14:textId="77777777" w:rsidR="00A72E28" w:rsidRPr="00582148" w:rsidRDefault="00A72E28" w:rsidP="00504233">
      <w:pPr>
        <w:spacing w:after="120"/>
        <w:jc w:val="both"/>
      </w:pPr>
      <w:r w:rsidRPr="00582148">
        <w:rPr>
          <w:rStyle w:val="Forte"/>
          <w:b w:val="0"/>
        </w:rPr>
        <w:t xml:space="preserve">REBOLLAR, Paola Beatriz May; NOGUEIRA, Luiz Felipe Rodrigues; CAZELLA, Ademir </w:t>
      </w:r>
      <w:proofErr w:type="spellStart"/>
      <w:r w:rsidRPr="00582148">
        <w:rPr>
          <w:rStyle w:val="Forte"/>
          <w:b w:val="0"/>
        </w:rPr>
        <w:t>Antonio</w:t>
      </w:r>
      <w:proofErr w:type="spellEnd"/>
      <w:r w:rsidRPr="00582148">
        <w:rPr>
          <w:rStyle w:val="Forte"/>
          <w:b w:val="0"/>
        </w:rPr>
        <w:t xml:space="preserve">; ANDRADE, Isabela </w:t>
      </w:r>
      <w:proofErr w:type="spellStart"/>
      <w:r w:rsidRPr="00582148">
        <w:rPr>
          <w:rStyle w:val="Forte"/>
          <w:b w:val="0"/>
        </w:rPr>
        <w:t>Tsutiya</w:t>
      </w:r>
      <w:proofErr w:type="spellEnd"/>
      <w:r w:rsidRPr="00582148">
        <w:rPr>
          <w:rStyle w:val="Forte"/>
          <w:b w:val="0"/>
        </w:rPr>
        <w:t>; LAPA, Flavia Simão</w:t>
      </w:r>
      <w:r w:rsidRPr="00582148">
        <w:rPr>
          <w:rStyle w:val="Forte"/>
        </w:rPr>
        <w:t>.</w:t>
      </w:r>
      <w:r w:rsidRPr="00582148">
        <w:t xml:space="preserve"> Metodologia participativa para construção de uma cesta de bens e serviços territoriais. </w:t>
      </w:r>
      <w:r w:rsidRPr="00582148">
        <w:rPr>
          <w:rStyle w:val="nfase"/>
          <w:b/>
          <w:i w:val="0"/>
        </w:rPr>
        <w:t>Desenvolvimento em Questão</w:t>
      </w:r>
      <w:r w:rsidRPr="00582148">
        <w:t xml:space="preserve">, [S. l.], v. 22, n. 61, edição especial, 2024. </w:t>
      </w:r>
    </w:p>
    <w:p w14:paraId="6E8FBED9" w14:textId="77777777" w:rsidR="00A72E28" w:rsidRPr="00582148" w:rsidRDefault="00A72E28" w:rsidP="00504233">
      <w:pPr>
        <w:spacing w:after="120"/>
        <w:jc w:val="both"/>
      </w:pPr>
      <w:r w:rsidRPr="00582148">
        <w:t xml:space="preserve">SHIVA, Vandana. Recursos naturais. In: SACHS, Wolfgang (ed.). </w:t>
      </w:r>
      <w:r w:rsidRPr="00582148">
        <w:rPr>
          <w:b/>
        </w:rPr>
        <w:t>Dicionário do desenvolvimento</w:t>
      </w:r>
      <w:r w:rsidRPr="00582148">
        <w:t xml:space="preserve">: guia para o conhecimento como poder. Petrópolis: Vozes, 2000. p. 300-316. </w:t>
      </w:r>
    </w:p>
    <w:p w14:paraId="1B9980C6" w14:textId="77777777" w:rsidR="00A72E28" w:rsidRPr="00582148" w:rsidRDefault="00A72E28" w:rsidP="004148C0">
      <w:pPr>
        <w:spacing w:after="120"/>
        <w:jc w:val="both"/>
        <w:rPr>
          <w:rFonts w:cs="Segoe UI"/>
          <w:shd w:val="clear" w:color="auto" w:fill="FFFFFF"/>
        </w:rPr>
      </w:pPr>
      <w:r w:rsidRPr="00582148">
        <w:rPr>
          <w:rFonts w:cs="Segoe UI"/>
          <w:shd w:val="clear" w:color="auto" w:fill="FFFFFF"/>
        </w:rPr>
        <w:t xml:space="preserve">TOURAINE, Alain. </w:t>
      </w:r>
      <w:r w:rsidRPr="00582148">
        <w:rPr>
          <w:rFonts w:cs="Segoe UI"/>
          <w:b/>
          <w:shd w:val="clear" w:color="auto" w:fill="FFFFFF"/>
        </w:rPr>
        <w:t xml:space="preserve">O Retorno do </w:t>
      </w:r>
      <w:proofErr w:type="spellStart"/>
      <w:r w:rsidRPr="00582148">
        <w:rPr>
          <w:rFonts w:cs="Segoe UI"/>
          <w:b/>
          <w:shd w:val="clear" w:color="auto" w:fill="FFFFFF"/>
        </w:rPr>
        <w:t>Actor</w:t>
      </w:r>
      <w:proofErr w:type="spellEnd"/>
      <w:r w:rsidRPr="00582148">
        <w:rPr>
          <w:rFonts w:cs="Segoe UI"/>
          <w:shd w:val="clear" w:color="auto" w:fill="FFFFFF"/>
        </w:rPr>
        <w:t>: ensaio sobre sociologia. Lisboa: Instituto Piaget, 1996.</w:t>
      </w:r>
    </w:p>
    <w:p w14:paraId="6AEDDBCE" w14:textId="77777777" w:rsidR="00A72E28" w:rsidRPr="00582148" w:rsidRDefault="00A72E28" w:rsidP="00504233">
      <w:pPr>
        <w:spacing w:after="120"/>
        <w:jc w:val="both"/>
      </w:pPr>
      <w:r w:rsidRPr="00582148">
        <w:rPr>
          <w:rStyle w:val="Forte"/>
          <w:b w:val="0"/>
        </w:rPr>
        <w:t xml:space="preserve">TURNES, Maurício; CAZELLA, Ademir </w:t>
      </w:r>
      <w:proofErr w:type="spellStart"/>
      <w:r w:rsidRPr="00582148">
        <w:rPr>
          <w:rStyle w:val="Forte"/>
          <w:b w:val="0"/>
        </w:rPr>
        <w:t>Antonio</w:t>
      </w:r>
      <w:proofErr w:type="spellEnd"/>
      <w:r w:rsidRPr="00582148">
        <w:rPr>
          <w:rStyle w:val="Forte"/>
          <w:b w:val="0"/>
        </w:rPr>
        <w:t xml:space="preserve">; PECQUEUR, Bernard; GUZZATTI, </w:t>
      </w:r>
      <w:proofErr w:type="spellStart"/>
      <w:r w:rsidRPr="00582148">
        <w:rPr>
          <w:rStyle w:val="Forte"/>
          <w:b w:val="0"/>
        </w:rPr>
        <w:t>Thaise</w:t>
      </w:r>
      <w:proofErr w:type="spellEnd"/>
      <w:r w:rsidRPr="00582148">
        <w:rPr>
          <w:rStyle w:val="Forte"/>
          <w:b w:val="0"/>
        </w:rPr>
        <w:t xml:space="preserve"> Costa</w:t>
      </w:r>
      <w:r w:rsidRPr="00582148">
        <w:rPr>
          <w:rStyle w:val="Forte"/>
        </w:rPr>
        <w:t xml:space="preserve">. </w:t>
      </w:r>
      <w:r w:rsidRPr="00582148">
        <w:rPr>
          <w:rStyle w:val="Forte"/>
          <w:b w:val="0"/>
        </w:rPr>
        <w:t>Monitoramento de uma cesta de bens e serviços territoriais: a construção de um painel de indicadores</w:t>
      </w:r>
      <w:r w:rsidRPr="00582148">
        <w:t xml:space="preserve">. </w:t>
      </w:r>
      <w:r w:rsidRPr="00582148">
        <w:rPr>
          <w:rStyle w:val="nfase"/>
          <w:b/>
          <w:i w:val="0"/>
        </w:rPr>
        <w:t>Revista Raízes</w:t>
      </w:r>
      <w:r w:rsidRPr="00582148">
        <w:t>, Campina Grande, v. 42, n. 1, p. 90–111, 2022.</w:t>
      </w:r>
    </w:p>
    <w:p w14:paraId="2DAA47E4" w14:textId="77777777" w:rsidR="00E36732" w:rsidRPr="00216EFF" w:rsidRDefault="00E36732" w:rsidP="00504233">
      <w:pPr>
        <w:spacing w:after="120"/>
        <w:jc w:val="both"/>
        <w:rPr>
          <w:rFonts w:eastAsia="Arial" w:cs="Arial"/>
        </w:rPr>
      </w:pPr>
    </w:p>
    <w:sectPr w:rsidR="00E36732" w:rsidRPr="00216EFF" w:rsidSect="00653512">
      <w:footerReference w:type="default" r:id="rId9"/>
      <w:pgSz w:w="11906" w:h="16838"/>
      <w:pgMar w:top="1418" w:right="1418" w:bottom="1418" w:left="1418" w:header="709" w:footer="709"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7635A98" w16cex:dateUtc="2025-05-12T21:30:00Z"/>
  <w16cex:commentExtensible w16cex:durableId="01E1801B" w16cex:dateUtc="2025-05-12T21:33:00Z"/>
  <w16cex:commentExtensible w16cex:durableId="5FD77C03" w16cex:dateUtc="2025-05-12T21:33:00Z"/>
  <w16cex:commentExtensible w16cex:durableId="1A2DC3ED" w16cex:dateUtc="2025-05-12T21:34:00Z"/>
  <w16cex:commentExtensible w16cex:durableId="4B4B3A8D" w16cex:dateUtc="2025-05-12T21:37:00Z"/>
  <w16cex:commentExtensible w16cex:durableId="119A225E" w16cex:dateUtc="2025-05-12T21:46:00Z"/>
  <w16cex:commentExtensible w16cex:durableId="66579012" w16cex:dateUtc="2025-05-12T21:39:00Z"/>
  <w16cex:commentExtensible w16cex:durableId="5ACB3520" w16cex:dateUtc="2025-05-12T21:48:00Z"/>
  <w16cex:commentExtensible w16cex:durableId="6A005024" w16cex:dateUtc="2025-05-12T21:51:00Z"/>
  <w16cex:commentExtensible w16cex:durableId="491765A7" w16cex:dateUtc="2025-05-12T21:51:00Z"/>
  <w16cex:commentExtensible w16cex:durableId="3E2D1AFA" w16cex:dateUtc="2025-05-12T21:54:00Z"/>
  <w16cex:commentExtensible w16cex:durableId="72D6ABA4" w16cex:dateUtc="2025-05-12T21:56:00Z"/>
  <w16cex:commentExtensible w16cex:durableId="0231A8C1" w16cex:dateUtc="2025-05-12T21:57:00Z"/>
  <w16cex:commentExtensible w16cex:durableId="302DFEB5" w16cex:dateUtc="2025-05-12T22:14:00Z"/>
  <w16cex:commentExtensible w16cex:durableId="03D21170" w16cex:dateUtc="2025-05-12T22:16:00Z"/>
  <w16cex:commentExtensible w16cex:durableId="41FD36A4" w16cex:dateUtc="2025-05-12T22:10:00Z"/>
  <w16cex:commentExtensible w16cex:durableId="4A0C6254" w16cex:dateUtc="2025-05-12T22:20:00Z"/>
  <w16cex:commentExtensible w16cex:durableId="28AF93BB" w16cex:dateUtc="2025-05-12T22:24:00Z"/>
  <w16cex:commentExtensible w16cex:durableId="3687525D" w16cex:dateUtc="2025-05-12T22:27:00Z"/>
  <w16cex:commentExtensible w16cex:durableId="04BF1CCA" w16cex:dateUtc="2025-05-12T22:29:00Z"/>
  <w16cex:commentExtensible w16cex:durableId="6D10A390" w16cex:dateUtc="2025-05-12T22: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B3309A3" w16cid:durableId="17635A98"/>
  <w16cid:commentId w16cid:paraId="1396A863" w16cid:durableId="01E1801B"/>
  <w16cid:commentId w16cid:paraId="40649785" w16cid:durableId="5FD77C03"/>
  <w16cid:commentId w16cid:paraId="7A811FEF" w16cid:durableId="1A2DC3ED"/>
  <w16cid:commentId w16cid:paraId="06927CEF" w16cid:durableId="4B4B3A8D"/>
  <w16cid:commentId w16cid:paraId="600F5171" w16cid:durableId="119A225E"/>
  <w16cid:commentId w16cid:paraId="258EE4B2" w16cid:durableId="66579012"/>
  <w16cid:commentId w16cid:paraId="466A2FA3" w16cid:durableId="5ACB3520"/>
  <w16cid:commentId w16cid:paraId="3C935EB6" w16cid:durableId="6A005024"/>
  <w16cid:commentId w16cid:paraId="0FB68228" w16cid:durableId="491765A7"/>
  <w16cid:commentId w16cid:paraId="01AC8FB8" w16cid:durableId="3E2D1AFA"/>
  <w16cid:commentId w16cid:paraId="6DF91C4D" w16cid:durableId="72D6ABA4"/>
  <w16cid:commentId w16cid:paraId="5A486C47" w16cid:durableId="0231A8C1"/>
  <w16cid:commentId w16cid:paraId="4233B682" w16cid:durableId="302DFEB5"/>
  <w16cid:commentId w16cid:paraId="6117543F" w16cid:durableId="03D21170"/>
  <w16cid:commentId w16cid:paraId="120C83AE" w16cid:durableId="41FD36A4"/>
  <w16cid:commentId w16cid:paraId="34FF7E60" w16cid:durableId="4A0C6254"/>
  <w16cid:commentId w16cid:paraId="0FF8822C" w16cid:durableId="28AF93BB"/>
  <w16cid:commentId w16cid:paraId="428EDE42" w16cid:durableId="3687525D"/>
  <w16cid:commentId w16cid:paraId="66DEED81" w16cid:durableId="04BF1CCA"/>
  <w16cid:commentId w16cid:paraId="4BBCF976" w16cid:durableId="6D10A39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F2017F" w14:textId="77777777" w:rsidR="00E766B8" w:rsidRDefault="00E766B8" w:rsidP="0027518C">
      <w:r>
        <w:separator/>
      </w:r>
    </w:p>
  </w:endnote>
  <w:endnote w:type="continuationSeparator" w:id="0">
    <w:p w14:paraId="18C7702D" w14:textId="77777777" w:rsidR="00E766B8" w:rsidRDefault="00E766B8"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6226C" w14:textId="4E227B22" w:rsidR="00DE2DF0" w:rsidRDefault="00DE2DF0">
    <w:pPr>
      <w:pStyle w:val="Rodap"/>
    </w:pPr>
    <w:r>
      <w:rPr>
        <w:noProof/>
        <w:lang w:eastAsia="pt-BR"/>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A0A08D" w14:textId="77777777" w:rsidR="00E766B8" w:rsidRDefault="00E766B8" w:rsidP="0027518C">
      <w:r>
        <w:separator/>
      </w:r>
    </w:p>
  </w:footnote>
  <w:footnote w:type="continuationSeparator" w:id="0">
    <w:p w14:paraId="7A7948DE" w14:textId="77777777" w:rsidR="00E766B8" w:rsidRDefault="00E766B8" w:rsidP="0027518C">
      <w:r>
        <w:continuationSeparator/>
      </w:r>
    </w:p>
  </w:footnote>
  <w:footnote w:id="1">
    <w:p w14:paraId="6DBA78B4" w14:textId="36C788A5" w:rsidR="00DE2DF0" w:rsidRPr="0018293E" w:rsidRDefault="00DE2DF0"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3F15DA">
        <w:rPr>
          <w:rFonts w:ascii="Avenir Book" w:eastAsia="Arial" w:hAnsi="Avenir Book" w:cs="Arial"/>
        </w:rPr>
        <w:t xml:space="preserve">Universidade Federal do Pará, </w:t>
      </w:r>
      <w:r w:rsidR="003F15DA">
        <w:rPr>
          <w:rFonts w:ascii="Avenir Book" w:eastAsia="Arial" w:hAnsi="Avenir Book" w:cs="Arial"/>
          <w:color w:val="0563C1"/>
          <w:u w:val="single"/>
        </w:rPr>
        <w:t>evandrocneves@outlook.com</w:t>
      </w:r>
      <w:r w:rsidRPr="0018293E">
        <w:rPr>
          <w:rFonts w:ascii="Avenir Book" w:eastAsia="Arial" w:hAnsi="Avenir Book" w:cs="Arial"/>
        </w:rPr>
        <w:t>.</w:t>
      </w:r>
    </w:p>
  </w:footnote>
  <w:footnote w:id="2">
    <w:p w14:paraId="25B57293" w14:textId="144BD8BC" w:rsidR="00DE2DF0" w:rsidRPr="0018293E" w:rsidRDefault="00DE2DF0"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3F15DA">
        <w:rPr>
          <w:rFonts w:ascii="Avenir Book" w:eastAsia="Arial" w:hAnsi="Avenir Book" w:cs="Arial"/>
        </w:rPr>
        <w:t>Universidade Federal do Pará,</w:t>
      </w:r>
      <w:r w:rsidR="00562DE4" w:rsidRPr="00562DE4">
        <w:t xml:space="preserve"> </w:t>
      </w:r>
      <w:hyperlink r:id="rId1" w:history="1">
        <w:r w:rsidR="00562DE4" w:rsidRPr="0074363E">
          <w:rPr>
            <w:rStyle w:val="Hyperlink"/>
            <w:rFonts w:ascii="Avenir Book" w:eastAsia="Arial" w:hAnsi="Avenir Book" w:cs="Arial"/>
          </w:rPr>
          <w:t>mmedeiros.ufpa.ineaf@gmail.com</w:t>
        </w:r>
      </w:hyperlink>
      <w:r w:rsidR="00562DE4">
        <w:rPr>
          <w:rFonts w:ascii="Avenir Book" w:eastAsia="Arial" w:hAnsi="Avenir Book" w:cs="Aria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BC048C"/>
    <w:multiLevelType w:val="hybridMultilevel"/>
    <w:tmpl w:val="16C01CFC"/>
    <w:lvl w:ilvl="0" w:tplc="34F02202">
      <w:start w:val="1"/>
      <w:numFmt w:val="bullet"/>
      <w:lvlText w:val=""/>
      <w:lvlJc w:val="left"/>
      <w:pPr>
        <w:ind w:left="1080" w:hanging="360"/>
      </w:pPr>
      <w:rPr>
        <w:rFonts w:ascii="Symbol" w:hAnsi="Symbol"/>
      </w:rPr>
    </w:lvl>
    <w:lvl w:ilvl="1" w:tplc="1D2EF338">
      <w:start w:val="1"/>
      <w:numFmt w:val="bullet"/>
      <w:lvlText w:val=""/>
      <w:lvlJc w:val="left"/>
      <w:pPr>
        <w:ind w:left="1080" w:hanging="360"/>
      </w:pPr>
      <w:rPr>
        <w:rFonts w:ascii="Symbol" w:hAnsi="Symbol"/>
      </w:rPr>
    </w:lvl>
    <w:lvl w:ilvl="2" w:tplc="755CA856">
      <w:start w:val="1"/>
      <w:numFmt w:val="bullet"/>
      <w:lvlText w:val=""/>
      <w:lvlJc w:val="left"/>
      <w:pPr>
        <w:ind w:left="1080" w:hanging="360"/>
      </w:pPr>
      <w:rPr>
        <w:rFonts w:ascii="Symbol" w:hAnsi="Symbol"/>
      </w:rPr>
    </w:lvl>
    <w:lvl w:ilvl="3" w:tplc="86D4DB92">
      <w:start w:val="1"/>
      <w:numFmt w:val="bullet"/>
      <w:lvlText w:val=""/>
      <w:lvlJc w:val="left"/>
      <w:pPr>
        <w:ind w:left="1080" w:hanging="360"/>
      </w:pPr>
      <w:rPr>
        <w:rFonts w:ascii="Symbol" w:hAnsi="Symbol"/>
      </w:rPr>
    </w:lvl>
    <w:lvl w:ilvl="4" w:tplc="135C075E">
      <w:start w:val="1"/>
      <w:numFmt w:val="bullet"/>
      <w:lvlText w:val=""/>
      <w:lvlJc w:val="left"/>
      <w:pPr>
        <w:ind w:left="1080" w:hanging="360"/>
      </w:pPr>
      <w:rPr>
        <w:rFonts w:ascii="Symbol" w:hAnsi="Symbol"/>
      </w:rPr>
    </w:lvl>
    <w:lvl w:ilvl="5" w:tplc="1744EEF0">
      <w:start w:val="1"/>
      <w:numFmt w:val="bullet"/>
      <w:lvlText w:val=""/>
      <w:lvlJc w:val="left"/>
      <w:pPr>
        <w:ind w:left="1080" w:hanging="360"/>
      </w:pPr>
      <w:rPr>
        <w:rFonts w:ascii="Symbol" w:hAnsi="Symbol"/>
      </w:rPr>
    </w:lvl>
    <w:lvl w:ilvl="6" w:tplc="365828E2">
      <w:start w:val="1"/>
      <w:numFmt w:val="bullet"/>
      <w:lvlText w:val=""/>
      <w:lvlJc w:val="left"/>
      <w:pPr>
        <w:ind w:left="1080" w:hanging="360"/>
      </w:pPr>
      <w:rPr>
        <w:rFonts w:ascii="Symbol" w:hAnsi="Symbol"/>
      </w:rPr>
    </w:lvl>
    <w:lvl w:ilvl="7" w:tplc="AF5E4258">
      <w:start w:val="1"/>
      <w:numFmt w:val="bullet"/>
      <w:lvlText w:val=""/>
      <w:lvlJc w:val="left"/>
      <w:pPr>
        <w:ind w:left="1080" w:hanging="360"/>
      </w:pPr>
      <w:rPr>
        <w:rFonts w:ascii="Symbol" w:hAnsi="Symbol"/>
      </w:rPr>
    </w:lvl>
    <w:lvl w:ilvl="8" w:tplc="B7B05392">
      <w:start w:val="1"/>
      <w:numFmt w:val="bullet"/>
      <w:lvlText w:val=""/>
      <w:lvlJc w:val="left"/>
      <w:pPr>
        <w:ind w:left="1080" w:hanging="360"/>
      </w:pPr>
      <w:rPr>
        <w:rFonts w:ascii="Symbol" w:hAnsi="Symbol"/>
      </w:rPr>
    </w:lvl>
  </w:abstractNum>
  <w:abstractNum w:abstractNumId="1" w15:restartNumberingAfterBreak="0">
    <w:nsid w:val="59E200C9"/>
    <w:multiLevelType w:val="hybridMultilevel"/>
    <w:tmpl w:val="80B04DFC"/>
    <w:lvl w:ilvl="0" w:tplc="2E8C306E">
      <w:start w:val="1"/>
      <w:numFmt w:val="bullet"/>
      <w:lvlText w:val=""/>
      <w:lvlJc w:val="left"/>
      <w:pPr>
        <w:ind w:left="1080" w:hanging="360"/>
      </w:pPr>
      <w:rPr>
        <w:rFonts w:ascii="Symbol" w:hAnsi="Symbol"/>
      </w:rPr>
    </w:lvl>
    <w:lvl w:ilvl="1" w:tplc="5BE83D4A">
      <w:start w:val="1"/>
      <w:numFmt w:val="bullet"/>
      <w:lvlText w:val=""/>
      <w:lvlJc w:val="left"/>
      <w:pPr>
        <w:ind w:left="1080" w:hanging="360"/>
      </w:pPr>
      <w:rPr>
        <w:rFonts w:ascii="Symbol" w:hAnsi="Symbol"/>
      </w:rPr>
    </w:lvl>
    <w:lvl w:ilvl="2" w:tplc="BD026F20">
      <w:start w:val="1"/>
      <w:numFmt w:val="bullet"/>
      <w:lvlText w:val=""/>
      <w:lvlJc w:val="left"/>
      <w:pPr>
        <w:ind w:left="1080" w:hanging="360"/>
      </w:pPr>
      <w:rPr>
        <w:rFonts w:ascii="Symbol" w:hAnsi="Symbol"/>
      </w:rPr>
    </w:lvl>
    <w:lvl w:ilvl="3" w:tplc="80E095CC">
      <w:start w:val="1"/>
      <w:numFmt w:val="bullet"/>
      <w:lvlText w:val=""/>
      <w:lvlJc w:val="left"/>
      <w:pPr>
        <w:ind w:left="1080" w:hanging="360"/>
      </w:pPr>
      <w:rPr>
        <w:rFonts w:ascii="Symbol" w:hAnsi="Symbol"/>
      </w:rPr>
    </w:lvl>
    <w:lvl w:ilvl="4" w:tplc="5C64DB52">
      <w:start w:val="1"/>
      <w:numFmt w:val="bullet"/>
      <w:lvlText w:val=""/>
      <w:lvlJc w:val="left"/>
      <w:pPr>
        <w:ind w:left="1080" w:hanging="360"/>
      </w:pPr>
      <w:rPr>
        <w:rFonts w:ascii="Symbol" w:hAnsi="Symbol"/>
      </w:rPr>
    </w:lvl>
    <w:lvl w:ilvl="5" w:tplc="537A0830">
      <w:start w:val="1"/>
      <w:numFmt w:val="bullet"/>
      <w:lvlText w:val=""/>
      <w:lvlJc w:val="left"/>
      <w:pPr>
        <w:ind w:left="1080" w:hanging="360"/>
      </w:pPr>
      <w:rPr>
        <w:rFonts w:ascii="Symbol" w:hAnsi="Symbol"/>
      </w:rPr>
    </w:lvl>
    <w:lvl w:ilvl="6" w:tplc="7FC0580A">
      <w:start w:val="1"/>
      <w:numFmt w:val="bullet"/>
      <w:lvlText w:val=""/>
      <w:lvlJc w:val="left"/>
      <w:pPr>
        <w:ind w:left="1080" w:hanging="360"/>
      </w:pPr>
      <w:rPr>
        <w:rFonts w:ascii="Symbol" w:hAnsi="Symbol"/>
      </w:rPr>
    </w:lvl>
    <w:lvl w:ilvl="7" w:tplc="00EA6A16">
      <w:start w:val="1"/>
      <w:numFmt w:val="bullet"/>
      <w:lvlText w:val=""/>
      <w:lvlJc w:val="left"/>
      <w:pPr>
        <w:ind w:left="1080" w:hanging="360"/>
      </w:pPr>
      <w:rPr>
        <w:rFonts w:ascii="Symbol" w:hAnsi="Symbol"/>
      </w:rPr>
    </w:lvl>
    <w:lvl w:ilvl="8" w:tplc="3FD8B028">
      <w:start w:val="1"/>
      <w:numFmt w:val="bullet"/>
      <w:lvlText w:val=""/>
      <w:lvlJc w:val="left"/>
      <w:pPr>
        <w:ind w:left="1080" w:hanging="360"/>
      </w:pPr>
      <w:rPr>
        <w:rFonts w:ascii="Symbol" w:hAnsi="Symbo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AFB"/>
    <w:rsid w:val="00014359"/>
    <w:rsid w:val="00020A2A"/>
    <w:rsid w:val="00027604"/>
    <w:rsid w:val="00033113"/>
    <w:rsid w:val="00042760"/>
    <w:rsid w:val="00067B43"/>
    <w:rsid w:val="0007068F"/>
    <w:rsid w:val="00082ED8"/>
    <w:rsid w:val="00084904"/>
    <w:rsid w:val="0009070F"/>
    <w:rsid w:val="000B2943"/>
    <w:rsid w:val="000B44C3"/>
    <w:rsid w:val="000B4D2E"/>
    <w:rsid w:val="000C4BAC"/>
    <w:rsid w:val="000D5315"/>
    <w:rsid w:val="000D5FD8"/>
    <w:rsid w:val="000D6775"/>
    <w:rsid w:val="000E7E6B"/>
    <w:rsid w:val="00130ECE"/>
    <w:rsid w:val="00131FEF"/>
    <w:rsid w:val="001403C0"/>
    <w:rsid w:val="00146ED0"/>
    <w:rsid w:val="001653C6"/>
    <w:rsid w:val="00175359"/>
    <w:rsid w:val="00183BF0"/>
    <w:rsid w:val="00190982"/>
    <w:rsid w:val="001A01C6"/>
    <w:rsid w:val="001A0A47"/>
    <w:rsid w:val="001A56A5"/>
    <w:rsid w:val="001D10FF"/>
    <w:rsid w:val="001E09E5"/>
    <w:rsid w:val="001F7576"/>
    <w:rsid w:val="00216EFF"/>
    <w:rsid w:val="0026394D"/>
    <w:rsid w:val="002679CA"/>
    <w:rsid w:val="0027518C"/>
    <w:rsid w:val="002805A3"/>
    <w:rsid w:val="00283CA2"/>
    <w:rsid w:val="002936C9"/>
    <w:rsid w:val="00295FBE"/>
    <w:rsid w:val="002B2423"/>
    <w:rsid w:val="002B3094"/>
    <w:rsid w:val="002C1196"/>
    <w:rsid w:val="002D0D39"/>
    <w:rsid w:val="002D6E11"/>
    <w:rsid w:val="002E0A85"/>
    <w:rsid w:val="00312ED3"/>
    <w:rsid w:val="0032757F"/>
    <w:rsid w:val="00327E7C"/>
    <w:rsid w:val="003429DE"/>
    <w:rsid w:val="00365DDB"/>
    <w:rsid w:val="003C4AE7"/>
    <w:rsid w:val="003D263A"/>
    <w:rsid w:val="003D5CE2"/>
    <w:rsid w:val="003F123B"/>
    <w:rsid w:val="003F15DA"/>
    <w:rsid w:val="00404BEB"/>
    <w:rsid w:val="004148C0"/>
    <w:rsid w:val="004163D9"/>
    <w:rsid w:val="004163F2"/>
    <w:rsid w:val="0041707E"/>
    <w:rsid w:val="0041715F"/>
    <w:rsid w:val="00431628"/>
    <w:rsid w:val="00456123"/>
    <w:rsid w:val="0048705D"/>
    <w:rsid w:val="004906DE"/>
    <w:rsid w:val="004A1ED2"/>
    <w:rsid w:val="004C05D2"/>
    <w:rsid w:val="004C4904"/>
    <w:rsid w:val="00504233"/>
    <w:rsid w:val="00507B98"/>
    <w:rsid w:val="00521366"/>
    <w:rsid w:val="0053021A"/>
    <w:rsid w:val="00533FC8"/>
    <w:rsid w:val="00534EEB"/>
    <w:rsid w:val="00544E2A"/>
    <w:rsid w:val="00555E8E"/>
    <w:rsid w:val="00562DE4"/>
    <w:rsid w:val="00563BA8"/>
    <w:rsid w:val="00582148"/>
    <w:rsid w:val="005900E0"/>
    <w:rsid w:val="005A0CDB"/>
    <w:rsid w:val="005A24DE"/>
    <w:rsid w:val="005B1F74"/>
    <w:rsid w:val="005B7753"/>
    <w:rsid w:val="005C5253"/>
    <w:rsid w:val="005C5F0F"/>
    <w:rsid w:val="005D1D51"/>
    <w:rsid w:val="005E24B5"/>
    <w:rsid w:val="005E6B35"/>
    <w:rsid w:val="005F3475"/>
    <w:rsid w:val="005F5E3A"/>
    <w:rsid w:val="00620117"/>
    <w:rsid w:val="00625FD3"/>
    <w:rsid w:val="00634370"/>
    <w:rsid w:val="006423BF"/>
    <w:rsid w:val="00645F47"/>
    <w:rsid w:val="00653512"/>
    <w:rsid w:val="00657FA0"/>
    <w:rsid w:val="006628C9"/>
    <w:rsid w:val="00665BDF"/>
    <w:rsid w:val="00666096"/>
    <w:rsid w:val="00666EA9"/>
    <w:rsid w:val="00672CFF"/>
    <w:rsid w:val="00680A10"/>
    <w:rsid w:val="00682847"/>
    <w:rsid w:val="00685374"/>
    <w:rsid w:val="00692EEB"/>
    <w:rsid w:val="006C3732"/>
    <w:rsid w:val="007142C0"/>
    <w:rsid w:val="007312C4"/>
    <w:rsid w:val="00733AFB"/>
    <w:rsid w:val="0073763B"/>
    <w:rsid w:val="00750FAC"/>
    <w:rsid w:val="00757F24"/>
    <w:rsid w:val="007919E5"/>
    <w:rsid w:val="00797ECA"/>
    <w:rsid w:val="007A4A24"/>
    <w:rsid w:val="007B1D3A"/>
    <w:rsid w:val="007D3F2A"/>
    <w:rsid w:val="007E41B4"/>
    <w:rsid w:val="007F3EB1"/>
    <w:rsid w:val="007F4E15"/>
    <w:rsid w:val="008063B2"/>
    <w:rsid w:val="00832205"/>
    <w:rsid w:val="00842F2E"/>
    <w:rsid w:val="0086792D"/>
    <w:rsid w:val="0088560F"/>
    <w:rsid w:val="00892CF5"/>
    <w:rsid w:val="00893536"/>
    <w:rsid w:val="008B402B"/>
    <w:rsid w:val="008E14DA"/>
    <w:rsid w:val="008E4AEA"/>
    <w:rsid w:val="008E78EE"/>
    <w:rsid w:val="008E7A76"/>
    <w:rsid w:val="008F0E1F"/>
    <w:rsid w:val="00902FBF"/>
    <w:rsid w:val="009105AB"/>
    <w:rsid w:val="009157B0"/>
    <w:rsid w:val="0091748B"/>
    <w:rsid w:val="00921BC6"/>
    <w:rsid w:val="00922AA3"/>
    <w:rsid w:val="00936743"/>
    <w:rsid w:val="009436BB"/>
    <w:rsid w:val="00943750"/>
    <w:rsid w:val="00946962"/>
    <w:rsid w:val="00947A42"/>
    <w:rsid w:val="009547B1"/>
    <w:rsid w:val="0096661F"/>
    <w:rsid w:val="00980EEE"/>
    <w:rsid w:val="009815FA"/>
    <w:rsid w:val="00985B12"/>
    <w:rsid w:val="009B0F23"/>
    <w:rsid w:val="009C1F9C"/>
    <w:rsid w:val="009E1996"/>
    <w:rsid w:val="009E45CF"/>
    <w:rsid w:val="009E5D2A"/>
    <w:rsid w:val="009E7545"/>
    <w:rsid w:val="009F1212"/>
    <w:rsid w:val="00A02602"/>
    <w:rsid w:val="00A33A63"/>
    <w:rsid w:val="00A36499"/>
    <w:rsid w:val="00A56BBB"/>
    <w:rsid w:val="00A72E28"/>
    <w:rsid w:val="00A76A74"/>
    <w:rsid w:val="00A85956"/>
    <w:rsid w:val="00AE7651"/>
    <w:rsid w:val="00B012BA"/>
    <w:rsid w:val="00B12B5E"/>
    <w:rsid w:val="00B449E3"/>
    <w:rsid w:val="00B473C2"/>
    <w:rsid w:val="00B56594"/>
    <w:rsid w:val="00B61734"/>
    <w:rsid w:val="00B61F24"/>
    <w:rsid w:val="00B62432"/>
    <w:rsid w:val="00B85231"/>
    <w:rsid w:val="00BD36BA"/>
    <w:rsid w:val="00BE3711"/>
    <w:rsid w:val="00BE6B01"/>
    <w:rsid w:val="00C62437"/>
    <w:rsid w:val="00C76077"/>
    <w:rsid w:val="00C80A52"/>
    <w:rsid w:val="00C86D19"/>
    <w:rsid w:val="00CA1854"/>
    <w:rsid w:val="00CA7ACC"/>
    <w:rsid w:val="00CB0D81"/>
    <w:rsid w:val="00CC22A9"/>
    <w:rsid w:val="00CD571B"/>
    <w:rsid w:val="00CE7282"/>
    <w:rsid w:val="00CF1983"/>
    <w:rsid w:val="00D05DF7"/>
    <w:rsid w:val="00D14213"/>
    <w:rsid w:val="00D3128D"/>
    <w:rsid w:val="00D31A9F"/>
    <w:rsid w:val="00D46408"/>
    <w:rsid w:val="00D656CF"/>
    <w:rsid w:val="00D658CA"/>
    <w:rsid w:val="00D66794"/>
    <w:rsid w:val="00D857CA"/>
    <w:rsid w:val="00DB1D7A"/>
    <w:rsid w:val="00DC1CD3"/>
    <w:rsid w:val="00DE2DF0"/>
    <w:rsid w:val="00DF738C"/>
    <w:rsid w:val="00E36732"/>
    <w:rsid w:val="00E40844"/>
    <w:rsid w:val="00E766B8"/>
    <w:rsid w:val="00E85410"/>
    <w:rsid w:val="00E93C77"/>
    <w:rsid w:val="00EA3A0E"/>
    <w:rsid w:val="00EE14C9"/>
    <w:rsid w:val="00EE4DD4"/>
    <w:rsid w:val="00EF1860"/>
    <w:rsid w:val="00EF2491"/>
    <w:rsid w:val="00EF25EA"/>
    <w:rsid w:val="00EF2C18"/>
    <w:rsid w:val="00F014A3"/>
    <w:rsid w:val="00F13EDB"/>
    <w:rsid w:val="00F21345"/>
    <w:rsid w:val="00F54530"/>
    <w:rsid w:val="00F6291F"/>
    <w:rsid w:val="00F81F91"/>
    <w:rsid w:val="00FA598B"/>
    <w:rsid w:val="00FA6365"/>
    <w:rsid w:val="00FA7A19"/>
    <w:rsid w:val="00FB5E02"/>
    <w:rsid w:val="00FC4110"/>
    <w:rsid w:val="00FD434C"/>
    <w:rsid w:val="00FD5F36"/>
    <w:rsid w:val="00FE46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paragraph" w:styleId="NormalWeb">
    <w:name w:val="Normal (Web)"/>
    <w:basedOn w:val="Normal"/>
    <w:uiPriority w:val="99"/>
    <w:semiHidden/>
    <w:unhideWhenUsed/>
    <w:rsid w:val="007142C0"/>
    <w:pPr>
      <w:spacing w:before="100" w:beforeAutospacing="1" w:after="100" w:afterAutospacing="1"/>
    </w:pPr>
    <w:rPr>
      <w:rFonts w:ascii="Times New Roman" w:eastAsia="Times New Roman" w:hAnsi="Times New Roman" w:cs="Times New Roman"/>
      <w:kern w:val="0"/>
      <w:lang w:eastAsia="pt-BR"/>
      <w14:ligatures w14:val="none"/>
    </w:rPr>
  </w:style>
  <w:style w:type="character" w:styleId="nfase">
    <w:name w:val="Emphasis"/>
    <w:basedOn w:val="Fontepargpadro"/>
    <w:uiPriority w:val="20"/>
    <w:qFormat/>
    <w:rsid w:val="00946962"/>
    <w:rPr>
      <w:i/>
      <w:iCs/>
    </w:rPr>
  </w:style>
  <w:style w:type="character" w:styleId="Refdecomentrio">
    <w:name w:val="annotation reference"/>
    <w:basedOn w:val="Fontepargpadro"/>
    <w:uiPriority w:val="99"/>
    <w:semiHidden/>
    <w:unhideWhenUsed/>
    <w:rsid w:val="00797ECA"/>
    <w:rPr>
      <w:sz w:val="16"/>
      <w:szCs w:val="16"/>
    </w:rPr>
  </w:style>
  <w:style w:type="paragraph" w:styleId="Textodecomentrio">
    <w:name w:val="annotation text"/>
    <w:basedOn w:val="Normal"/>
    <w:link w:val="TextodecomentrioChar"/>
    <w:uiPriority w:val="99"/>
    <w:unhideWhenUsed/>
    <w:rsid w:val="00797ECA"/>
    <w:rPr>
      <w:sz w:val="20"/>
      <w:szCs w:val="20"/>
    </w:rPr>
  </w:style>
  <w:style w:type="character" w:customStyle="1" w:styleId="TextodecomentrioChar">
    <w:name w:val="Texto de comentário Char"/>
    <w:basedOn w:val="Fontepargpadro"/>
    <w:link w:val="Textodecomentrio"/>
    <w:uiPriority w:val="99"/>
    <w:rsid w:val="00797ECA"/>
    <w:rPr>
      <w:sz w:val="20"/>
      <w:szCs w:val="20"/>
    </w:rPr>
  </w:style>
  <w:style w:type="paragraph" w:styleId="Assuntodocomentrio">
    <w:name w:val="annotation subject"/>
    <w:basedOn w:val="Textodecomentrio"/>
    <w:next w:val="Textodecomentrio"/>
    <w:link w:val="AssuntodocomentrioChar"/>
    <w:uiPriority w:val="99"/>
    <w:semiHidden/>
    <w:unhideWhenUsed/>
    <w:rsid w:val="00797ECA"/>
    <w:rPr>
      <w:b/>
      <w:bCs/>
    </w:rPr>
  </w:style>
  <w:style w:type="character" w:customStyle="1" w:styleId="AssuntodocomentrioChar">
    <w:name w:val="Assunto do comentário Char"/>
    <w:basedOn w:val="TextodecomentrioChar"/>
    <w:link w:val="Assuntodocomentrio"/>
    <w:uiPriority w:val="99"/>
    <w:semiHidden/>
    <w:rsid w:val="00797ECA"/>
    <w:rPr>
      <w:b/>
      <w:bCs/>
      <w:sz w:val="20"/>
      <w:szCs w:val="20"/>
    </w:rPr>
  </w:style>
  <w:style w:type="character" w:styleId="Hyperlink">
    <w:name w:val="Hyperlink"/>
    <w:basedOn w:val="Fontepargpadro"/>
    <w:uiPriority w:val="99"/>
    <w:unhideWhenUsed/>
    <w:rsid w:val="005E24B5"/>
    <w:rPr>
      <w:color w:val="467886" w:themeColor="hyperlink"/>
      <w:u w:val="single"/>
    </w:rPr>
  </w:style>
  <w:style w:type="character" w:customStyle="1" w:styleId="UnresolvedMention">
    <w:name w:val="Unresolved Mention"/>
    <w:basedOn w:val="Fontepargpadro"/>
    <w:uiPriority w:val="99"/>
    <w:semiHidden/>
    <w:unhideWhenUsed/>
    <w:rsid w:val="005E24B5"/>
    <w:rPr>
      <w:color w:val="605E5C"/>
      <w:shd w:val="clear" w:color="auto" w:fill="E1DFDD"/>
    </w:rPr>
  </w:style>
  <w:style w:type="paragraph" w:styleId="Textodebalo">
    <w:name w:val="Balloon Text"/>
    <w:basedOn w:val="Normal"/>
    <w:link w:val="TextodebaloChar"/>
    <w:uiPriority w:val="99"/>
    <w:semiHidden/>
    <w:unhideWhenUsed/>
    <w:rsid w:val="00563BA8"/>
    <w:rPr>
      <w:rFonts w:ascii="Segoe UI" w:hAnsi="Segoe UI" w:cs="Segoe UI"/>
      <w:sz w:val="18"/>
      <w:szCs w:val="18"/>
    </w:rPr>
  </w:style>
  <w:style w:type="character" w:customStyle="1" w:styleId="TextodebaloChar">
    <w:name w:val="Texto de balão Char"/>
    <w:basedOn w:val="Fontepargpadro"/>
    <w:link w:val="Textodebalo"/>
    <w:uiPriority w:val="99"/>
    <w:semiHidden/>
    <w:rsid w:val="00563BA8"/>
    <w:rPr>
      <w:rFonts w:ascii="Segoe UI" w:hAnsi="Segoe UI" w:cs="Segoe UI"/>
      <w:sz w:val="18"/>
      <w:szCs w:val="18"/>
    </w:rPr>
  </w:style>
  <w:style w:type="character" w:styleId="HiperlinkVisitado">
    <w:name w:val="FollowedHyperlink"/>
    <w:basedOn w:val="Fontepargpadro"/>
    <w:uiPriority w:val="99"/>
    <w:semiHidden/>
    <w:unhideWhenUsed/>
    <w:rsid w:val="00534EE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32612">
      <w:bodyDiv w:val="1"/>
      <w:marLeft w:val="0"/>
      <w:marRight w:val="0"/>
      <w:marTop w:val="0"/>
      <w:marBottom w:val="0"/>
      <w:divBdr>
        <w:top w:val="none" w:sz="0" w:space="0" w:color="auto"/>
        <w:left w:val="none" w:sz="0" w:space="0" w:color="auto"/>
        <w:bottom w:val="none" w:sz="0" w:space="0" w:color="auto"/>
        <w:right w:val="none" w:sz="0" w:space="0" w:color="auto"/>
      </w:divBdr>
    </w:div>
    <w:div w:id="190455497">
      <w:bodyDiv w:val="1"/>
      <w:marLeft w:val="0"/>
      <w:marRight w:val="0"/>
      <w:marTop w:val="0"/>
      <w:marBottom w:val="0"/>
      <w:divBdr>
        <w:top w:val="none" w:sz="0" w:space="0" w:color="auto"/>
        <w:left w:val="none" w:sz="0" w:space="0" w:color="auto"/>
        <w:bottom w:val="none" w:sz="0" w:space="0" w:color="auto"/>
        <w:right w:val="none" w:sz="0" w:space="0" w:color="auto"/>
      </w:divBdr>
    </w:div>
    <w:div w:id="197279087">
      <w:bodyDiv w:val="1"/>
      <w:marLeft w:val="0"/>
      <w:marRight w:val="0"/>
      <w:marTop w:val="0"/>
      <w:marBottom w:val="0"/>
      <w:divBdr>
        <w:top w:val="none" w:sz="0" w:space="0" w:color="auto"/>
        <w:left w:val="none" w:sz="0" w:space="0" w:color="auto"/>
        <w:bottom w:val="none" w:sz="0" w:space="0" w:color="auto"/>
        <w:right w:val="none" w:sz="0" w:space="0" w:color="auto"/>
      </w:divBdr>
    </w:div>
    <w:div w:id="209877741">
      <w:bodyDiv w:val="1"/>
      <w:marLeft w:val="0"/>
      <w:marRight w:val="0"/>
      <w:marTop w:val="0"/>
      <w:marBottom w:val="0"/>
      <w:divBdr>
        <w:top w:val="none" w:sz="0" w:space="0" w:color="auto"/>
        <w:left w:val="none" w:sz="0" w:space="0" w:color="auto"/>
        <w:bottom w:val="none" w:sz="0" w:space="0" w:color="auto"/>
        <w:right w:val="none" w:sz="0" w:space="0" w:color="auto"/>
      </w:divBdr>
    </w:div>
    <w:div w:id="474225365">
      <w:bodyDiv w:val="1"/>
      <w:marLeft w:val="0"/>
      <w:marRight w:val="0"/>
      <w:marTop w:val="0"/>
      <w:marBottom w:val="0"/>
      <w:divBdr>
        <w:top w:val="none" w:sz="0" w:space="0" w:color="auto"/>
        <w:left w:val="none" w:sz="0" w:space="0" w:color="auto"/>
        <w:bottom w:val="none" w:sz="0" w:space="0" w:color="auto"/>
        <w:right w:val="none" w:sz="0" w:space="0" w:color="auto"/>
      </w:divBdr>
    </w:div>
    <w:div w:id="590823261">
      <w:bodyDiv w:val="1"/>
      <w:marLeft w:val="0"/>
      <w:marRight w:val="0"/>
      <w:marTop w:val="0"/>
      <w:marBottom w:val="0"/>
      <w:divBdr>
        <w:top w:val="none" w:sz="0" w:space="0" w:color="auto"/>
        <w:left w:val="none" w:sz="0" w:space="0" w:color="auto"/>
        <w:bottom w:val="none" w:sz="0" w:space="0" w:color="auto"/>
        <w:right w:val="none" w:sz="0" w:space="0" w:color="auto"/>
      </w:divBdr>
    </w:div>
    <w:div w:id="605309120">
      <w:bodyDiv w:val="1"/>
      <w:marLeft w:val="0"/>
      <w:marRight w:val="0"/>
      <w:marTop w:val="0"/>
      <w:marBottom w:val="0"/>
      <w:divBdr>
        <w:top w:val="none" w:sz="0" w:space="0" w:color="auto"/>
        <w:left w:val="none" w:sz="0" w:space="0" w:color="auto"/>
        <w:bottom w:val="none" w:sz="0" w:space="0" w:color="auto"/>
        <w:right w:val="none" w:sz="0" w:space="0" w:color="auto"/>
      </w:divBdr>
    </w:div>
    <w:div w:id="657075141">
      <w:bodyDiv w:val="1"/>
      <w:marLeft w:val="0"/>
      <w:marRight w:val="0"/>
      <w:marTop w:val="0"/>
      <w:marBottom w:val="0"/>
      <w:divBdr>
        <w:top w:val="none" w:sz="0" w:space="0" w:color="auto"/>
        <w:left w:val="none" w:sz="0" w:space="0" w:color="auto"/>
        <w:bottom w:val="none" w:sz="0" w:space="0" w:color="auto"/>
        <w:right w:val="none" w:sz="0" w:space="0" w:color="auto"/>
      </w:divBdr>
    </w:div>
    <w:div w:id="658923830">
      <w:bodyDiv w:val="1"/>
      <w:marLeft w:val="0"/>
      <w:marRight w:val="0"/>
      <w:marTop w:val="0"/>
      <w:marBottom w:val="0"/>
      <w:divBdr>
        <w:top w:val="none" w:sz="0" w:space="0" w:color="auto"/>
        <w:left w:val="none" w:sz="0" w:space="0" w:color="auto"/>
        <w:bottom w:val="none" w:sz="0" w:space="0" w:color="auto"/>
        <w:right w:val="none" w:sz="0" w:space="0" w:color="auto"/>
      </w:divBdr>
    </w:div>
    <w:div w:id="678195884">
      <w:bodyDiv w:val="1"/>
      <w:marLeft w:val="0"/>
      <w:marRight w:val="0"/>
      <w:marTop w:val="0"/>
      <w:marBottom w:val="0"/>
      <w:divBdr>
        <w:top w:val="none" w:sz="0" w:space="0" w:color="auto"/>
        <w:left w:val="none" w:sz="0" w:space="0" w:color="auto"/>
        <w:bottom w:val="none" w:sz="0" w:space="0" w:color="auto"/>
        <w:right w:val="none" w:sz="0" w:space="0" w:color="auto"/>
      </w:divBdr>
    </w:div>
    <w:div w:id="746346164">
      <w:bodyDiv w:val="1"/>
      <w:marLeft w:val="0"/>
      <w:marRight w:val="0"/>
      <w:marTop w:val="0"/>
      <w:marBottom w:val="0"/>
      <w:divBdr>
        <w:top w:val="none" w:sz="0" w:space="0" w:color="auto"/>
        <w:left w:val="none" w:sz="0" w:space="0" w:color="auto"/>
        <w:bottom w:val="none" w:sz="0" w:space="0" w:color="auto"/>
        <w:right w:val="none" w:sz="0" w:space="0" w:color="auto"/>
      </w:divBdr>
    </w:div>
    <w:div w:id="798836191">
      <w:bodyDiv w:val="1"/>
      <w:marLeft w:val="0"/>
      <w:marRight w:val="0"/>
      <w:marTop w:val="0"/>
      <w:marBottom w:val="0"/>
      <w:divBdr>
        <w:top w:val="none" w:sz="0" w:space="0" w:color="auto"/>
        <w:left w:val="none" w:sz="0" w:space="0" w:color="auto"/>
        <w:bottom w:val="none" w:sz="0" w:space="0" w:color="auto"/>
        <w:right w:val="none" w:sz="0" w:space="0" w:color="auto"/>
      </w:divBdr>
      <w:divsChild>
        <w:div w:id="306782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8174771">
      <w:bodyDiv w:val="1"/>
      <w:marLeft w:val="0"/>
      <w:marRight w:val="0"/>
      <w:marTop w:val="0"/>
      <w:marBottom w:val="0"/>
      <w:divBdr>
        <w:top w:val="none" w:sz="0" w:space="0" w:color="auto"/>
        <w:left w:val="none" w:sz="0" w:space="0" w:color="auto"/>
        <w:bottom w:val="none" w:sz="0" w:space="0" w:color="auto"/>
        <w:right w:val="none" w:sz="0" w:space="0" w:color="auto"/>
      </w:divBdr>
    </w:div>
    <w:div w:id="1041903840">
      <w:bodyDiv w:val="1"/>
      <w:marLeft w:val="0"/>
      <w:marRight w:val="0"/>
      <w:marTop w:val="0"/>
      <w:marBottom w:val="0"/>
      <w:divBdr>
        <w:top w:val="none" w:sz="0" w:space="0" w:color="auto"/>
        <w:left w:val="none" w:sz="0" w:space="0" w:color="auto"/>
        <w:bottom w:val="none" w:sz="0" w:space="0" w:color="auto"/>
        <w:right w:val="none" w:sz="0" w:space="0" w:color="auto"/>
      </w:divBdr>
    </w:div>
    <w:div w:id="1196308227">
      <w:bodyDiv w:val="1"/>
      <w:marLeft w:val="0"/>
      <w:marRight w:val="0"/>
      <w:marTop w:val="0"/>
      <w:marBottom w:val="0"/>
      <w:divBdr>
        <w:top w:val="none" w:sz="0" w:space="0" w:color="auto"/>
        <w:left w:val="none" w:sz="0" w:space="0" w:color="auto"/>
        <w:bottom w:val="none" w:sz="0" w:space="0" w:color="auto"/>
        <w:right w:val="none" w:sz="0" w:space="0" w:color="auto"/>
      </w:divBdr>
    </w:div>
    <w:div w:id="1417820205">
      <w:bodyDiv w:val="1"/>
      <w:marLeft w:val="0"/>
      <w:marRight w:val="0"/>
      <w:marTop w:val="0"/>
      <w:marBottom w:val="0"/>
      <w:divBdr>
        <w:top w:val="none" w:sz="0" w:space="0" w:color="auto"/>
        <w:left w:val="none" w:sz="0" w:space="0" w:color="auto"/>
        <w:bottom w:val="none" w:sz="0" w:space="0" w:color="auto"/>
        <w:right w:val="none" w:sz="0" w:space="0" w:color="auto"/>
      </w:divBdr>
    </w:div>
    <w:div w:id="1451392047">
      <w:bodyDiv w:val="1"/>
      <w:marLeft w:val="0"/>
      <w:marRight w:val="0"/>
      <w:marTop w:val="0"/>
      <w:marBottom w:val="0"/>
      <w:divBdr>
        <w:top w:val="none" w:sz="0" w:space="0" w:color="auto"/>
        <w:left w:val="none" w:sz="0" w:space="0" w:color="auto"/>
        <w:bottom w:val="none" w:sz="0" w:space="0" w:color="auto"/>
        <w:right w:val="none" w:sz="0" w:space="0" w:color="auto"/>
      </w:divBdr>
    </w:div>
    <w:div w:id="1453867591">
      <w:bodyDiv w:val="1"/>
      <w:marLeft w:val="0"/>
      <w:marRight w:val="0"/>
      <w:marTop w:val="0"/>
      <w:marBottom w:val="0"/>
      <w:divBdr>
        <w:top w:val="none" w:sz="0" w:space="0" w:color="auto"/>
        <w:left w:val="none" w:sz="0" w:space="0" w:color="auto"/>
        <w:bottom w:val="none" w:sz="0" w:space="0" w:color="auto"/>
        <w:right w:val="none" w:sz="0" w:space="0" w:color="auto"/>
      </w:divBdr>
    </w:div>
    <w:div w:id="1662926889">
      <w:bodyDiv w:val="1"/>
      <w:marLeft w:val="0"/>
      <w:marRight w:val="0"/>
      <w:marTop w:val="0"/>
      <w:marBottom w:val="0"/>
      <w:divBdr>
        <w:top w:val="none" w:sz="0" w:space="0" w:color="auto"/>
        <w:left w:val="none" w:sz="0" w:space="0" w:color="auto"/>
        <w:bottom w:val="none" w:sz="0" w:space="0" w:color="auto"/>
        <w:right w:val="none" w:sz="0" w:space="0" w:color="auto"/>
      </w:divBdr>
    </w:div>
    <w:div w:id="1719082891">
      <w:bodyDiv w:val="1"/>
      <w:marLeft w:val="0"/>
      <w:marRight w:val="0"/>
      <w:marTop w:val="0"/>
      <w:marBottom w:val="0"/>
      <w:divBdr>
        <w:top w:val="none" w:sz="0" w:space="0" w:color="auto"/>
        <w:left w:val="none" w:sz="0" w:space="0" w:color="auto"/>
        <w:bottom w:val="none" w:sz="0" w:space="0" w:color="auto"/>
        <w:right w:val="none" w:sz="0" w:space="0" w:color="auto"/>
      </w:divBdr>
    </w:div>
    <w:div w:id="1771853932">
      <w:bodyDiv w:val="1"/>
      <w:marLeft w:val="0"/>
      <w:marRight w:val="0"/>
      <w:marTop w:val="0"/>
      <w:marBottom w:val="0"/>
      <w:divBdr>
        <w:top w:val="none" w:sz="0" w:space="0" w:color="auto"/>
        <w:left w:val="none" w:sz="0" w:space="0" w:color="auto"/>
        <w:bottom w:val="none" w:sz="0" w:space="0" w:color="auto"/>
        <w:right w:val="none" w:sz="0" w:space="0" w:color="auto"/>
      </w:divBdr>
    </w:div>
    <w:div w:id="1955400419">
      <w:bodyDiv w:val="1"/>
      <w:marLeft w:val="0"/>
      <w:marRight w:val="0"/>
      <w:marTop w:val="0"/>
      <w:marBottom w:val="0"/>
      <w:divBdr>
        <w:top w:val="none" w:sz="0" w:space="0" w:color="auto"/>
        <w:left w:val="none" w:sz="0" w:space="0" w:color="auto"/>
        <w:bottom w:val="none" w:sz="0" w:space="0" w:color="auto"/>
        <w:right w:val="none" w:sz="0" w:space="0" w:color="auto"/>
      </w:divBdr>
    </w:div>
    <w:div w:id="211978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mailto:mmedeiros.ufpa.ineaf@g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A90E3-23D3-4FE2-9F66-575C5588E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15</Pages>
  <Words>4597</Words>
  <Characters>24829</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29368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Samsung</cp:lastModifiedBy>
  <cp:revision>49</cp:revision>
  <dcterms:created xsi:type="dcterms:W3CDTF">2025-05-12T19:55:00Z</dcterms:created>
  <dcterms:modified xsi:type="dcterms:W3CDTF">2025-05-13T01:57:00Z</dcterms:modified>
</cp:coreProperties>
</file>