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-1066164</wp:posOffset>
            </wp:positionH>
            <wp:positionV relativeFrom="paragraph">
              <wp:posOffset>-753707</wp:posOffset>
            </wp:positionV>
            <wp:extent cx="7530353" cy="1035685"/>
            <wp:effectExtent b="0" l="0" r="0" t="0"/>
            <wp:wrapNone/>
            <wp:docPr id="2" name="image1.jpg"/>
            <a:graphic>
              <a:graphicData uri="http://schemas.openxmlformats.org/drawingml/2006/picture">
                <pic:pic>
                  <pic:nvPicPr>
                    <pic:cNvPr id="0" name="image1.jpg"/>
                    <pic:cNvPicPr preferRelativeResize="0"/>
                  </pic:nvPicPr>
                  <pic:blipFill>
                    <a:blip r:embed="rId6"/>
                    <a:srcRect b="28376" l="0" r="0" t="28901"/>
                    <a:stretch>
                      <a:fillRect/>
                    </a:stretch>
                  </pic:blipFill>
                  <pic:spPr>
                    <a:xfrm>
                      <a:off x="0" y="0"/>
                      <a:ext cx="7530353" cy="1035685"/>
                    </a:xfrm>
                    <a:prstGeom prst="rect"/>
                    <a:ln/>
                  </pic:spPr>
                </pic:pic>
              </a:graphicData>
            </a:graphic>
          </wp:anchor>
        </w:drawing>
      </w:r>
    </w:p>
    <w:p w:rsidR="00000000" w:rsidDel="00000000" w:rsidP="00000000" w:rsidRDefault="00000000" w:rsidRPr="00000000" w14:paraId="00000002">
      <w:pPr>
        <w:jc w:val="both"/>
        <w:rPr>
          <w:color w:val="ff0000"/>
        </w:rPr>
      </w:pPr>
      <w:r w:rsidDel="00000000" w:rsidR="00000000" w:rsidRPr="00000000">
        <w:rPr>
          <w:rtl w:val="0"/>
        </w:rPr>
      </w:r>
    </w:p>
    <w:p w:rsidR="00000000" w:rsidDel="00000000" w:rsidP="00000000" w:rsidRDefault="00000000" w:rsidRPr="00000000" w14:paraId="00000003">
      <w:pPr>
        <w:ind w:right="-42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OBTAINING AND CHARACTERIZATION OF β-CYCLODEXTRIN INCLUSION COMPLEXES WITH BROWN PROPOLIS EXTRACT.</w:t>
      </w:r>
    </w:p>
    <w:p w:rsidR="00000000" w:rsidDel="00000000" w:rsidP="00000000" w:rsidRDefault="00000000" w:rsidRPr="00000000" w14:paraId="00000004">
      <w:pPr>
        <w:spacing w:after="120" w:lineRule="auto"/>
        <w:ind w:right="-427"/>
        <w:jc w:val="both"/>
        <w:rPr>
          <w:rFonts w:ascii="Arial" w:cs="Arial" w:eastAsia="Arial" w:hAnsi="Arial"/>
          <w:b w:val="1"/>
          <w:sz w:val="20"/>
          <w:szCs w:val="20"/>
          <w:vertAlign w:val="superscript"/>
        </w:rPr>
      </w:pPr>
      <w:r w:rsidDel="00000000" w:rsidR="00000000" w:rsidRPr="00000000">
        <w:rPr>
          <w:rFonts w:ascii="Arial" w:cs="Arial" w:eastAsia="Arial" w:hAnsi="Arial"/>
          <w:b w:val="1"/>
          <w:sz w:val="20"/>
          <w:szCs w:val="20"/>
          <w:u w:val="single"/>
          <w:rtl w:val="0"/>
        </w:rPr>
        <w:t xml:space="preserve">Jeniffer Mclaine Duarte de Freitas</w:t>
      </w:r>
      <w:r w:rsidDel="00000000" w:rsidR="00000000" w:rsidRPr="00000000">
        <w:rPr>
          <w:rFonts w:ascii="Arial" w:cs="Arial" w:eastAsia="Arial" w:hAnsi="Arial"/>
          <w:b w:val="1"/>
          <w:color w:val="000000"/>
          <w:sz w:val="20"/>
          <w:szCs w:val="20"/>
          <w:rtl w:val="0"/>
        </w:rPr>
        <w:t xml:space="preserve"> (PG),</w:t>
      </w:r>
      <w:r w:rsidDel="00000000" w:rsidR="00000000" w:rsidRPr="00000000">
        <w:rPr>
          <w:rFonts w:ascii="Arial" w:cs="Arial" w:eastAsia="Arial" w:hAnsi="Arial"/>
          <w:b w:val="1"/>
          <w:color w:val="000000"/>
          <w:sz w:val="20"/>
          <w:szCs w:val="20"/>
          <w:vertAlign w:val="superscript"/>
          <w:rtl w:val="0"/>
        </w:rPr>
        <w:t xml:space="preserve">1*</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Álvaro Santos de Lima (G),</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color w:val="000000"/>
          <w:sz w:val="20"/>
          <w:szCs w:val="20"/>
          <w:rtl w:val="0"/>
        </w:rPr>
        <w:t xml:space="preserve">Arthur Luy Tavares Ferre</w:t>
      </w:r>
      <w:r w:rsidDel="00000000" w:rsidR="00000000" w:rsidRPr="00000000">
        <w:rPr>
          <w:rFonts w:ascii="Arial" w:cs="Arial" w:eastAsia="Arial" w:hAnsi="Arial"/>
          <w:b w:val="1"/>
          <w:sz w:val="20"/>
          <w:szCs w:val="20"/>
          <w:rtl w:val="0"/>
        </w:rPr>
        <w:t xml:space="preserve">ira Borges </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sz w:val="20"/>
          <w:szCs w:val="20"/>
          <w:rtl w:val="0"/>
        </w:rPr>
        <w:t xml:space="preserve">PG</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color w:val="000000"/>
          <w:sz w:val="20"/>
          <w:szCs w:val="20"/>
          <w:vertAlign w:val="superscript"/>
          <w:rtl w:val="0"/>
        </w:rPr>
        <w:t xml:space="preserve"> </w:t>
      </w:r>
      <w:r w:rsidDel="00000000" w:rsidR="00000000" w:rsidRPr="00000000">
        <w:rPr>
          <w:rFonts w:ascii="Arial" w:cs="Arial" w:eastAsia="Arial" w:hAnsi="Arial"/>
          <w:b w:val="1"/>
          <w:sz w:val="20"/>
          <w:szCs w:val="20"/>
          <w:rtl w:val="0"/>
        </w:rPr>
        <w:t xml:space="preserve">Orlando Francisco da Silva Moura </w:t>
      </w:r>
      <w:r w:rsidDel="00000000" w:rsidR="00000000" w:rsidRPr="00000000">
        <w:rPr>
          <w:rFonts w:ascii="Arial" w:cs="Arial" w:eastAsia="Arial" w:hAnsi="Arial"/>
          <w:b w:val="1"/>
          <w:color w:val="000000"/>
          <w:sz w:val="20"/>
          <w:szCs w:val="20"/>
          <w:rtl w:val="0"/>
        </w:rPr>
        <w:t xml:space="preserve">(G),</w:t>
      </w:r>
      <w:r w:rsidDel="00000000" w:rsidR="00000000" w:rsidRPr="00000000">
        <w:rPr>
          <w:rFonts w:ascii="Arial" w:cs="Arial" w:eastAsia="Arial" w:hAnsi="Arial"/>
          <w:b w:val="1"/>
          <w:color w:val="000000"/>
          <w:sz w:val="20"/>
          <w:szCs w:val="20"/>
          <w:vertAlign w:val="superscript"/>
          <w:rtl w:val="0"/>
        </w:rPr>
        <w:t xml:space="preserve">2 </w:t>
      </w:r>
      <w:r w:rsidDel="00000000" w:rsidR="00000000" w:rsidRPr="00000000">
        <w:rPr>
          <w:rFonts w:ascii="Arial" w:cs="Arial" w:eastAsia="Arial" w:hAnsi="Arial"/>
          <w:b w:val="1"/>
          <w:sz w:val="20"/>
          <w:szCs w:val="20"/>
          <w:rtl w:val="0"/>
        </w:rPr>
        <w:t xml:space="preserve">Salvana Priscylla Manso Costa </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sz w:val="20"/>
          <w:szCs w:val="20"/>
          <w:rtl w:val="0"/>
        </w:rPr>
        <w:t xml:space="preserve">PQ</w:t>
      </w:r>
      <w:r w:rsidDel="00000000" w:rsidR="00000000" w:rsidRPr="00000000">
        <w:rPr>
          <w:rFonts w:ascii="Arial" w:cs="Arial" w:eastAsia="Arial" w:hAnsi="Arial"/>
          <w:b w:val="1"/>
          <w:color w:val="000000"/>
          <w:sz w:val="20"/>
          <w:szCs w:val="20"/>
          <w:rtl w:val="0"/>
        </w:rPr>
        <w:t xml:space="preserve">),</w:t>
      </w:r>
      <w:r w:rsidDel="00000000" w:rsidR="00000000" w:rsidRPr="00000000">
        <w:rPr>
          <w:rFonts w:ascii="Arial" w:cs="Arial" w:eastAsia="Arial" w:hAnsi="Arial"/>
          <w:b w:val="1"/>
          <w:color w:val="000000"/>
          <w:sz w:val="20"/>
          <w:szCs w:val="20"/>
          <w:vertAlign w:val="superscript"/>
          <w:rtl w:val="0"/>
        </w:rPr>
        <w:t xml:space="preserve">1</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Johnnatan Duarte de Freitas</w:t>
      </w:r>
      <w:r w:rsidDel="00000000" w:rsidR="00000000" w:rsidRPr="00000000">
        <w:rPr>
          <w:rFonts w:ascii="Arial" w:cs="Arial" w:eastAsia="Arial" w:hAnsi="Arial"/>
          <w:b w:val="1"/>
          <w:color w:val="000000"/>
          <w:sz w:val="20"/>
          <w:szCs w:val="20"/>
          <w:rtl w:val="0"/>
        </w:rPr>
        <w:t xml:space="preserve"> (Prof)</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vertAlign w:val="superscript"/>
          <w:rtl w:val="0"/>
        </w:rPr>
        <w:t xml:space="preserve">2   </w:t>
      </w:r>
      <w:r w:rsidDel="00000000" w:rsidR="00000000" w:rsidRPr="00000000">
        <w:rPr>
          <w:rFonts w:ascii="Arial" w:cs="Arial" w:eastAsia="Arial" w:hAnsi="Arial"/>
          <w:b w:val="1"/>
          <w:sz w:val="20"/>
          <w:szCs w:val="20"/>
          <w:rtl w:val="0"/>
        </w:rPr>
        <w:t xml:space="preserve">Ticiano Gomes do Nascimento (Prof),</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Fabiane Caxico de Abreu Galdino (Prof).</w:t>
      </w:r>
      <w:r w:rsidDel="00000000" w:rsidR="00000000" w:rsidRPr="00000000">
        <w:rPr>
          <w:rFonts w:ascii="Arial" w:cs="Arial" w:eastAsia="Arial" w:hAnsi="Arial"/>
          <w:b w:val="1"/>
          <w:sz w:val="20"/>
          <w:szCs w:val="20"/>
          <w:vertAlign w:val="superscript"/>
          <w:rtl w:val="0"/>
        </w:rPr>
        <w:t xml:space="preserve">1</w:t>
      </w:r>
    </w:p>
    <w:p w:rsidR="00000000" w:rsidDel="00000000" w:rsidP="00000000" w:rsidRDefault="00000000" w:rsidRPr="00000000" w14:paraId="00000005">
      <w:pPr>
        <w:spacing w:after="120" w:lineRule="auto"/>
        <w:ind w:right="-427"/>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vertAlign w:val="superscript"/>
          <w:rtl w:val="0"/>
        </w:rPr>
        <w:t xml:space="preserve"> </w:t>
      </w:r>
      <w:r w:rsidDel="00000000" w:rsidR="00000000" w:rsidRPr="00000000">
        <w:rPr>
          <w:rFonts w:ascii="Arial" w:cs="Arial" w:eastAsia="Arial" w:hAnsi="Arial"/>
          <w:b w:val="1"/>
          <w:sz w:val="20"/>
          <w:szCs w:val="20"/>
          <w:u w:val="single"/>
          <w:rtl w:val="0"/>
        </w:rPr>
        <w:t xml:space="preserve">mclaine.jeny@gmail.com</w:t>
      </w:r>
      <w:r w:rsidDel="00000000" w:rsidR="00000000" w:rsidRPr="00000000">
        <w:rPr>
          <w:rtl w:val="0"/>
        </w:rPr>
      </w:r>
    </w:p>
    <w:p w:rsidR="00000000" w:rsidDel="00000000" w:rsidP="00000000" w:rsidRDefault="00000000" w:rsidRPr="00000000" w14:paraId="00000006">
      <w:pPr>
        <w:spacing w:after="120" w:lineRule="auto"/>
        <w:ind w:right="-427"/>
        <w:jc w:val="both"/>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vertAlign w:val="superscript"/>
          <w:rtl w:val="0"/>
        </w:rPr>
        <w:t xml:space="preserve">1</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sz w:val="18"/>
          <w:szCs w:val="18"/>
          <w:rtl w:val="0"/>
        </w:rPr>
        <w:t xml:space="preserve">Universidade Federal de Alagoas- UFAL</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color w:val="000000"/>
          <w:sz w:val="18"/>
          <w:szCs w:val="18"/>
          <w:vertAlign w:val="superscript"/>
          <w:rtl w:val="0"/>
        </w:rPr>
        <w:t xml:space="preserve">2</w:t>
      </w:r>
      <w:r w:rsidDel="00000000" w:rsidR="00000000" w:rsidRPr="00000000">
        <w:rPr>
          <w:rFonts w:ascii="Arial" w:cs="Arial" w:eastAsia="Arial" w:hAnsi="Arial"/>
          <w:i w:val="1"/>
          <w:color w:val="000000"/>
          <w:sz w:val="18"/>
          <w:szCs w:val="18"/>
          <w:rtl w:val="0"/>
        </w:rPr>
        <w:t xml:space="preserve"> </w:t>
      </w:r>
      <w:r w:rsidDel="00000000" w:rsidR="00000000" w:rsidRPr="00000000">
        <w:rPr>
          <w:rFonts w:ascii="Arial" w:cs="Arial" w:eastAsia="Arial" w:hAnsi="Arial"/>
          <w:i w:val="1"/>
          <w:sz w:val="18"/>
          <w:szCs w:val="18"/>
          <w:rtl w:val="0"/>
        </w:rPr>
        <w:t xml:space="preserve">Instituto Federal de Alagoas- IFAL.</w:t>
      </w:r>
      <w:r w:rsidDel="00000000" w:rsidR="00000000" w:rsidRPr="00000000">
        <w:rPr>
          <w:rFonts w:ascii="Arial" w:cs="Arial" w:eastAsia="Arial" w:hAnsi="Arial"/>
          <w:i w:val="1"/>
          <w:color w:val="000000"/>
          <w:sz w:val="18"/>
          <w:szCs w:val="18"/>
          <w:rtl w:val="0"/>
        </w:rPr>
        <w:t xml:space="preserve"> </w:t>
      </w:r>
    </w:p>
    <w:p w:rsidR="00000000" w:rsidDel="00000000" w:rsidP="00000000" w:rsidRDefault="00000000" w:rsidRPr="00000000" w14:paraId="00000007">
      <w:pPr>
        <w:ind w:right="-427"/>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Keywords: Brown propolis; Aqueous extract; Propolis inclusion complexes; β-cyclodextrin.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1" name=""/>
                <a:graphic>
                  <a:graphicData uri="http://schemas.microsoft.com/office/word/2010/wordprocessingShape">
                    <wps:wsp>
                      <wps:cNvSpPr/>
                      <wps:cNvPr id="2" name="Shape 2"/>
                      <wps:spPr>
                        <a:xfrm>
                          <a:off x="2522790" y="3650460"/>
                          <a:ext cx="5646420" cy="259080"/>
                        </a:xfrm>
                        <a:prstGeom prst="rect">
                          <a:avLst/>
                        </a:prstGeom>
                        <a:solidFill>
                          <a:srgbClr val="D45516"/>
                        </a:solidFill>
                        <a:ln cap="flat" cmpd="sng" w="12700">
                          <a:solidFill>
                            <a:srgbClr val="D455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59120" cy="271780"/>
                        </a:xfrm>
                        <a:prstGeom prst="rect"/>
                        <a:ln/>
                      </pic:spPr>
                    </pic:pic>
                  </a:graphicData>
                </a:graphic>
              </wp:anchor>
            </w:drawing>
          </mc:Fallback>
        </mc:AlternateContent>
      </w:r>
    </w:p>
    <w:p w:rsidR="00000000" w:rsidDel="00000000" w:rsidP="00000000" w:rsidRDefault="00000000" w:rsidRPr="00000000" w14:paraId="00000008">
      <w:pPr>
        <w:jc w:val="center"/>
        <w:rPr>
          <w:rFonts w:ascii="Arial" w:cs="Arial" w:eastAsia="Arial" w:hAnsi="Arial"/>
          <w:b w:val="1"/>
          <w:color w:val="f8f8f8"/>
          <w:sz w:val="24"/>
          <w:szCs w:val="24"/>
        </w:rPr>
      </w:pPr>
      <w:r w:rsidDel="00000000" w:rsidR="00000000" w:rsidRPr="00000000">
        <w:rPr>
          <w:rFonts w:ascii="Arial" w:cs="Arial" w:eastAsia="Arial" w:hAnsi="Arial"/>
          <w:b w:val="1"/>
          <w:color w:val="f8f8f8"/>
          <w:sz w:val="24"/>
          <w:szCs w:val="24"/>
          <w:rtl w:val="0"/>
        </w:rPr>
        <w:t xml:space="preserve">ABSTRACT</w:t>
      </w:r>
    </w:p>
    <w:p w:rsidR="00000000" w:rsidDel="00000000" w:rsidP="00000000" w:rsidRDefault="00000000" w:rsidRPr="00000000" w14:paraId="00000009">
      <w:pPr>
        <w:ind w:right="-42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Propolis is a viscous resinous material produced by bees that collect raw materials from various parts of plants, transforming them inside the hive by adding salivary secretions and wax. Its physical appearance and color vary greatly, depending on its botanical and geographic origin and the time of collection. The range of propolis' pharmacological activities is greater in tropical regions, reflecting the plant diversity in these regions, since the flight spectrum of an A. mellifera bee covers a radius of about 4-5 km around the hive, from where the bees collect pollen, nectar and resin for propolis. The most popular technique for producing propolis extracts is ethanol protection, but it has limitations and limitations such as a strong flavor, limitations of application in the cosmetic and pharmaceutical industries, in pediatrics and in cases of alcohol intolerance. Thus, to get around this problem, switching to aqueous suspensions is an option, but the biologically active substances have low solubility in water and oxidation during production and storage. One of the most widely used methods to improve the stability and water solubility of polyphenolic compounds is the preparation of inclusion complexes (IC) such as cyclodextrins (CD). The method for producing ICs from β-cyclodextrins (β-CD) and brown propolis extract from União dos Palmares (EPMUP) was coprecipitation combined with the lyophilization method for drying. Physical mixtures (PM) were found for comparative studies. To verify the formation of IC as well as which one was more efficient, analytical methods such as thermogravimetry (TG), determination of total flavonoids, antioxidant activity, in vitro dissolution tests and scanning electron microscopy (SEM) were used. TG declared more thermostable curves for IC than for MF, in EPMUP the total flavonoid content obtained was 9.7% (m/m) while the IC50 of DPPH was 16.6 mcg/mL, while the dissolution showed higher values ​​of concentration per time of IC reaching 32 mcg/ml and in the SEM a change in the structure was observed.</w:t>
      </w:r>
    </w:p>
    <w:sectPr>
      <w:footerReference r:id="rId8" w:type="default"/>
      <w:pgSz w:h="16838" w:w="11906" w:orient="portrait"/>
      <w:pgMar w:bottom="426" w:top="1134" w:left="1701" w:right="1701" w:header="708" w:footer="4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3rd Brazil-France Symposium on Medicinal Chemistry: Advances in Drug Design and Discovery. Maceió-AL,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