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12" w:rsidRDefault="00704E85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MÉTODOS DE DIAGNÓSTICO PARA IMUNODEFICIÊNCIA FELINA (FIV) </w:t>
      </w:r>
      <w:r w:rsidR="00972808">
        <w:rPr>
          <w:rFonts w:ascii="Arial" w:eastAsia="Arial" w:hAnsi="Arial" w:cs="Arial"/>
          <w:b/>
          <w:smallCaps/>
          <w:sz w:val="22"/>
          <w:szCs w:val="22"/>
        </w:rPr>
        <w:t>–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REVISÃO</w:t>
      </w:r>
      <w:r w:rsidR="00972808">
        <w:rPr>
          <w:rFonts w:ascii="Arial" w:eastAsia="Arial" w:hAnsi="Arial" w:cs="Arial"/>
          <w:b/>
          <w:smallCaps/>
          <w:sz w:val="22"/>
          <w:szCs w:val="22"/>
        </w:rPr>
        <w:t xml:space="preserve"> DE LITERATURA</w:t>
      </w:r>
      <w:bookmarkStart w:id="0" w:name="_GoBack"/>
      <w:bookmarkEnd w:id="0"/>
    </w:p>
    <w:p w:rsidR="006A2512" w:rsidRDefault="006A2512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</w:p>
    <w:p w:rsidR="006A2512" w:rsidRDefault="00704E8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Natália dos Anjos Pinto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 xml:space="preserve">*, </w:t>
      </w:r>
      <w:proofErr w:type="spellStart"/>
      <w:r w:rsidR="001E76D6">
        <w:rPr>
          <w:rFonts w:ascii="Arial" w:eastAsia="Arial" w:hAnsi="Arial" w:cs="Arial"/>
          <w:b/>
        </w:rPr>
        <w:t>Millena</w:t>
      </w:r>
      <w:proofErr w:type="spellEnd"/>
      <w:r w:rsidR="001E76D6">
        <w:rPr>
          <w:rFonts w:ascii="Arial" w:eastAsia="Arial" w:hAnsi="Arial" w:cs="Arial"/>
          <w:b/>
        </w:rPr>
        <w:t xml:space="preserve"> Nunes Fonseca</w:t>
      </w:r>
      <w:r w:rsidR="001E76D6">
        <w:rPr>
          <w:rFonts w:ascii="Arial" w:eastAsia="Arial" w:hAnsi="Arial" w:cs="Arial"/>
          <w:b/>
          <w:vertAlign w:val="superscript"/>
        </w:rPr>
        <w:t>2</w:t>
      </w:r>
      <w:r w:rsidR="001E76D6" w:rsidRPr="001E76D6">
        <w:rPr>
          <w:rFonts w:ascii="Arial" w:eastAsia="Arial" w:hAnsi="Arial" w:cs="Arial"/>
          <w:b/>
        </w:rPr>
        <w:t>,</w:t>
      </w:r>
      <w:r w:rsidR="001E76D6">
        <w:rPr>
          <w:rFonts w:ascii="Arial" w:eastAsia="Arial" w:hAnsi="Arial" w:cs="Arial"/>
          <w:b/>
        </w:rPr>
        <w:t xml:space="preserve"> </w:t>
      </w:r>
      <w:r w:rsidR="001E76D6">
        <w:rPr>
          <w:rFonts w:ascii="Arial" w:eastAsia="Arial" w:hAnsi="Arial" w:cs="Arial"/>
          <w:b/>
        </w:rPr>
        <w:t>Jéssica Oliveira Pereira da Cruz</w:t>
      </w:r>
      <w:r w:rsidR="001E76D6">
        <w:rPr>
          <w:rFonts w:ascii="Arial" w:eastAsia="Arial" w:hAnsi="Arial" w:cs="Arial"/>
          <w:b/>
          <w:vertAlign w:val="superscript"/>
        </w:rPr>
        <w:t>2</w:t>
      </w:r>
      <w:r w:rsidR="001E76D6" w:rsidRPr="001E76D6">
        <w:rPr>
          <w:rFonts w:ascii="Arial" w:eastAsia="Arial" w:hAnsi="Arial" w:cs="Arial"/>
          <w:b/>
        </w:rPr>
        <w:t>,</w:t>
      </w:r>
      <w:r w:rsidR="001E76D6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Ana Luísa Mota Ribeiro</w:t>
      </w:r>
      <w:r w:rsidR="001E76D6">
        <w:rPr>
          <w:rFonts w:ascii="Arial" w:eastAsia="Arial" w:hAnsi="Arial" w:cs="Arial"/>
          <w:b/>
          <w:vertAlign w:val="superscript"/>
        </w:rPr>
        <w:t>2</w:t>
      </w:r>
      <w:r>
        <w:rPr>
          <w:rFonts w:ascii="Arial" w:eastAsia="Arial" w:hAnsi="Arial" w:cs="Arial"/>
          <w:b/>
        </w:rPr>
        <w:t xml:space="preserve">, </w:t>
      </w:r>
      <w:proofErr w:type="spellStart"/>
      <w:r w:rsidR="001E76D6">
        <w:rPr>
          <w:rFonts w:ascii="Arial" w:eastAsia="Arial" w:hAnsi="Arial" w:cs="Arial"/>
          <w:b/>
        </w:rPr>
        <w:t>Hélida</w:t>
      </w:r>
      <w:proofErr w:type="spellEnd"/>
      <w:r w:rsidR="001E76D6">
        <w:rPr>
          <w:rFonts w:ascii="Arial" w:eastAsia="Arial" w:hAnsi="Arial" w:cs="Arial"/>
          <w:b/>
        </w:rPr>
        <w:t xml:space="preserve"> Vanessa Heleno</w:t>
      </w:r>
      <w:r w:rsidR="001E76D6">
        <w:rPr>
          <w:rFonts w:ascii="Arial" w:eastAsia="Arial" w:hAnsi="Arial" w:cs="Arial"/>
          <w:b/>
          <w:vertAlign w:val="superscript"/>
        </w:rPr>
        <w:t>3</w:t>
      </w:r>
      <w:r w:rsidR="001E76D6" w:rsidRPr="001E76D6">
        <w:rPr>
          <w:rFonts w:ascii="Arial" w:eastAsia="Arial" w:hAnsi="Arial" w:cs="Arial"/>
          <w:b/>
        </w:rPr>
        <w:t>,</w:t>
      </w:r>
      <w:r w:rsidR="001E76D6"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Layza</w:t>
      </w:r>
      <w:proofErr w:type="spellEnd"/>
      <w:r>
        <w:rPr>
          <w:rFonts w:ascii="Arial" w:eastAsia="Arial" w:hAnsi="Arial" w:cs="Arial"/>
          <w:b/>
        </w:rPr>
        <w:t xml:space="preserve"> Marciano Cangussu</w:t>
      </w:r>
      <w:r w:rsidR="001E76D6">
        <w:rPr>
          <w:rFonts w:ascii="Arial" w:eastAsia="Arial" w:hAnsi="Arial" w:cs="Arial"/>
          <w:b/>
          <w:vertAlign w:val="superscript"/>
        </w:rPr>
        <w:t>3</w:t>
      </w:r>
      <w:r w:rsidR="001E76D6"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</w:rPr>
        <w:t xml:space="preserve">Rubens Antônio </w:t>
      </w:r>
      <w:proofErr w:type="gramStart"/>
      <w:r>
        <w:rPr>
          <w:rFonts w:ascii="Arial" w:eastAsia="Arial" w:hAnsi="Arial" w:cs="Arial"/>
          <w:b/>
        </w:rPr>
        <w:t>Carneiro</w:t>
      </w:r>
      <w:r w:rsidR="001E76D6">
        <w:rPr>
          <w:rFonts w:ascii="Arial" w:eastAsia="Arial" w:hAnsi="Arial" w:cs="Arial"/>
          <w:b/>
          <w:vertAlign w:val="superscript"/>
        </w:rPr>
        <w:t>4</w:t>
      </w:r>
      <w:proofErr w:type="gramEnd"/>
    </w:p>
    <w:p w:rsidR="006A2512" w:rsidRDefault="00704E85">
      <w:pPr>
        <w:jc w:val="center"/>
        <w:rPr>
          <w:rFonts w:ascii="Arial" w:eastAsia="Arial" w:hAnsi="Arial" w:cs="Arial"/>
          <w:i/>
          <w:sz w:val="14"/>
          <w:szCs w:val="14"/>
        </w:rPr>
      </w:pPr>
      <w:proofErr w:type="gramStart"/>
      <w:r>
        <w:rPr>
          <w:rFonts w:ascii="Arial" w:eastAsia="Arial" w:hAnsi="Arial" w:cs="Arial"/>
          <w:i/>
          <w:sz w:val="14"/>
          <w:szCs w:val="14"/>
          <w:vertAlign w:val="superscript"/>
        </w:rPr>
        <w:t>1</w:t>
      </w:r>
      <w:r w:rsidR="001E76D6">
        <w:rPr>
          <w:rFonts w:ascii="Arial" w:eastAsia="Arial" w:hAnsi="Arial" w:cs="Arial"/>
          <w:i/>
          <w:sz w:val="14"/>
          <w:szCs w:val="14"/>
        </w:rPr>
        <w:t>Medica</w:t>
      </w:r>
      <w:proofErr w:type="gramEnd"/>
      <w:r>
        <w:rPr>
          <w:rFonts w:ascii="Arial" w:eastAsia="Arial" w:hAnsi="Arial" w:cs="Arial"/>
          <w:i/>
          <w:sz w:val="14"/>
          <w:szCs w:val="14"/>
        </w:rPr>
        <w:t xml:space="preserve"> Veterinária</w:t>
      </w:r>
      <w:r w:rsidR="001E76D6">
        <w:rPr>
          <w:rFonts w:ascii="Arial" w:eastAsia="Arial" w:hAnsi="Arial" w:cs="Arial"/>
          <w:i/>
          <w:sz w:val="14"/>
          <w:szCs w:val="14"/>
        </w:rPr>
        <w:t xml:space="preserve"> Autônoma –</w:t>
      </w:r>
      <w:r>
        <w:rPr>
          <w:rFonts w:ascii="Arial" w:eastAsia="Arial" w:hAnsi="Arial" w:cs="Arial"/>
          <w:i/>
          <w:sz w:val="14"/>
          <w:szCs w:val="14"/>
        </w:rPr>
        <w:t xml:space="preserve"> Belo Horizonte/MG – Brasil – *Contato: </w:t>
      </w:r>
      <w:hyperlink r:id="rId7" w:history="1">
        <w:r w:rsidR="001E76D6" w:rsidRPr="003F31CC">
          <w:rPr>
            <w:rStyle w:val="Hyperlink"/>
            <w:rFonts w:ascii="Arial" w:eastAsia="Arial" w:hAnsi="Arial" w:cs="Arial"/>
            <w:i/>
            <w:sz w:val="14"/>
            <w:szCs w:val="14"/>
          </w:rPr>
          <w:t>Natybioo@gmail.com</w:t>
        </w:r>
      </w:hyperlink>
    </w:p>
    <w:p w:rsidR="001E76D6" w:rsidRDefault="001E76D6">
      <w:pPr>
        <w:jc w:val="center"/>
        <w:rPr>
          <w:rFonts w:ascii="Arial" w:eastAsia="Arial" w:hAnsi="Arial" w:cs="Arial"/>
          <w:i/>
          <w:sz w:val="14"/>
          <w:szCs w:val="14"/>
        </w:rPr>
      </w:pPr>
      <w:proofErr w:type="gramStart"/>
      <w:r>
        <w:rPr>
          <w:rFonts w:ascii="Arial" w:eastAsia="Arial" w:hAnsi="Arial" w:cs="Arial"/>
          <w:i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sz w:val="14"/>
          <w:szCs w:val="14"/>
        </w:rPr>
        <w:t>Graduanda</w:t>
      </w:r>
      <w:proofErr w:type="gramEnd"/>
      <w:r>
        <w:rPr>
          <w:rFonts w:ascii="Arial" w:eastAsia="Arial" w:hAnsi="Arial" w:cs="Arial"/>
          <w:i/>
          <w:sz w:val="14"/>
          <w:szCs w:val="14"/>
        </w:rPr>
        <w:t xml:space="preserve"> em Medicina Veterinária – UFMG – Belo Horizonte/MG – Brasil</w:t>
      </w:r>
    </w:p>
    <w:p w:rsidR="006A2512" w:rsidRDefault="001E76D6">
      <w:pP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  <w:vertAlign w:val="superscript"/>
        </w:rPr>
        <w:t xml:space="preserve">  </w:t>
      </w:r>
      <w:proofErr w:type="gramStart"/>
      <w:r>
        <w:rPr>
          <w:rFonts w:ascii="Arial" w:eastAsia="Arial" w:hAnsi="Arial" w:cs="Arial"/>
          <w:i/>
          <w:sz w:val="14"/>
          <w:szCs w:val="14"/>
          <w:vertAlign w:val="superscript"/>
        </w:rPr>
        <w:t>3</w:t>
      </w:r>
      <w:r w:rsidR="00704E85">
        <w:rPr>
          <w:rFonts w:ascii="Arial" w:eastAsia="Arial" w:hAnsi="Arial" w:cs="Arial"/>
          <w:i/>
          <w:sz w:val="14"/>
          <w:szCs w:val="14"/>
        </w:rPr>
        <w:t>Graduanda</w:t>
      </w:r>
      <w:proofErr w:type="gramEnd"/>
      <w:r w:rsidR="00704E85">
        <w:rPr>
          <w:rFonts w:ascii="Arial" w:eastAsia="Arial" w:hAnsi="Arial" w:cs="Arial"/>
          <w:i/>
          <w:sz w:val="14"/>
          <w:szCs w:val="14"/>
        </w:rPr>
        <w:t xml:space="preserve"> em Medicina Veterinária – </w:t>
      </w:r>
      <w:proofErr w:type="spellStart"/>
      <w:r w:rsidR="00704E85">
        <w:rPr>
          <w:rFonts w:ascii="Arial" w:eastAsia="Arial" w:hAnsi="Arial" w:cs="Arial"/>
          <w:i/>
          <w:sz w:val="14"/>
          <w:szCs w:val="14"/>
        </w:rPr>
        <w:t>UniBH</w:t>
      </w:r>
      <w:proofErr w:type="spellEnd"/>
      <w:r w:rsidR="00704E85">
        <w:rPr>
          <w:rFonts w:ascii="Arial" w:eastAsia="Arial" w:hAnsi="Arial" w:cs="Arial"/>
          <w:i/>
          <w:sz w:val="14"/>
          <w:szCs w:val="14"/>
        </w:rPr>
        <w:t xml:space="preserve"> – Belo Horizonte/MG – Brasil</w:t>
      </w:r>
    </w:p>
    <w:p w:rsidR="006A2512" w:rsidRDefault="001E76D6">
      <w:pPr>
        <w:tabs>
          <w:tab w:val="center" w:pos="5528"/>
        </w:tabs>
        <w:jc w:val="center"/>
        <w:rPr>
          <w:rFonts w:ascii="Arial" w:eastAsia="Arial" w:hAnsi="Arial" w:cs="Arial"/>
          <w:i/>
          <w:sz w:val="14"/>
          <w:szCs w:val="14"/>
        </w:rPr>
      </w:pPr>
      <w:proofErr w:type="gramStart"/>
      <w:r>
        <w:rPr>
          <w:rFonts w:ascii="Arial" w:eastAsia="Arial" w:hAnsi="Arial" w:cs="Arial"/>
          <w:i/>
          <w:sz w:val="14"/>
          <w:szCs w:val="14"/>
          <w:vertAlign w:val="superscript"/>
        </w:rPr>
        <w:t>4</w:t>
      </w:r>
      <w:r w:rsidR="00704E85">
        <w:rPr>
          <w:rFonts w:ascii="Arial" w:eastAsia="Arial" w:hAnsi="Arial" w:cs="Arial"/>
          <w:i/>
          <w:sz w:val="14"/>
          <w:szCs w:val="14"/>
        </w:rPr>
        <w:t>Professor</w:t>
      </w:r>
      <w:proofErr w:type="gramEnd"/>
      <w:r w:rsidR="00704E85">
        <w:rPr>
          <w:rFonts w:ascii="Arial" w:eastAsia="Arial" w:hAnsi="Arial" w:cs="Arial"/>
          <w:i/>
          <w:sz w:val="14"/>
          <w:szCs w:val="14"/>
        </w:rPr>
        <w:t xml:space="preserve"> de Medicina Veterinária – UFMG – Belo Horizonte/MG – Brasil</w:t>
      </w:r>
    </w:p>
    <w:p w:rsidR="006A2512" w:rsidRDefault="006A2512">
      <w:pPr>
        <w:tabs>
          <w:tab w:val="center" w:pos="5528"/>
        </w:tabs>
        <w:jc w:val="center"/>
        <w:rPr>
          <w:rFonts w:ascii="Arial" w:eastAsia="Arial" w:hAnsi="Arial" w:cs="Arial"/>
          <w:i/>
          <w:sz w:val="14"/>
          <w:szCs w:val="14"/>
        </w:rPr>
      </w:pPr>
    </w:p>
    <w:p w:rsidR="006A2512" w:rsidRDefault="006A2512">
      <w:pPr>
        <w:tabs>
          <w:tab w:val="center" w:pos="5528"/>
        </w:tabs>
        <w:jc w:val="center"/>
        <w:rPr>
          <w:rFonts w:ascii="Arial" w:eastAsia="Arial" w:hAnsi="Arial" w:cs="Arial"/>
          <w:i/>
          <w:sz w:val="14"/>
          <w:szCs w:val="14"/>
        </w:rPr>
        <w:sectPr w:rsidR="006A2512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:rsidR="006A2512" w:rsidRDefault="00704E8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6A2512" w:rsidRDefault="00704E85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imunodeficiência felina é considerada uma patologia com grande casuística dentro da Medicina Veterinária Felina, e que possui ampla distribuição mundial, apresentando uma prevalência de aproximadamente 12% em felinos domésticos, ressaltando uma maior pre</w:t>
      </w:r>
      <w:r>
        <w:rPr>
          <w:rFonts w:ascii="Arial" w:eastAsia="Arial" w:hAnsi="Arial" w:cs="Arial"/>
          <w:sz w:val="18"/>
          <w:szCs w:val="18"/>
        </w:rPr>
        <w:t>valência em gatos machos com mais de um ano de idade, devido</w:t>
      </w:r>
      <w:r w:rsidR="007C409C">
        <w:rPr>
          <w:rFonts w:ascii="Arial" w:eastAsia="Arial" w:hAnsi="Arial" w:cs="Arial"/>
          <w:sz w:val="18"/>
          <w:szCs w:val="18"/>
        </w:rPr>
        <w:t xml:space="preserve"> ao comportamento territorialista</w:t>
      </w:r>
      <w:r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</w:p>
    <w:p w:rsidR="006A2512" w:rsidRDefault="00704E85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É uma doença causada por um vírus da família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Retroviridae</w:t>
      </w:r>
      <w:proofErr w:type="spellEnd"/>
      <w:r>
        <w:rPr>
          <w:rFonts w:ascii="Arial" w:eastAsia="Arial" w:hAnsi="Arial" w:cs="Arial"/>
          <w:sz w:val="18"/>
          <w:szCs w:val="18"/>
        </w:rPr>
        <w:t>, que é responsável por causar uma síndrome da imunodeficiência adquirida e, por esse motivo, também é c</w:t>
      </w:r>
      <w:r>
        <w:rPr>
          <w:rFonts w:ascii="Arial" w:eastAsia="Arial" w:hAnsi="Arial" w:cs="Arial"/>
          <w:sz w:val="18"/>
          <w:szCs w:val="18"/>
        </w:rPr>
        <w:t>onhecida como "AIDS felina"</w:t>
      </w:r>
      <w:proofErr w:type="gramStart"/>
      <w:r>
        <w:rPr>
          <w:rFonts w:ascii="Arial" w:eastAsia="Arial" w:hAnsi="Arial" w:cs="Arial"/>
          <w:sz w:val="18"/>
          <w:szCs w:val="18"/>
          <w:vertAlign w:val="superscript"/>
        </w:rPr>
        <w:t>6</w:t>
      </w:r>
      <w:proofErr w:type="gramEnd"/>
      <w:r>
        <w:rPr>
          <w:rFonts w:ascii="Arial" w:eastAsia="Arial" w:hAnsi="Arial" w:cs="Arial"/>
          <w:sz w:val="18"/>
          <w:szCs w:val="18"/>
        </w:rPr>
        <w:t>.</w:t>
      </w:r>
      <w:r w:rsidR="001E76D6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 formas de transmissão consistem em mordeduras de animais infectados, bem como i</w:t>
      </w:r>
      <w:r w:rsidR="007C409C">
        <w:rPr>
          <w:rFonts w:ascii="Arial" w:eastAsia="Arial" w:hAnsi="Arial" w:cs="Arial"/>
          <w:sz w:val="18"/>
          <w:szCs w:val="18"/>
        </w:rPr>
        <w:t xml:space="preserve">nfecção </w:t>
      </w:r>
      <w:proofErr w:type="spellStart"/>
      <w:r w:rsidR="007C409C">
        <w:rPr>
          <w:rFonts w:ascii="Arial" w:eastAsia="Arial" w:hAnsi="Arial" w:cs="Arial"/>
          <w:sz w:val="18"/>
          <w:szCs w:val="18"/>
        </w:rPr>
        <w:t>transplacentária</w:t>
      </w:r>
      <w:proofErr w:type="spellEnd"/>
      <w:r w:rsidR="007C409C">
        <w:rPr>
          <w:rFonts w:ascii="Arial" w:eastAsia="Arial" w:hAnsi="Arial" w:cs="Arial"/>
          <w:sz w:val="18"/>
          <w:szCs w:val="18"/>
        </w:rPr>
        <w:t>, via sê</w:t>
      </w:r>
      <w:r>
        <w:rPr>
          <w:rFonts w:ascii="Arial" w:eastAsia="Arial" w:hAnsi="Arial" w:cs="Arial"/>
          <w:sz w:val="18"/>
          <w:szCs w:val="18"/>
        </w:rPr>
        <w:t xml:space="preserve">men, durante a cópula e até mesmo por meio do leite de fêmeas </w:t>
      </w:r>
      <w:proofErr w:type="gramStart"/>
      <w:r>
        <w:rPr>
          <w:rFonts w:ascii="Arial" w:eastAsia="Arial" w:hAnsi="Arial" w:cs="Arial"/>
          <w:sz w:val="18"/>
          <w:szCs w:val="18"/>
        </w:rPr>
        <w:t>infectadas</w:t>
      </w:r>
      <w:r>
        <w:rPr>
          <w:rFonts w:ascii="Arial" w:eastAsia="Arial" w:hAnsi="Arial" w:cs="Arial"/>
          <w:sz w:val="18"/>
          <w:szCs w:val="18"/>
          <w:vertAlign w:val="superscript"/>
        </w:rPr>
        <w:t>4,</w:t>
      </w:r>
      <w:proofErr w:type="gramEnd"/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</w:p>
    <w:p w:rsidR="006A2512" w:rsidRDefault="00704E85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Tendo em vista que </w:t>
      </w:r>
      <w:proofErr w:type="gramStart"/>
      <w:r>
        <w:rPr>
          <w:rFonts w:ascii="Arial" w:eastAsia="Arial" w:hAnsi="Arial" w:cs="Arial"/>
          <w:sz w:val="18"/>
          <w:szCs w:val="18"/>
        </w:rPr>
        <w:t>trata-se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de um re</w:t>
      </w:r>
      <w:r>
        <w:rPr>
          <w:rFonts w:ascii="Arial" w:eastAsia="Arial" w:hAnsi="Arial" w:cs="Arial"/>
          <w:sz w:val="18"/>
          <w:szCs w:val="18"/>
        </w:rPr>
        <w:t>trovírus, uma vez infectado, o animal será persistentemente infectado, não havendo cura</w:t>
      </w:r>
      <w:r>
        <w:rPr>
          <w:rFonts w:ascii="Arial" w:eastAsia="Arial" w:hAnsi="Arial" w:cs="Arial"/>
          <w:sz w:val="18"/>
          <w:szCs w:val="18"/>
          <w:vertAlign w:val="superscript"/>
        </w:rPr>
        <w:t>1,5</w:t>
      </w:r>
      <w:r>
        <w:rPr>
          <w:rFonts w:ascii="Arial" w:eastAsia="Arial" w:hAnsi="Arial" w:cs="Arial"/>
          <w:sz w:val="18"/>
          <w:szCs w:val="18"/>
        </w:rPr>
        <w:t>. Nesse sentido, a sintomatologia e o tratamento serão baseados em infecções secundárias em virtude da imunodeficiência causada pelo vírus, principalmente infecções b</w:t>
      </w:r>
      <w:r>
        <w:rPr>
          <w:rFonts w:ascii="Arial" w:eastAsia="Arial" w:hAnsi="Arial" w:cs="Arial"/>
          <w:sz w:val="18"/>
          <w:szCs w:val="18"/>
        </w:rPr>
        <w:t xml:space="preserve">acterianas, além de apresentarem uma predisposição maior em desenvolver doenças neurológicas e </w:t>
      </w:r>
      <w:proofErr w:type="gramStart"/>
      <w:r>
        <w:rPr>
          <w:rFonts w:ascii="Arial" w:eastAsia="Arial" w:hAnsi="Arial" w:cs="Arial"/>
          <w:sz w:val="18"/>
          <w:szCs w:val="18"/>
        </w:rPr>
        <w:t>tumores</w:t>
      </w:r>
      <w:r>
        <w:rPr>
          <w:rFonts w:ascii="Arial" w:eastAsia="Arial" w:hAnsi="Arial" w:cs="Arial"/>
          <w:sz w:val="18"/>
          <w:szCs w:val="18"/>
          <w:vertAlign w:val="superscript"/>
        </w:rPr>
        <w:t>2,</w:t>
      </w:r>
      <w:proofErr w:type="gramEnd"/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>. Ademais, cabe ressaltar que em muitos casos os animais só irão desenvolver sinais clínicos anos após a infecção e, quando são acometidos por infecções oportunistas, estas acontecem no estágio avançado da doença, tendo em vista a depleção dos linfócitos T</w:t>
      </w:r>
      <w:r>
        <w:rPr>
          <w:rFonts w:ascii="Arial" w:eastAsia="Arial" w:hAnsi="Arial" w:cs="Arial"/>
          <w:sz w:val="18"/>
          <w:szCs w:val="18"/>
        </w:rPr>
        <w:t xml:space="preserve"> causada pela FIV.</w:t>
      </w:r>
    </w:p>
    <w:p w:rsidR="006A2512" w:rsidRDefault="006A2512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</w:p>
    <w:p w:rsidR="006A2512" w:rsidRDefault="00704E85">
      <w:pPr>
        <w:spacing w:before="40" w:after="96"/>
        <w:ind w:left="141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114300" distB="114300" distL="114300" distR="114300">
            <wp:extent cx="1606577" cy="1211517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77" cy="12115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A2512" w:rsidRDefault="00704E85">
      <w:pPr>
        <w:spacing w:before="40" w:after="96"/>
        <w:ind w:left="141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Figura 1:</w:t>
      </w:r>
      <w:r>
        <w:rPr>
          <w:rFonts w:ascii="Arial" w:eastAsia="Arial" w:hAnsi="Arial" w:cs="Arial"/>
          <w:sz w:val="18"/>
          <w:szCs w:val="18"/>
        </w:rPr>
        <w:t xml:space="preserve"> Fases da infecção</w:t>
      </w:r>
      <w:r>
        <w:rPr>
          <w:rFonts w:ascii="Arial" w:eastAsia="Arial" w:hAnsi="Arial" w:cs="Arial"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sz w:val="18"/>
          <w:szCs w:val="18"/>
        </w:rPr>
        <w:t>.</w:t>
      </w:r>
    </w:p>
    <w:p w:rsidR="006A2512" w:rsidRDefault="006A2512">
      <w:pPr>
        <w:spacing w:before="40" w:after="96"/>
        <w:ind w:left="1417"/>
        <w:jc w:val="both"/>
        <w:rPr>
          <w:rFonts w:ascii="Arial" w:eastAsia="Arial" w:hAnsi="Arial" w:cs="Arial"/>
          <w:sz w:val="16"/>
          <w:szCs w:val="16"/>
        </w:rPr>
      </w:pPr>
    </w:p>
    <w:p w:rsidR="006A2512" w:rsidRDefault="00704E85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Além disso, levando em consideração que a sintomatologia da FIV é semelhante à sintomatologia da leucemia felina, é de extrema importância a utilização de técnicas de diagnóstico para reconhecer e identificar o vírus. Sendo assim, a presente revisão tem co</w:t>
      </w:r>
      <w:r>
        <w:rPr>
          <w:rFonts w:ascii="Arial" w:eastAsia="Arial" w:hAnsi="Arial" w:cs="Arial"/>
          <w:sz w:val="18"/>
          <w:szCs w:val="18"/>
        </w:rPr>
        <w:t xml:space="preserve">mo objetivo elucidar os principais métodos de diagnósticos utilizados no reconhecimento do vírus da imunodeficiência felina. </w:t>
      </w:r>
    </w:p>
    <w:p w:rsidR="006A2512" w:rsidRDefault="006A2512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6A2512" w:rsidRDefault="00704E8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:rsidR="006A2512" w:rsidRDefault="00704E85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18"/>
          <w:szCs w:val="18"/>
        </w:rPr>
        <w:t>Para a elaboração do resumo foram utilizados livros didáticos, bem como artigos encontrados na plataforma "Goo</w:t>
      </w:r>
      <w:r>
        <w:rPr>
          <w:rFonts w:ascii="Arial" w:eastAsia="Arial" w:hAnsi="Arial" w:cs="Arial"/>
          <w:sz w:val="18"/>
          <w:szCs w:val="18"/>
        </w:rPr>
        <w:t>gle Acadêmico", além de materia</w:t>
      </w:r>
      <w:r w:rsidR="007C409C"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s complementares encontrados no </w:t>
      </w:r>
      <w:proofErr w:type="spellStart"/>
      <w:r>
        <w:rPr>
          <w:rFonts w:ascii="Arial" w:eastAsia="Arial" w:hAnsi="Arial" w:cs="Arial"/>
          <w:sz w:val="18"/>
          <w:szCs w:val="18"/>
        </w:rPr>
        <w:t>Elsevier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Journal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no </w:t>
      </w:r>
      <w:proofErr w:type="spellStart"/>
      <w:r>
        <w:rPr>
          <w:rFonts w:ascii="Arial" w:eastAsia="Arial" w:hAnsi="Arial" w:cs="Arial"/>
          <w:sz w:val="18"/>
          <w:szCs w:val="18"/>
        </w:rPr>
        <w:t>Journal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of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Feline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Medicine </w:t>
      </w:r>
      <w:proofErr w:type="spellStart"/>
      <w:r>
        <w:rPr>
          <w:rFonts w:ascii="Arial" w:eastAsia="Arial" w:hAnsi="Arial" w:cs="Arial"/>
          <w:sz w:val="18"/>
          <w:szCs w:val="18"/>
        </w:rPr>
        <w:t>and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Surgery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:rsidR="006A2512" w:rsidRDefault="006A2512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6A2512" w:rsidRDefault="00704E8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:rsidR="006A2512" w:rsidRDefault="00704E85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Os testes laboratoriais visam identificar a presen</w:t>
      </w:r>
      <w:r w:rsidR="00A0763B">
        <w:rPr>
          <w:rFonts w:ascii="Arial" w:eastAsia="Arial" w:hAnsi="Arial" w:cs="Arial"/>
          <w:sz w:val="18"/>
          <w:szCs w:val="18"/>
        </w:rPr>
        <w:t xml:space="preserve">ça de antígenos, anticorpos ou </w:t>
      </w:r>
      <w:r>
        <w:rPr>
          <w:rFonts w:ascii="Arial" w:eastAsia="Arial" w:hAnsi="Arial" w:cs="Arial"/>
          <w:sz w:val="18"/>
          <w:szCs w:val="18"/>
        </w:rPr>
        <w:t>ácidos nucleicos virais</w:t>
      </w:r>
      <w:r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. Nesse sentido, para o diagnóstico de FIV são utilizados métodos indiretos, em que há a </w:t>
      </w:r>
      <w:r>
        <w:rPr>
          <w:rFonts w:ascii="Arial" w:eastAsia="Arial" w:hAnsi="Arial" w:cs="Arial"/>
          <w:sz w:val="18"/>
          <w:szCs w:val="18"/>
        </w:rPr>
        <w:lastRenderedPageBreak/>
        <w:t xml:space="preserve">detecção de anticorpos específicos, bem como a utilização de métodos diretos, como </w:t>
      </w:r>
      <w:proofErr w:type="gramStart"/>
      <w:r>
        <w:rPr>
          <w:rFonts w:ascii="Arial" w:eastAsia="Arial" w:hAnsi="Arial" w:cs="Arial"/>
          <w:sz w:val="18"/>
          <w:szCs w:val="18"/>
        </w:rPr>
        <w:t>PCR</w:t>
      </w:r>
      <w:r>
        <w:rPr>
          <w:rFonts w:ascii="Arial" w:eastAsia="Arial" w:hAnsi="Arial" w:cs="Arial"/>
          <w:sz w:val="18"/>
          <w:szCs w:val="18"/>
          <w:vertAlign w:val="superscript"/>
        </w:rPr>
        <w:t>5,</w:t>
      </w:r>
      <w:proofErr w:type="gramEnd"/>
      <w:r>
        <w:rPr>
          <w:rFonts w:ascii="Arial" w:eastAsia="Arial" w:hAnsi="Arial" w:cs="Arial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sz w:val="18"/>
          <w:szCs w:val="18"/>
        </w:rPr>
        <w:t>.</w:t>
      </w:r>
    </w:p>
    <w:p w:rsidR="006A2512" w:rsidRDefault="00704E85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Teste ELISA:</w:t>
      </w:r>
      <w:r>
        <w:rPr>
          <w:rFonts w:ascii="Arial" w:eastAsia="Arial" w:hAnsi="Arial" w:cs="Arial"/>
          <w:sz w:val="18"/>
          <w:szCs w:val="18"/>
        </w:rPr>
        <w:t xml:space="preserve"> baseado no uso da proteína para identificação do anticorpo no s</w:t>
      </w:r>
      <w:r>
        <w:rPr>
          <w:rFonts w:ascii="Arial" w:eastAsia="Arial" w:hAnsi="Arial" w:cs="Arial"/>
          <w:sz w:val="18"/>
          <w:szCs w:val="18"/>
        </w:rPr>
        <w:t xml:space="preserve">angue total, soro ou plasma. Atualmente muitos kits têm sido utilizados como método de diagnóstico de FIV, tendo em vista que são métodos rápidos e podem ser realizados in loco, o que auxilia a rotina </w:t>
      </w:r>
      <w:proofErr w:type="gramStart"/>
      <w:r>
        <w:rPr>
          <w:rFonts w:ascii="Arial" w:eastAsia="Arial" w:hAnsi="Arial" w:cs="Arial"/>
          <w:sz w:val="18"/>
          <w:szCs w:val="18"/>
        </w:rPr>
        <w:t>clínica</w:t>
      </w:r>
      <w:r>
        <w:rPr>
          <w:rFonts w:ascii="Arial" w:eastAsia="Arial" w:hAnsi="Arial" w:cs="Arial"/>
          <w:sz w:val="18"/>
          <w:szCs w:val="18"/>
          <w:vertAlign w:val="superscript"/>
        </w:rPr>
        <w:t>3,</w:t>
      </w:r>
      <w:proofErr w:type="gramEnd"/>
      <w:r>
        <w:rPr>
          <w:rFonts w:ascii="Arial" w:eastAsia="Arial" w:hAnsi="Arial" w:cs="Arial"/>
          <w:sz w:val="18"/>
          <w:szCs w:val="18"/>
          <w:vertAlign w:val="superscript"/>
        </w:rPr>
        <w:t>4,5</w:t>
      </w:r>
      <w:r>
        <w:rPr>
          <w:rFonts w:ascii="Arial" w:eastAsia="Arial" w:hAnsi="Arial" w:cs="Arial"/>
          <w:sz w:val="18"/>
          <w:szCs w:val="18"/>
        </w:rPr>
        <w:t>.</w:t>
      </w:r>
    </w:p>
    <w:p w:rsidR="006A2512" w:rsidRDefault="00704E85">
      <w:pPr>
        <w:spacing w:after="9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114300" distB="114300" distL="114300" distR="114300">
            <wp:extent cx="777240" cy="77724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A2512" w:rsidRDefault="00704E85">
      <w:pPr>
        <w:spacing w:after="9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1: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Teste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ELISA de fluxo lateral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:rsidR="006A2512" w:rsidRDefault="006A2512">
      <w:pPr>
        <w:spacing w:after="96"/>
        <w:jc w:val="center"/>
        <w:rPr>
          <w:rFonts w:ascii="Arial" w:eastAsia="Arial" w:hAnsi="Arial" w:cs="Arial"/>
          <w:sz w:val="16"/>
          <w:szCs w:val="16"/>
        </w:rPr>
      </w:pPr>
    </w:p>
    <w:p w:rsidR="006A2512" w:rsidRDefault="00704E85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bookmarkStart w:id="1" w:name="_30j0zll" w:colFirst="0" w:colLast="0"/>
      <w:bookmarkEnd w:id="1"/>
      <w:r>
        <w:rPr>
          <w:rFonts w:ascii="Arial" w:eastAsia="Arial" w:hAnsi="Arial" w:cs="Arial"/>
          <w:b/>
          <w:sz w:val="18"/>
          <w:szCs w:val="18"/>
        </w:rPr>
        <w:t xml:space="preserve">Teste de Western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Blot</w:t>
      </w:r>
      <w:proofErr w:type="spellEnd"/>
      <w:r>
        <w:rPr>
          <w:rFonts w:ascii="Arial" w:eastAsia="Arial" w:hAnsi="Arial" w:cs="Arial"/>
          <w:b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</w:rPr>
        <w:t xml:space="preserve"> É baseado na detecção de anticorpos reativos com uma variedade de proteínas virais e na ligação entre essas proteínas. É o teste considerado padrão ouro para detecção do FIV, entretanto tem um custo </w:t>
      </w:r>
      <w:proofErr w:type="gramStart"/>
      <w:r>
        <w:rPr>
          <w:rFonts w:ascii="Arial" w:eastAsia="Arial" w:hAnsi="Arial" w:cs="Arial"/>
          <w:sz w:val="18"/>
          <w:szCs w:val="18"/>
        </w:rPr>
        <w:t>elevado</w:t>
      </w:r>
      <w:r>
        <w:rPr>
          <w:rFonts w:ascii="Arial" w:eastAsia="Arial" w:hAnsi="Arial" w:cs="Arial"/>
          <w:sz w:val="18"/>
          <w:szCs w:val="18"/>
          <w:vertAlign w:val="superscript"/>
        </w:rPr>
        <w:t>3,</w:t>
      </w:r>
      <w:proofErr w:type="gramEnd"/>
      <w:r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</w:p>
    <w:p w:rsidR="006A2512" w:rsidRDefault="00704E85">
      <w:pPr>
        <w:spacing w:after="96"/>
        <w:ind w:left="1700"/>
        <w:jc w:val="both"/>
        <w:rPr>
          <w:rFonts w:ascii="Arial" w:eastAsia="Arial" w:hAnsi="Arial" w:cs="Arial"/>
          <w:sz w:val="18"/>
          <w:szCs w:val="18"/>
        </w:rPr>
      </w:pPr>
      <w:bookmarkStart w:id="2" w:name="_ihq0kw624n9w" w:colFirst="0" w:colLast="0"/>
      <w:bookmarkEnd w:id="2"/>
      <w:r>
        <w:rPr>
          <w:rFonts w:ascii="Arial" w:eastAsia="Arial" w:hAnsi="Arial" w:cs="Arial"/>
          <w:noProof/>
          <w:sz w:val="18"/>
          <w:szCs w:val="18"/>
        </w:rPr>
        <w:drawing>
          <wp:inline distT="114300" distB="114300" distL="114300" distR="114300">
            <wp:extent cx="1067457" cy="1216201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7457" cy="12162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A2512" w:rsidRDefault="00704E85">
      <w:pPr>
        <w:pBdr>
          <w:left w:val="nil"/>
        </w:pBdr>
        <w:spacing w:after="96"/>
        <w:ind w:left="4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 xml:space="preserve">        </w:t>
      </w:r>
      <w:r>
        <w:rPr>
          <w:rFonts w:ascii="Arial" w:eastAsia="Arial" w:hAnsi="Arial" w:cs="Arial"/>
          <w:b/>
          <w:sz w:val="18"/>
          <w:szCs w:val="18"/>
        </w:rPr>
        <w:t>Figura 2:</w:t>
      </w:r>
      <w:r>
        <w:rPr>
          <w:rFonts w:ascii="Arial" w:eastAsia="Arial" w:hAnsi="Arial" w:cs="Arial"/>
          <w:sz w:val="18"/>
          <w:szCs w:val="18"/>
        </w:rPr>
        <w:t xml:space="preserve"> Ensaio de Western </w:t>
      </w:r>
      <w:proofErr w:type="spellStart"/>
      <w:r>
        <w:rPr>
          <w:rFonts w:ascii="Arial" w:eastAsia="Arial" w:hAnsi="Arial" w:cs="Arial"/>
          <w:sz w:val="18"/>
          <w:szCs w:val="18"/>
        </w:rPr>
        <w:t>Blot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para FIV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</w:p>
    <w:p w:rsidR="006A2512" w:rsidRDefault="006A2512">
      <w:pPr>
        <w:pBdr>
          <w:left w:val="nil"/>
        </w:pBdr>
        <w:spacing w:after="96"/>
        <w:rPr>
          <w:rFonts w:ascii="Arial" w:eastAsia="Arial" w:hAnsi="Arial" w:cs="Arial"/>
          <w:sz w:val="16"/>
          <w:szCs w:val="16"/>
        </w:rPr>
      </w:pPr>
    </w:p>
    <w:p w:rsidR="006A2512" w:rsidRDefault="00704E85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Teste PCR:</w:t>
      </w:r>
      <w:r>
        <w:rPr>
          <w:rFonts w:ascii="Arial" w:eastAsia="Arial" w:hAnsi="Arial" w:cs="Arial"/>
          <w:sz w:val="18"/>
          <w:szCs w:val="18"/>
        </w:rPr>
        <w:t xml:space="preserve"> Baseado na identificação do vírus por meio da detecção do material genético extraído de leucócitos ou tecidos. A reação em cadeia da polimerase tem se mostrado altamente sensível, desde que haja a menor contam</w:t>
      </w:r>
      <w:r>
        <w:rPr>
          <w:rFonts w:ascii="Arial" w:eastAsia="Arial" w:hAnsi="Arial" w:cs="Arial"/>
          <w:sz w:val="18"/>
          <w:szCs w:val="18"/>
        </w:rPr>
        <w:t xml:space="preserve">inação </w:t>
      </w:r>
      <w:proofErr w:type="gramStart"/>
      <w:r>
        <w:rPr>
          <w:rFonts w:ascii="Arial" w:eastAsia="Arial" w:hAnsi="Arial" w:cs="Arial"/>
          <w:sz w:val="18"/>
          <w:szCs w:val="18"/>
        </w:rPr>
        <w:t>possível</w:t>
      </w:r>
      <w:r>
        <w:rPr>
          <w:rFonts w:ascii="Arial" w:eastAsia="Arial" w:hAnsi="Arial" w:cs="Arial"/>
          <w:sz w:val="18"/>
          <w:szCs w:val="18"/>
          <w:vertAlign w:val="superscript"/>
        </w:rPr>
        <w:t>3,</w:t>
      </w:r>
      <w:proofErr w:type="gramEnd"/>
      <w:r>
        <w:rPr>
          <w:rFonts w:ascii="Arial" w:eastAsia="Arial" w:hAnsi="Arial" w:cs="Arial"/>
          <w:sz w:val="18"/>
          <w:szCs w:val="18"/>
          <w:vertAlign w:val="superscript"/>
        </w:rPr>
        <w:t>4,9</w:t>
      </w:r>
      <w:r>
        <w:rPr>
          <w:rFonts w:ascii="Arial" w:eastAsia="Arial" w:hAnsi="Arial" w:cs="Arial"/>
          <w:sz w:val="18"/>
          <w:szCs w:val="18"/>
        </w:rPr>
        <w:t>.</w:t>
      </w:r>
    </w:p>
    <w:p w:rsidR="006A2512" w:rsidRDefault="00704E85">
      <w:pPr>
        <w:spacing w:after="96"/>
        <w:ind w:left="170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114300" distB="114300" distL="114300" distR="114300">
            <wp:extent cx="1296353" cy="1269761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6353" cy="12697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A2512" w:rsidRDefault="00704E85">
      <w:pPr>
        <w:spacing w:after="96"/>
        <w:ind w:left="42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Figura 3</w:t>
      </w:r>
      <w:r>
        <w:rPr>
          <w:rFonts w:ascii="Arial" w:eastAsia="Arial" w:hAnsi="Arial" w:cs="Arial"/>
          <w:sz w:val="16"/>
          <w:szCs w:val="16"/>
        </w:rPr>
        <w:t>: Visualização do material genético amplificado e específico para FIV</w:t>
      </w:r>
      <w:r>
        <w:rPr>
          <w:rFonts w:ascii="Arial" w:eastAsia="Arial" w:hAnsi="Arial" w:cs="Arial"/>
          <w:sz w:val="16"/>
          <w:szCs w:val="16"/>
          <w:vertAlign w:val="superscript"/>
        </w:rPr>
        <w:t>9</w:t>
      </w:r>
      <w:r>
        <w:rPr>
          <w:rFonts w:ascii="Arial" w:eastAsia="Arial" w:hAnsi="Arial" w:cs="Arial"/>
          <w:sz w:val="16"/>
          <w:szCs w:val="16"/>
        </w:rPr>
        <w:t>.</w:t>
      </w:r>
    </w:p>
    <w:p w:rsidR="006A2512" w:rsidRDefault="006A2512">
      <w:pPr>
        <w:spacing w:after="96"/>
        <w:ind w:left="425"/>
        <w:jc w:val="center"/>
        <w:rPr>
          <w:rFonts w:ascii="Arial" w:eastAsia="Arial" w:hAnsi="Arial" w:cs="Arial"/>
          <w:sz w:val="16"/>
          <w:szCs w:val="16"/>
        </w:rPr>
      </w:pPr>
    </w:p>
    <w:p w:rsidR="006A2512" w:rsidRDefault="006A2512">
      <w:pP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:rsidR="006A2512" w:rsidRDefault="00704E8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6A2512" w:rsidRDefault="00704E85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vírus da imunodeficiência felina configura-se como um desafio quando se leva em consideração a infecção persistente dos animais. Sendo assim, os métodos descritos são de extrema importância para o diagnóstico precoce da doença e posterior tratamento e, d</w:t>
      </w:r>
      <w:r>
        <w:rPr>
          <w:rFonts w:ascii="Arial" w:eastAsia="Arial" w:hAnsi="Arial" w:cs="Arial"/>
          <w:sz w:val="18"/>
          <w:szCs w:val="18"/>
        </w:rPr>
        <w:t>essa forma, aumentar a sobrevida do animal.</w:t>
      </w:r>
    </w:p>
    <w:sectPr w:rsidR="006A2512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85" w:rsidRDefault="00704E85">
      <w:r>
        <w:separator/>
      </w:r>
    </w:p>
  </w:endnote>
  <w:endnote w:type="continuationSeparator" w:id="0">
    <w:p w:rsidR="00704E85" w:rsidRDefault="0070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85" w:rsidRDefault="00704E85">
      <w:r>
        <w:separator/>
      </w:r>
    </w:p>
  </w:footnote>
  <w:footnote w:type="continuationSeparator" w:id="0">
    <w:p w:rsidR="00704E85" w:rsidRDefault="00704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12" w:rsidRDefault="00704E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1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A2512" w:rsidRDefault="00704E85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Ciências </w:t>
    </w:r>
    <w:proofErr w:type="gramStart"/>
    <w:r>
      <w:rPr>
        <w:rFonts w:ascii="Arial Rounded" w:eastAsia="Arial Rounded" w:hAnsi="Arial Rounded" w:cs="Arial Rounded"/>
        <w:b/>
        <w:color w:val="002060"/>
        <w:sz w:val="28"/>
        <w:szCs w:val="28"/>
      </w:rPr>
      <w:t>Agrárias e Meio Ambiente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2512"/>
    <w:rsid w:val="001E76D6"/>
    <w:rsid w:val="00224E30"/>
    <w:rsid w:val="00275EB0"/>
    <w:rsid w:val="006A2512"/>
    <w:rsid w:val="00704E85"/>
    <w:rsid w:val="007C409C"/>
    <w:rsid w:val="00972808"/>
    <w:rsid w:val="00A0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5E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EB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E76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5E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EB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E76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ybioo@gmail.com" TargetMode="External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669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Natália dos Anjos Pinto</dc:creator>
  <cp:lastModifiedBy>Natália dos Anjos Pinto</cp:lastModifiedBy>
  <cp:revision>7</cp:revision>
  <dcterms:created xsi:type="dcterms:W3CDTF">2021-04-11T00:25:00Z</dcterms:created>
  <dcterms:modified xsi:type="dcterms:W3CDTF">2021-04-11T01:06:00Z</dcterms:modified>
</cp:coreProperties>
</file>