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A193C7E" w14:textId="6731C1DA" w:rsidR="00313C7A" w:rsidRDefault="00FA5BE0">
      <w:pPr>
        <w:pBdr>
          <w:bottom w:val="none" w:sz="0" w:space="8" w:color="000000"/>
        </w:pBdr>
        <w:shd w:val="clear" w:color="auto" w:fill="FFFFFF"/>
        <w:tabs>
          <w:tab w:val="left" w:pos="2500"/>
        </w:tabs>
        <w:jc w:val="center"/>
        <w:rPr>
          <w:b/>
          <w:bCs/>
          <w:sz w:val="24"/>
          <w:szCs w:val="24"/>
        </w:rPr>
      </w:pPr>
      <w:r>
        <w:rPr>
          <w:b/>
          <w:bCs/>
          <w:sz w:val="24"/>
          <w:szCs w:val="24"/>
        </w:rPr>
        <w:t>USO DO</w:t>
      </w:r>
      <w:r w:rsidR="00BD5DE9">
        <w:rPr>
          <w:b/>
          <w:bCs/>
          <w:sz w:val="24"/>
          <w:szCs w:val="24"/>
        </w:rPr>
        <w:t>S</w:t>
      </w:r>
      <w:r>
        <w:rPr>
          <w:b/>
          <w:bCs/>
          <w:sz w:val="24"/>
          <w:szCs w:val="24"/>
        </w:rPr>
        <w:t xml:space="preserve"> ÍNDICE</w:t>
      </w:r>
      <w:r w:rsidR="001B53A3">
        <w:rPr>
          <w:b/>
          <w:bCs/>
          <w:sz w:val="24"/>
          <w:szCs w:val="24"/>
        </w:rPr>
        <w:t>S</w:t>
      </w:r>
      <w:r>
        <w:rPr>
          <w:b/>
          <w:bCs/>
          <w:sz w:val="24"/>
          <w:szCs w:val="24"/>
        </w:rPr>
        <w:t xml:space="preserve"> NBR</w:t>
      </w:r>
      <w:r w:rsidR="001B53A3">
        <w:rPr>
          <w:b/>
          <w:bCs/>
          <w:sz w:val="24"/>
          <w:szCs w:val="24"/>
        </w:rPr>
        <w:t xml:space="preserve"> E</w:t>
      </w:r>
      <w:r>
        <w:rPr>
          <w:b/>
          <w:bCs/>
          <w:sz w:val="24"/>
          <w:szCs w:val="24"/>
        </w:rPr>
        <w:t xml:space="preserve"> </w:t>
      </w:r>
      <w:r w:rsidR="001B53A3" w:rsidRPr="001B53A3">
        <w:rPr>
          <w:b/>
          <w:bCs/>
          <w:sz w:val="24"/>
          <w:szCs w:val="24"/>
        </w:rPr>
        <w:t xml:space="preserve">ΔNBR </w:t>
      </w:r>
      <w:r>
        <w:rPr>
          <w:b/>
          <w:bCs/>
          <w:sz w:val="24"/>
          <w:szCs w:val="24"/>
        </w:rPr>
        <w:t xml:space="preserve">PARA </w:t>
      </w:r>
      <w:r w:rsidR="00F425DD">
        <w:rPr>
          <w:b/>
          <w:bCs/>
          <w:sz w:val="24"/>
          <w:szCs w:val="24"/>
        </w:rPr>
        <w:t xml:space="preserve">ANÁLISE DE FLORESTAS QUEIMADAS </w:t>
      </w:r>
      <w:r w:rsidR="002C5AF1">
        <w:rPr>
          <w:b/>
          <w:bCs/>
          <w:sz w:val="24"/>
          <w:szCs w:val="24"/>
        </w:rPr>
        <w:t xml:space="preserve">EM TERRAS INDÍGENAS </w:t>
      </w:r>
      <w:r w:rsidR="00F425DD">
        <w:rPr>
          <w:b/>
          <w:bCs/>
          <w:sz w:val="24"/>
          <w:szCs w:val="24"/>
        </w:rPr>
        <w:t>NO ESTADO DO PARÁ</w:t>
      </w:r>
    </w:p>
    <w:p w14:paraId="4A193C7F" w14:textId="77777777" w:rsidR="00313C7A" w:rsidRDefault="00313C7A">
      <w:pPr>
        <w:pBdr>
          <w:bottom w:val="none" w:sz="0" w:space="8" w:color="000000"/>
        </w:pBdr>
        <w:shd w:val="clear" w:color="auto" w:fill="FFFFFF"/>
        <w:tabs>
          <w:tab w:val="left" w:pos="2500"/>
        </w:tabs>
        <w:jc w:val="center"/>
        <w:rPr>
          <w:sz w:val="24"/>
          <w:szCs w:val="24"/>
        </w:rPr>
      </w:pPr>
    </w:p>
    <w:p w14:paraId="4A193C80" w14:textId="77777777" w:rsidR="00313C7A" w:rsidRDefault="00B059D0">
      <w:pPr>
        <w:shd w:val="clear" w:color="auto" w:fill="FFFFFF"/>
        <w:tabs>
          <w:tab w:val="left" w:pos="2500"/>
        </w:tabs>
        <w:jc w:val="center"/>
        <w:rPr>
          <w:color w:val="FF0000"/>
          <w:sz w:val="24"/>
          <w:szCs w:val="24"/>
        </w:rPr>
      </w:pPr>
      <w:r>
        <w:rPr>
          <w:sz w:val="24"/>
          <w:szCs w:val="24"/>
        </w:rPr>
        <w:t>Carlos Daniel de Souza Vizentin</w:t>
      </w:r>
      <w:r>
        <w:rPr>
          <w:sz w:val="24"/>
          <w:szCs w:val="24"/>
          <w:vertAlign w:val="superscript"/>
        </w:rPr>
        <w:t>1</w:t>
      </w:r>
      <w:r>
        <w:rPr>
          <w:sz w:val="24"/>
          <w:szCs w:val="24"/>
        </w:rPr>
        <w:t>; Juan Francs Lima de Moura</w:t>
      </w:r>
      <w:r>
        <w:rPr>
          <w:sz w:val="24"/>
          <w:szCs w:val="24"/>
          <w:vertAlign w:val="superscript"/>
        </w:rPr>
        <w:t>2</w:t>
      </w:r>
      <w:r>
        <w:rPr>
          <w:sz w:val="24"/>
          <w:szCs w:val="24"/>
        </w:rPr>
        <w:t xml:space="preserve">; </w:t>
      </w:r>
      <w:r w:rsidRPr="00F56F04">
        <w:rPr>
          <w:sz w:val="24"/>
          <w:szCs w:val="24"/>
          <w:u w:val="single"/>
        </w:rPr>
        <w:t>Aline Maria Meiguins de Lima</w:t>
      </w:r>
      <w:r w:rsidRPr="00F56F04">
        <w:rPr>
          <w:sz w:val="24"/>
          <w:szCs w:val="24"/>
          <w:u w:val="single"/>
          <w:vertAlign w:val="superscript"/>
        </w:rPr>
        <w:t>3</w:t>
      </w:r>
    </w:p>
    <w:p w14:paraId="4A193C81" w14:textId="77777777" w:rsidR="00313C7A" w:rsidRDefault="00313C7A">
      <w:pPr>
        <w:shd w:val="clear" w:color="auto" w:fill="FFFFFF"/>
        <w:tabs>
          <w:tab w:val="left" w:pos="2500"/>
        </w:tabs>
        <w:jc w:val="center"/>
        <w:rPr>
          <w:b/>
          <w:bCs/>
          <w:color w:val="FF0000"/>
          <w:sz w:val="24"/>
          <w:szCs w:val="24"/>
        </w:rPr>
      </w:pPr>
    </w:p>
    <w:p w14:paraId="4A193C82" w14:textId="5E9EEA37" w:rsidR="00313C7A" w:rsidRDefault="00B059D0">
      <w:pPr>
        <w:keepLines/>
        <w:shd w:val="clear" w:color="auto" w:fill="FFFFFF"/>
        <w:tabs>
          <w:tab w:val="left" w:pos="2500"/>
        </w:tabs>
        <w:jc w:val="center"/>
        <w:rPr>
          <w:sz w:val="24"/>
          <w:szCs w:val="24"/>
        </w:rPr>
      </w:pPr>
      <w:r>
        <w:rPr>
          <w:sz w:val="24"/>
          <w:szCs w:val="24"/>
          <w:vertAlign w:val="superscript"/>
        </w:rPr>
        <w:t xml:space="preserve">1 </w:t>
      </w:r>
      <w:r w:rsidR="00D5251C" w:rsidRPr="00D5251C">
        <w:rPr>
          <w:sz w:val="24"/>
          <w:szCs w:val="24"/>
        </w:rPr>
        <w:t>Mestrando em Ciências Ambientais (PPGCA). Laboratório de Estudos e Modelagem Hidroambientais, Universidade Federal do Pará (UFPA)</w:t>
      </w:r>
      <w:r>
        <w:rPr>
          <w:sz w:val="24"/>
          <w:szCs w:val="24"/>
        </w:rPr>
        <w:t>. carlosdanielvizentin@gmail.com.</w:t>
      </w:r>
    </w:p>
    <w:p w14:paraId="401E01D3" w14:textId="77777777" w:rsidR="00D2134A" w:rsidRDefault="00D2134A">
      <w:pPr>
        <w:keepLines/>
        <w:shd w:val="clear" w:color="auto" w:fill="FFFFFF"/>
        <w:tabs>
          <w:tab w:val="left" w:pos="2500"/>
        </w:tabs>
        <w:jc w:val="center"/>
        <w:rPr>
          <w:sz w:val="24"/>
          <w:szCs w:val="24"/>
        </w:rPr>
      </w:pPr>
    </w:p>
    <w:p w14:paraId="4A193C83" w14:textId="1D43F0FF" w:rsidR="00313C7A" w:rsidRDefault="00B059D0">
      <w:pPr>
        <w:keepLines/>
        <w:shd w:val="clear" w:color="auto" w:fill="FFFFFF"/>
        <w:tabs>
          <w:tab w:val="left" w:pos="2500"/>
        </w:tabs>
        <w:jc w:val="center"/>
        <w:rPr>
          <w:sz w:val="24"/>
          <w:szCs w:val="24"/>
        </w:rPr>
      </w:pPr>
      <w:r>
        <w:rPr>
          <w:sz w:val="24"/>
          <w:szCs w:val="24"/>
          <w:vertAlign w:val="superscript"/>
        </w:rPr>
        <w:t xml:space="preserve">2 </w:t>
      </w:r>
      <w:r w:rsidR="00D2134A" w:rsidRPr="00D2134A">
        <w:rPr>
          <w:sz w:val="24"/>
          <w:szCs w:val="24"/>
        </w:rPr>
        <w:t>Mestrando em Ciências Ambientais (PPGCA). Laboratório de Estudos e Modelagem Hidroambientais, Universidade Federal do Pará (UFPA)</w:t>
      </w:r>
      <w:r>
        <w:rPr>
          <w:sz w:val="24"/>
          <w:szCs w:val="24"/>
        </w:rPr>
        <w:t>. Universidade Federal do Pará.</w:t>
      </w:r>
    </w:p>
    <w:p w14:paraId="478AF418" w14:textId="77777777" w:rsidR="00D2134A" w:rsidRDefault="00D2134A">
      <w:pPr>
        <w:keepLines/>
        <w:shd w:val="clear" w:color="auto" w:fill="FFFFFF"/>
        <w:tabs>
          <w:tab w:val="left" w:pos="2500"/>
        </w:tabs>
        <w:jc w:val="center"/>
        <w:rPr>
          <w:sz w:val="24"/>
          <w:szCs w:val="24"/>
        </w:rPr>
      </w:pPr>
    </w:p>
    <w:p w14:paraId="4A193C84" w14:textId="2D9A29BE" w:rsidR="00313C7A" w:rsidRPr="00F56F04" w:rsidRDefault="00B059D0">
      <w:pPr>
        <w:keepLines/>
        <w:shd w:val="clear" w:color="auto" w:fill="FFFFFF"/>
        <w:tabs>
          <w:tab w:val="left" w:pos="2500"/>
        </w:tabs>
        <w:jc w:val="center"/>
        <w:rPr>
          <w:color w:val="FF0000"/>
          <w:sz w:val="24"/>
          <w:szCs w:val="24"/>
          <w:u w:val="single"/>
        </w:rPr>
      </w:pPr>
      <w:r w:rsidRPr="00F56F04">
        <w:rPr>
          <w:sz w:val="24"/>
          <w:szCs w:val="24"/>
          <w:u w:val="single"/>
          <w:vertAlign w:val="superscript"/>
        </w:rPr>
        <w:t>3</w:t>
      </w:r>
      <w:r w:rsidRPr="00F56F04">
        <w:rPr>
          <w:sz w:val="24"/>
          <w:szCs w:val="24"/>
          <w:u w:val="single"/>
        </w:rPr>
        <w:t xml:space="preserve">Doutora em Desenvolvimento </w:t>
      </w:r>
      <w:r w:rsidR="003746A9">
        <w:rPr>
          <w:sz w:val="24"/>
          <w:szCs w:val="24"/>
          <w:u w:val="single"/>
        </w:rPr>
        <w:t>Socioambiental</w:t>
      </w:r>
      <w:r w:rsidRPr="00F56F04">
        <w:rPr>
          <w:sz w:val="24"/>
          <w:szCs w:val="24"/>
          <w:u w:val="single"/>
        </w:rPr>
        <w:t xml:space="preserve">. </w:t>
      </w:r>
      <w:r w:rsidR="00F56F04" w:rsidRPr="00F56F04">
        <w:rPr>
          <w:sz w:val="24"/>
          <w:szCs w:val="24"/>
          <w:u w:val="single"/>
        </w:rPr>
        <w:t>Laboratório de Estudos e Modelagem Hidroambientais, Universidade Federal do Pará (UFPA)</w:t>
      </w:r>
      <w:r w:rsidRPr="00F56F04">
        <w:rPr>
          <w:sz w:val="24"/>
          <w:szCs w:val="24"/>
          <w:u w:val="single"/>
        </w:rPr>
        <w:t>.</w:t>
      </w:r>
    </w:p>
    <w:p w14:paraId="4A193C85" w14:textId="77777777" w:rsidR="00313C7A" w:rsidRDefault="00313C7A">
      <w:pPr>
        <w:keepLines/>
        <w:pBdr>
          <w:bottom w:val="none" w:sz="0" w:space="8" w:color="000000"/>
        </w:pBdr>
        <w:shd w:val="clear" w:color="auto" w:fill="FFFFFF"/>
        <w:tabs>
          <w:tab w:val="left" w:pos="2500"/>
        </w:tabs>
        <w:spacing w:line="310" w:lineRule="auto"/>
        <w:jc w:val="center"/>
        <w:rPr>
          <w:sz w:val="24"/>
          <w:szCs w:val="24"/>
        </w:rPr>
      </w:pPr>
    </w:p>
    <w:p w14:paraId="4A193C86" w14:textId="77777777" w:rsidR="00313C7A" w:rsidRDefault="00B059D0">
      <w:pPr>
        <w:pBdr>
          <w:bottom w:val="none" w:sz="0" w:space="8" w:color="000000"/>
        </w:pBdr>
        <w:shd w:val="clear" w:color="auto" w:fill="FFFFFF"/>
        <w:tabs>
          <w:tab w:val="left" w:pos="2500"/>
        </w:tabs>
        <w:jc w:val="center"/>
        <w:rPr>
          <w:b/>
          <w:bCs/>
          <w:sz w:val="24"/>
          <w:szCs w:val="24"/>
          <w:u w:val="single"/>
        </w:rPr>
      </w:pPr>
      <w:r>
        <w:rPr>
          <w:b/>
          <w:bCs/>
          <w:sz w:val="24"/>
          <w:szCs w:val="24"/>
          <w:u w:val="single"/>
        </w:rPr>
        <w:t>RESUMO</w:t>
      </w:r>
    </w:p>
    <w:p w14:paraId="4A193C87" w14:textId="77777777" w:rsidR="00313C7A" w:rsidRDefault="00313C7A">
      <w:pPr>
        <w:pBdr>
          <w:bottom w:val="none" w:sz="0" w:space="8" w:color="000000"/>
        </w:pBdr>
        <w:shd w:val="clear" w:color="auto" w:fill="FFFFFF"/>
        <w:tabs>
          <w:tab w:val="left" w:pos="2500"/>
        </w:tabs>
        <w:jc w:val="center"/>
        <w:rPr>
          <w:color w:val="FF0000"/>
          <w:sz w:val="24"/>
          <w:szCs w:val="24"/>
          <w:u w:val="single"/>
        </w:rPr>
      </w:pPr>
    </w:p>
    <w:p w14:paraId="4A193C88" w14:textId="37981C94" w:rsidR="00313C7A" w:rsidRPr="00B132C7" w:rsidRDefault="00670B8F">
      <w:pPr>
        <w:shd w:val="clear" w:color="auto" w:fill="FFFFFF"/>
        <w:tabs>
          <w:tab w:val="left" w:pos="2500"/>
        </w:tabs>
        <w:jc w:val="both"/>
        <w:rPr>
          <w:sz w:val="24"/>
          <w:szCs w:val="24"/>
          <w:lang w:val="pt-BR"/>
        </w:rPr>
      </w:pPr>
      <w:r w:rsidRPr="00670B8F">
        <w:rPr>
          <w:sz w:val="24"/>
          <w:szCs w:val="24"/>
        </w:rPr>
        <w:t>O ano de 2024 foi marcado por recordes de queimadas em todo o Brasil</w:t>
      </w:r>
      <w:r w:rsidRPr="00B132C7">
        <w:rPr>
          <w:sz w:val="24"/>
          <w:szCs w:val="24"/>
          <w:lang w:val="pt-BR"/>
        </w:rPr>
        <w:t>.</w:t>
      </w:r>
      <w:r>
        <w:rPr>
          <w:sz w:val="24"/>
          <w:szCs w:val="24"/>
          <w:lang w:val="pt-BR"/>
        </w:rPr>
        <w:t xml:space="preserve"> </w:t>
      </w:r>
      <w:r w:rsidR="007C6005" w:rsidRPr="007C6005">
        <w:rPr>
          <w:sz w:val="24"/>
          <w:szCs w:val="24"/>
          <w:lang w:val="pt-BR"/>
        </w:rPr>
        <w:t>Pela primeira vez n</w:t>
      </w:r>
      <w:r w:rsidR="007C6005">
        <w:rPr>
          <w:sz w:val="24"/>
          <w:szCs w:val="24"/>
          <w:lang w:val="pt-BR"/>
        </w:rPr>
        <w:t>a</w:t>
      </w:r>
      <w:r w:rsidR="007C6005" w:rsidRPr="007C6005">
        <w:rPr>
          <w:sz w:val="24"/>
          <w:szCs w:val="24"/>
          <w:lang w:val="pt-BR"/>
        </w:rPr>
        <w:t xml:space="preserve"> </w:t>
      </w:r>
      <w:r w:rsidR="007C6005">
        <w:rPr>
          <w:sz w:val="24"/>
          <w:szCs w:val="24"/>
          <w:lang w:val="pt-BR"/>
        </w:rPr>
        <w:t>Amazônia</w:t>
      </w:r>
      <w:r w:rsidR="007C6005" w:rsidRPr="007C6005">
        <w:rPr>
          <w:sz w:val="24"/>
          <w:szCs w:val="24"/>
          <w:lang w:val="pt-BR"/>
        </w:rPr>
        <w:t>, áreas queimadas de florestas superaram as áreas de pastagens, tradicionalmente mais afetadas.</w:t>
      </w:r>
      <w:r w:rsidR="007C6005">
        <w:rPr>
          <w:sz w:val="24"/>
          <w:szCs w:val="24"/>
          <w:lang w:val="pt-BR"/>
        </w:rPr>
        <w:t xml:space="preserve"> </w:t>
      </w:r>
      <w:r w:rsidR="00CC1E57" w:rsidRPr="00CC1E57">
        <w:rPr>
          <w:sz w:val="24"/>
          <w:szCs w:val="24"/>
          <w:lang w:val="pt-BR"/>
        </w:rPr>
        <w:t>O fogo também afetou áreas protegidas, como Terras Indígenas.</w:t>
      </w:r>
      <w:r w:rsidR="00CC1E57">
        <w:rPr>
          <w:sz w:val="24"/>
          <w:szCs w:val="24"/>
          <w:lang w:val="pt-BR"/>
        </w:rPr>
        <w:t xml:space="preserve"> </w:t>
      </w:r>
      <w:r w:rsidR="00CC1E57" w:rsidRPr="00CC1E57">
        <w:rPr>
          <w:sz w:val="24"/>
          <w:szCs w:val="24"/>
          <w:lang w:val="pt-BR"/>
        </w:rPr>
        <w:t>Diante disso, o objetivo deste trabalho foi analisar e quantificar áreas queimadas em uma parcela dentro de duas Terras Indígenas no estado do Pará, através de imagens do Sentinel 2 e dos índices NBR e ΔNBR</w:t>
      </w:r>
      <w:r w:rsidR="00CC1E57">
        <w:rPr>
          <w:sz w:val="24"/>
          <w:szCs w:val="24"/>
          <w:lang w:val="pt-BR"/>
        </w:rPr>
        <w:t>.</w:t>
      </w:r>
      <w:r w:rsidR="000E0A94">
        <w:rPr>
          <w:sz w:val="24"/>
          <w:szCs w:val="24"/>
          <w:lang w:val="pt-BR"/>
        </w:rPr>
        <w:t xml:space="preserve"> </w:t>
      </w:r>
      <w:r w:rsidR="00983239" w:rsidRPr="00983239">
        <w:rPr>
          <w:sz w:val="24"/>
          <w:szCs w:val="24"/>
          <w:lang w:val="pt-BR"/>
        </w:rPr>
        <w:t>As imagens foram adquiridas através da plataforma do programa Copernicus</w:t>
      </w:r>
      <w:r w:rsidR="00983239">
        <w:rPr>
          <w:sz w:val="24"/>
          <w:szCs w:val="24"/>
          <w:lang w:val="pt-BR"/>
        </w:rPr>
        <w:t xml:space="preserve"> e processadas no software QGIS, </w:t>
      </w:r>
      <w:r w:rsidR="00F167C6">
        <w:rPr>
          <w:sz w:val="24"/>
          <w:szCs w:val="24"/>
          <w:lang w:val="pt-BR"/>
        </w:rPr>
        <w:t xml:space="preserve">com aplicação de composição colorida, </w:t>
      </w:r>
      <w:r w:rsidR="00591B09">
        <w:rPr>
          <w:sz w:val="24"/>
          <w:szCs w:val="24"/>
          <w:lang w:val="pt-BR"/>
        </w:rPr>
        <w:t xml:space="preserve">cálculo dos índices espectrais, classificação em graus de severidade de queimada e quantificação de áreas atingidas. </w:t>
      </w:r>
      <w:r w:rsidR="00767EDF" w:rsidRPr="00767EDF">
        <w:rPr>
          <w:sz w:val="24"/>
          <w:szCs w:val="24"/>
          <w:lang w:val="pt-BR"/>
        </w:rPr>
        <w:t>Ao considerar as classes de área não queimada, somaram-se 1,9 milhão de hectares, ou 85,36% da área de estudo</w:t>
      </w:r>
      <w:r w:rsidR="00B23F3B">
        <w:rPr>
          <w:sz w:val="24"/>
          <w:szCs w:val="24"/>
          <w:lang w:val="pt-BR"/>
        </w:rPr>
        <w:t>, enquanto as áreas queimadas</w:t>
      </w:r>
      <w:r w:rsidR="0060164F">
        <w:rPr>
          <w:sz w:val="24"/>
          <w:szCs w:val="24"/>
          <w:lang w:val="pt-BR"/>
        </w:rPr>
        <w:t xml:space="preserve"> totalizaram</w:t>
      </w:r>
      <w:r w:rsidR="00767EDF" w:rsidRPr="00767EDF">
        <w:rPr>
          <w:sz w:val="24"/>
          <w:szCs w:val="24"/>
          <w:lang w:val="pt-BR"/>
        </w:rPr>
        <w:t xml:space="preserve"> cerca de 326 mil hectares, o que corresponde a 14,64% da área total avaliada</w:t>
      </w:r>
      <w:r w:rsidR="0060164F">
        <w:rPr>
          <w:sz w:val="24"/>
          <w:szCs w:val="24"/>
          <w:lang w:val="pt-BR"/>
        </w:rPr>
        <w:t xml:space="preserve">. </w:t>
      </w:r>
      <w:r w:rsidR="00A20587" w:rsidRPr="00A20587">
        <w:rPr>
          <w:sz w:val="24"/>
          <w:szCs w:val="24"/>
          <w:lang w:val="pt-BR"/>
        </w:rPr>
        <w:t xml:space="preserve">De modo geral, as áreas atingidas se concentraram </w:t>
      </w:r>
      <w:r w:rsidR="00A20587">
        <w:rPr>
          <w:sz w:val="24"/>
          <w:szCs w:val="24"/>
          <w:lang w:val="pt-BR"/>
        </w:rPr>
        <w:t>na porção</w:t>
      </w:r>
      <w:r w:rsidR="00A20587" w:rsidRPr="00A20587">
        <w:rPr>
          <w:sz w:val="24"/>
          <w:szCs w:val="24"/>
          <w:lang w:val="pt-BR"/>
        </w:rPr>
        <w:t xml:space="preserve"> leste, na T</w:t>
      </w:r>
      <w:r w:rsidR="00A20587">
        <w:rPr>
          <w:sz w:val="24"/>
          <w:szCs w:val="24"/>
          <w:lang w:val="pt-BR"/>
        </w:rPr>
        <w:t>erra Indígena</w:t>
      </w:r>
      <w:r w:rsidR="00A20587" w:rsidRPr="00A20587">
        <w:rPr>
          <w:sz w:val="24"/>
          <w:szCs w:val="24"/>
          <w:lang w:val="pt-BR"/>
        </w:rPr>
        <w:t xml:space="preserve"> Kayapó, nas proximidades dos seus limites ao norte, evidenciando a dimensão das queimadas nesse território.</w:t>
      </w:r>
      <w:r w:rsidR="00841EA4" w:rsidRPr="00841EA4">
        <w:rPr>
          <w:sz w:val="24"/>
          <w:szCs w:val="24"/>
          <w:lang w:val="pt-BR"/>
        </w:rPr>
        <w:t xml:space="preserve"> </w:t>
      </w:r>
      <w:r w:rsidR="00AC7FAA">
        <w:rPr>
          <w:sz w:val="24"/>
          <w:szCs w:val="24"/>
          <w:lang w:val="pt-BR"/>
        </w:rPr>
        <w:t>O</w:t>
      </w:r>
      <w:r w:rsidR="00841EA4">
        <w:rPr>
          <w:sz w:val="24"/>
          <w:szCs w:val="24"/>
          <w:lang w:val="pt-BR"/>
        </w:rPr>
        <w:t>s í</w:t>
      </w:r>
      <w:r w:rsidR="00FF7AC4">
        <w:rPr>
          <w:sz w:val="24"/>
          <w:szCs w:val="24"/>
          <w:lang w:val="pt-BR"/>
        </w:rPr>
        <w:t>ndices apresentaram</w:t>
      </w:r>
      <w:r w:rsidR="000929E3">
        <w:rPr>
          <w:sz w:val="24"/>
          <w:szCs w:val="24"/>
          <w:lang w:val="pt-BR"/>
        </w:rPr>
        <w:t xml:space="preserve"> algumas</w:t>
      </w:r>
      <w:r w:rsidR="00FF7AC4">
        <w:rPr>
          <w:sz w:val="24"/>
          <w:szCs w:val="24"/>
          <w:lang w:val="pt-BR"/>
        </w:rPr>
        <w:t xml:space="preserve"> limitações em </w:t>
      </w:r>
      <w:r w:rsidR="00841EA4" w:rsidRPr="00841EA4">
        <w:rPr>
          <w:sz w:val="24"/>
          <w:szCs w:val="24"/>
          <w:lang w:val="pt-BR"/>
        </w:rPr>
        <w:t>seu uso relacionadas à presença de corpos hídricos, áreas de solo exposto e nuvens nas imagens analisadas, além de problemas de adaptação a diferentes tipos de vegetação</w:t>
      </w:r>
      <w:r w:rsidR="00FF7AC4">
        <w:rPr>
          <w:sz w:val="24"/>
          <w:szCs w:val="24"/>
          <w:lang w:val="pt-BR"/>
        </w:rPr>
        <w:t>. Apesar disso</w:t>
      </w:r>
      <w:r w:rsidR="00553334">
        <w:rPr>
          <w:sz w:val="24"/>
          <w:szCs w:val="24"/>
          <w:lang w:val="pt-BR"/>
        </w:rPr>
        <w:t xml:space="preserve">, essas ferramentas apresentam potencial </w:t>
      </w:r>
      <w:r w:rsidR="00553334" w:rsidRPr="00553334">
        <w:rPr>
          <w:sz w:val="24"/>
          <w:szCs w:val="24"/>
          <w:lang w:val="pt-BR"/>
        </w:rPr>
        <w:t xml:space="preserve">para </w:t>
      </w:r>
      <w:r w:rsidR="000F4528">
        <w:rPr>
          <w:sz w:val="24"/>
          <w:szCs w:val="24"/>
          <w:lang w:val="pt-BR"/>
        </w:rPr>
        <w:t>análise e monitoramento de</w:t>
      </w:r>
      <w:r w:rsidR="00553334" w:rsidRPr="00553334">
        <w:rPr>
          <w:sz w:val="24"/>
          <w:szCs w:val="24"/>
          <w:lang w:val="pt-BR"/>
        </w:rPr>
        <w:t xml:space="preserve"> </w:t>
      </w:r>
      <w:r w:rsidR="00464F11">
        <w:rPr>
          <w:sz w:val="24"/>
          <w:szCs w:val="24"/>
          <w:lang w:val="pt-BR"/>
        </w:rPr>
        <w:t xml:space="preserve">áreas </w:t>
      </w:r>
      <w:r w:rsidR="00553334" w:rsidRPr="00553334">
        <w:rPr>
          <w:sz w:val="24"/>
          <w:szCs w:val="24"/>
          <w:lang w:val="pt-BR"/>
        </w:rPr>
        <w:t>queimadas</w:t>
      </w:r>
      <w:r w:rsidR="00553334">
        <w:rPr>
          <w:sz w:val="24"/>
          <w:szCs w:val="24"/>
          <w:lang w:val="pt-BR"/>
        </w:rPr>
        <w:t>, com os ajustes necessários</w:t>
      </w:r>
      <w:r w:rsidR="000F4528">
        <w:rPr>
          <w:sz w:val="24"/>
          <w:szCs w:val="24"/>
          <w:lang w:val="pt-BR"/>
        </w:rPr>
        <w:t>.</w:t>
      </w:r>
    </w:p>
    <w:p w14:paraId="4A193C89" w14:textId="77777777" w:rsidR="00313C7A" w:rsidRPr="00B132C7" w:rsidRDefault="00313C7A">
      <w:pPr>
        <w:pBdr>
          <w:bottom w:val="none" w:sz="0" w:space="8" w:color="000000"/>
        </w:pBdr>
        <w:shd w:val="clear" w:color="auto" w:fill="FFFFFF"/>
        <w:tabs>
          <w:tab w:val="left" w:pos="2500"/>
        </w:tabs>
        <w:rPr>
          <w:sz w:val="24"/>
          <w:szCs w:val="24"/>
          <w:lang w:val="pt-BR"/>
        </w:rPr>
      </w:pPr>
    </w:p>
    <w:p w14:paraId="4A193C8A" w14:textId="46D21BAE" w:rsidR="00313C7A" w:rsidRDefault="00B059D0">
      <w:pPr>
        <w:shd w:val="clear" w:color="auto" w:fill="FFFFFF"/>
        <w:tabs>
          <w:tab w:val="left" w:pos="2500"/>
        </w:tabs>
        <w:rPr>
          <w:color w:val="FF0000"/>
          <w:sz w:val="24"/>
          <w:szCs w:val="24"/>
        </w:rPr>
      </w:pPr>
      <w:r>
        <w:rPr>
          <w:b/>
          <w:bCs/>
          <w:sz w:val="24"/>
          <w:szCs w:val="24"/>
        </w:rPr>
        <w:t xml:space="preserve">Palavras-chave: </w:t>
      </w:r>
      <w:r w:rsidR="00FF1EA8">
        <w:rPr>
          <w:sz w:val="24"/>
          <w:szCs w:val="24"/>
        </w:rPr>
        <w:t>Sensoriamento remoto.</w:t>
      </w:r>
      <w:r w:rsidR="00241AA3">
        <w:rPr>
          <w:sz w:val="24"/>
          <w:szCs w:val="24"/>
        </w:rPr>
        <w:t xml:space="preserve"> Cicatrizes de fogo.</w:t>
      </w:r>
      <w:r w:rsidR="007B4F74">
        <w:rPr>
          <w:sz w:val="24"/>
          <w:szCs w:val="24"/>
        </w:rPr>
        <w:t xml:space="preserve"> Amazônia</w:t>
      </w:r>
      <w:r w:rsidR="004B2108">
        <w:rPr>
          <w:sz w:val="24"/>
          <w:szCs w:val="24"/>
        </w:rPr>
        <w:t>.</w:t>
      </w:r>
    </w:p>
    <w:p w14:paraId="4A193C8B" w14:textId="77777777" w:rsidR="00313C7A" w:rsidRDefault="00313C7A">
      <w:pPr>
        <w:shd w:val="clear" w:color="auto" w:fill="FFFFFF"/>
        <w:tabs>
          <w:tab w:val="left" w:pos="2500"/>
        </w:tabs>
        <w:jc w:val="center"/>
        <w:rPr>
          <w:sz w:val="24"/>
          <w:szCs w:val="24"/>
        </w:rPr>
      </w:pPr>
    </w:p>
    <w:p w14:paraId="4A193C8C" w14:textId="3BE22727" w:rsidR="00313C7A" w:rsidRDefault="00B059D0">
      <w:pPr>
        <w:shd w:val="clear" w:color="auto" w:fill="FFFFFF"/>
        <w:tabs>
          <w:tab w:val="left" w:pos="2500"/>
        </w:tabs>
        <w:rPr>
          <w:b/>
          <w:bCs/>
          <w:color w:val="0000FF"/>
          <w:sz w:val="24"/>
          <w:szCs w:val="24"/>
          <w:u w:val="single"/>
        </w:rPr>
      </w:pPr>
      <w:r>
        <w:rPr>
          <w:b/>
          <w:bCs/>
          <w:sz w:val="24"/>
          <w:szCs w:val="24"/>
        </w:rPr>
        <w:t>Área de Interesse do Simpósio</w:t>
      </w:r>
      <w:r>
        <w:rPr>
          <w:sz w:val="24"/>
          <w:szCs w:val="24"/>
        </w:rPr>
        <w:t xml:space="preserve">: </w:t>
      </w:r>
      <w:r w:rsidR="003C1661">
        <w:rPr>
          <w:sz w:val="24"/>
          <w:szCs w:val="24"/>
        </w:rPr>
        <w:t>Metodologias, G</w:t>
      </w:r>
      <w:r>
        <w:rPr>
          <w:sz w:val="24"/>
          <w:szCs w:val="24"/>
        </w:rPr>
        <w:t xml:space="preserve">eotecnologias, </w:t>
      </w:r>
      <w:r w:rsidR="003C1661">
        <w:rPr>
          <w:sz w:val="24"/>
          <w:szCs w:val="24"/>
        </w:rPr>
        <w:t>E</w:t>
      </w:r>
      <w:r>
        <w:rPr>
          <w:sz w:val="24"/>
          <w:szCs w:val="24"/>
        </w:rPr>
        <w:t xml:space="preserve">statística, e </w:t>
      </w:r>
      <w:r w:rsidR="003C1661">
        <w:rPr>
          <w:sz w:val="24"/>
          <w:szCs w:val="24"/>
        </w:rPr>
        <w:t>D</w:t>
      </w:r>
      <w:r>
        <w:rPr>
          <w:sz w:val="24"/>
          <w:szCs w:val="24"/>
        </w:rPr>
        <w:t xml:space="preserve">ivulgação da </w:t>
      </w:r>
      <w:r w:rsidR="00B610B9">
        <w:rPr>
          <w:sz w:val="24"/>
          <w:szCs w:val="24"/>
        </w:rPr>
        <w:t>C</w:t>
      </w:r>
      <w:r>
        <w:rPr>
          <w:sz w:val="24"/>
          <w:szCs w:val="24"/>
        </w:rPr>
        <w:t>iência.</w:t>
      </w:r>
    </w:p>
    <w:p w14:paraId="4A193C8D" w14:textId="77777777" w:rsidR="00313C7A" w:rsidRDefault="00B059D0">
      <w:pPr>
        <w:pBdr>
          <w:bottom w:val="none" w:sz="0" w:space="8" w:color="000000"/>
        </w:pBdr>
        <w:shd w:val="clear" w:color="auto" w:fill="FFFFFF"/>
        <w:tabs>
          <w:tab w:val="left" w:pos="2500"/>
        </w:tabs>
        <w:rPr>
          <w:sz w:val="24"/>
          <w:szCs w:val="24"/>
        </w:rPr>
      </w:pPr>
      <w:r>
        <w:br w:type="page"/>
      </w:r>
    </w:p>
    <w:p w14:paraId="4A193C8E" w14:textId="77777777" w:rsidR="00313C7A" w:rsidRDefault="00B059D0">
      <w:pPr>
        <w:pBdr>
          <w:bottom w:val="none" w:sz="0" w:space="18" w:color="000000"/>
        </w:pBdr>
        <w:shd w:val="clear" w:color="auto" w:fill="FFFFFF"/>
        <w:tabs>
          <w:tab w:val="left" w:pos="2500"/>
        </w:tabs>
        <w:spacing w:line="360" w:lineRule="auto"/>
        <w:jc w:val="both"/>
        <w:rPr>
          <w:color w:val="FF0000"/>
          <w:sz w:val="24"/>
          <w:szCs w:val="24"/>
        </w:rPr>
      </w:pPr>
      <w:r>
        <w:rPr>
          <w:b/>
          <w:bCs/>
          <w:sz w:val="24"/>
          <w:szCs w:val="24"/>
        </w:rPr>
        <w:lastRenderedPageBreak/>
        <w:t xml:space="preserve">1. INTRODUÇÃO </w:t>
      </w:r>
    </w:p>
    <w:p w14:paraId="354DFA7E" w14:textId="3D10E125" w:rsidR="00780DC5" w:rsidRDefault="00780DC5">
      <w:pPr>
        <w:pBdr>
          <w:bottom w:val="none" w:sz="0" w:space="8" w:color="000000"/>
        </w:pBdr>
        <w:shd w:val="clear" w:color="auto" w:fill="FFFFFF"/>
        <w:tabs>
          <w:tab w:val="left" w:pos="699"/>
        </w:tabs>
        <w:spacing w:line="360" w:lineRule="auto"/>
        <w:ind w:firstLine="708"/>
        <w:jc w:val="both"/>
        <w:rPr>
          <w:sz w:val="24"/>
          <w:szCs w:val="24"/>
        </w:rPr>
      </w:pPr>
      <w:r w:rsidRPr="00780DC5">
        <w:rPr>
          <w:sz w:val="24"/>
          <w:szCs w:val="24"/>
        </w:rPr>
        <w:t>O ano de 2024 foi marcado por recordes de queimadas em todo o Brasil</w:t>
      </w:r>
      <w:r w:rsidR="00C633EC">
        <w:rPr>
          <w:sz w:val="24"/>
          <w:szCs w:val="24"/>
        </w:rPr>
        <w:t xml:space="preserve">, com um total de </w:t>
      </w:r>
      <w:r w:rsidRPr="00780DC5">
        <w:rPr>
          <w:sz w:val="24"/>
          <w:szCs w:val="24"/>
        </w:rPr>
        <w:t xml:space="preserve">30,8 milhões de hectares </w:t>
      </w:r>
      <w:r w:rsidR="00B31860">
        <w:rPr>
          <w:sz w:val="24"/>
          <w:szCs w:val="24"/>
        </w:rPr>
        <w:t xml:space="preserve">atingidos, </w:t>
      </w:r>
      <w:r w:rsidRPr="00780DC5">
        <w:rPr>
          <w:sz w:val="24"/>
          <w:szCs w:val="24"/>
        </w:rPr>
        <w:t>área 62% acima da média histórica. Na Amazônia, um dos agravantes foi o regime de chuvas abaixo da média, sob influência do El Niño. Pela primeira vez no bioma, áreas queimadas de florestas superaram as áreas de pastagens, tradicionalmente mais afetadas. O Pará foi o estado que mais queimou em 2024, com destaque para São Félix do Xingu, munícipio com maior área queimada do país</w:t>
      </w:r>
      <w:r w:rsidR="00203BEA">
        <w:rPr>
          <w:sz w:val="24"/>
          <w:szCs w:val="24"/>
        </w:rPr>
        <w:t xml:space="preserve">. </w:t>
      </w:r>
      <w:r w:rsidRPr="00780DC5">
        <w:rPr>
          <w:sz w:val="24"/>
          <w:szCs w:val="24"/>
        </w:rPr>
        <w:t xml:space="preserve">O fogo também afetou áreas protegidas, como Terras Indígenas (TIs). A Terra Indígena Kayapó, a mais </w:t>
      </w:r>
      <w:r w:rsidR="00203BEA">
        <w:rPr>
          <w:sz w:val="24"/>
          <w:szCs w:val="24"/>
        </w:rPr>
        <w:t>atingida</w:t>
      </w:r>
      <w:r w:rsidRPr="00780DC5">
        <w:rPr>
          <w:sz w:val="24"/>
          <w:szCs w:val="24"/>
        </w:rPr>
        <w:t xml:space="preserve"> no ano, teve cerca de 1 milhão de hectares queimados (MapBiomas, 2025).</w:t>
      </w:r>
    </w:p>
    <w:p w14:paraId="091630C2" w14:textId="77777777" w:rsidR="002C4801" w:rsidRDefault="009E320B">
      <w:pPr>
        <w:pBdr>
          <w:bottom w:val="none" w:sz="0" w:space="8" w:color="000000"/>
        </w:pBdr>
        <w:shd w:val="clear" w:color="auto" w:fill="FFFFFF"/>
        <w:tabs>
          <w:tab w:val="left" w:pos="699"/>
        </w:tabs>
        <w:spacing w:line="360" w:lineRule="auto"/>
        <w:ind w:firstLine="708"/>
        <w:jc w:val="both"/>
        <w:rPr>
          <w:sz w:val="24"/>
          <w:szCs w:val="24"/>
        </w:rPr>
      </w:pPr>
      <w:r>
        <w:rPr>
          <w:sz w:val="24"/>
          <w:szCs w:val="24"/>
        </w:rPr>
        <w:t xml:space="preserve">As Terras </w:t>
      </w:r>
      <w:r w:rsidR="002A2E93">
        <w:rPr>
          <w:sz w:val="24"/>
          <w:szCs w:val="24"/>
        </w:rPr>
        <w:t>Í</w:t>
      </w:r>
      <w:r>
        <w:rPr>
          <w:sz w:val="24"/>
          <w:szCs w:val="24"/>
        </w:rPr>
        <w:t xml:space="preserve">ndigenas, como outras áreas protegidas, </w:t>
      </w:r>
      <w:r w:rsidR="003F26CF">
        <w:rPr>
          <w:sz w:val="24"/>
          <w:szCs w:val="24"/>
        </w:rPr>
        <w:t>funcionam como barreiras</w:t>
      </w:r>
      <w:r w:rsidR="002A2E93">
        <w:rPr>
          <w:sz w:val="24"/>
          <w:szCs w:val="24"/>
        </w:rPr>
        <w:t xml:space="preserve"> contra o desmatamento e a degradação florestal na Amazônia.</w:t>
      </w:r>
      <w:r w:rsidR="00230763">
        <w:rPr>
          <w:sz w:val="24"/>
          <w:szCs w:val="24"/>
        </w:rPr>
        <w:t xml:space="preserve"> No entanto, </w:t>
      </w:r>
      <w:r w:rsidR="00AF13C9">
        <w:rPr>
          <w:sz w:val="24"/>
          <w:szCs w:val="24"/>
        </w:rPr>
        <w:t xml:space="preserve">esses territórios ainda estão vulneráveis </w:t>
      </w:r>
      <w:r w:rsidR="00F63181">
        <w:rPr>
          <w:sz w:val="24"/>
          <w:szCs w:val="24"/>
        </w:rPr>
        <w:t xml:space="preserve">aos impactos causados </w:t>
      </w:r>
      <w:r w:rsidR="00351F3F">
        <w:rPr>
          <w:sz w:val="24"/>
          <w:szCs w:val="24"/>
        </w:rPr>
        <w:t>por essas práticas</w:t>
      </w:r>
      <w:r w:rsidR="0040029D">
        <w:rPr>
          <w:sz w:val="24"/>
          <w:szCs w:val="24"/>
        </w:rPr>
        <w:t>. Em relação</w:t>
      </w:r>
      <w:r w:rsidR="00D5050E">
        <w:rPr>
          <w:sz w:val="24"/>
          <w:szCs w:val="24"/>
        </w:rPr>
        <w:t xml:space="preserve"> ao</w:t>
      </w:r>
      <w:r w:rsidR="0040029D">
        <w:rPr>
          <w:sz w:val="24"/>
          <w:szCs w:val="24"/>
        </w:rPr>
        <w:t xml:space="preserve"> fogo, </w:t>
      </w:r>
      <w:r w:rsidR="008A6014">
        <w:rPr>
          <w:sz w:val="24"/>
          <w:szCs w:val="24"/>
        </w:rPr>
        <w:t xml:space="preserve">a maioria das </w:t>
      </w:r>
      <w:r w:rsidR="00D5050E">
        <w:rPr>
          <w:sz w:val="24"/>
          <w:szCs w:val="24"/>
        </w:rPr>
        <w:t xml:space="preserve">queimadas </w:t>
      </w:r>
      <w:r w:rsidR="00F74107">
        <w:rPr>
          <w:sz w:val="24"/>
          <w:szCs w:val="24"/>
        </w:rPr>
        <w:t>que atingem</w:t>
      </w:r>
      <w:r w:rsidR="008A6014">
        <w:rPr>
          <w:sz w:val="24"/>
          <w:szCs w:val="24"/>
        </w:rPr>
        <w:t xml:space="preserve"> </w:t>
      </w:r>
      <w:r w:rsidR="00F74107">
        <w:rPr>
          <w:sz w:val="24"/>
          <w:szCs w:val="24"/>
        </w:rPr>
        <w:t>as</w:t>
      </w:r>
      <w:r w:rsidR="00D42DB1">
        <w:rPr>
          <w:sz w:val="24"/>
          <w:szCs w:val="24"/>
        </w:rPr>
        <w:t xml:space="preserve"> T</w:t>
      </w:r>
      <w:r w:rsidR="00EE7746">
        <w:rPr>
          <w:sz w:val="24"/>
          <w:szCs w:val="24"/>
        </w:rPr>
        <w:t>I</w:t>
      </w:r>
      <w:r w:rsidR="00D42DB1">
        <w:rPr>
          <w:sz w:val="24"/>
          <w:szCs w:val="24"/>
        </w:rPr>
        <w:t>s</w:t>
      </w:r>
      <w:r w:rsidR="008A6014">
        <w:rPr>
          <w:sz w:val="24"/>
          <w:szCs w:val="24"/>
        </w:rPr>
        <w:t xml:space="preserve"> se</w:t>
      </w:r>
      <w:r w:rsidR="00FD63A6">
        <w:rPr>
          <w:sz w:val="24"/>
          <w:szCs w:val="24"/>
        </w:rPr>
        <w:t xml:space="preserve"> inicia</w:t>
      </w:r>
      <w:r w:rsidR="00470586">
        <w:rPr>
          <w:sz w:val="24"/>
          <w:szCs w:val="24"/>
        </w:rPr>
        <w:t>m</w:t>
      </w:r>
      <w:r w:rsidR="00FD63A6">
        <w:rPr>
          <w:sz w:val="24"/>
          <w:szCs w:val="24"/>
        </w:rPr>
        <w:t xml:space="preserve"> fora dos territórios, </w:t>
      </w:r>
      <w:r w:rsidR="002A2A00">
        <w:rPr>
          <w:sz w:val="24"/>
          <w:szCs w:val="24"/>
        </w:rPr>
        <w:t>nas proximidades de suas bordas, espalhando</w:t>
      </w:r>
      <w:r w:rsidR="00470586">
        <w:rPr>
          <w:sz w:val="24"/>
          <w:szCs w:val="24"/>
        </w:rPr>
        <w:t>-se</w:t>
      </w:r>
      <w:r w:rsidR="002A2A00">
        <w:rPr>
          <w:sz w:val="24"/>
          <w:szCs w:val="24"/>
        </w:rPr>
        <w:t xml:space="preserve"> para dentr</w:t>
      </w:r>
      <w:r w:rsidR="00471C10">
        <w:rPr>
          <w:sz w:val="24"/>
          <w:szCs w:val="24"/>
        </w:rPr>
        <w:t>o</w:t>
      </w:r>
      <w:r w:rsidR="001373B7">
        <w:rPr>
          <w:sz w:val="24"/>
          <w:szCs w:val="24"/>
        </w:rPr>
        <w:t>, como</w:t>
      </w:r>
      <w:r w:rsidR="00F163E9">
        <w:rPr>
          <w:sz w:val="24"/>
          <w:szCs w:val="24"/>
        </w:rPr>
        <w:t xml:space="preserve"> destacado por Rorato </w:t>
      </w:r>
      <w:r w:rsidR="00F163E9" w:rsidRPr="00305510">
        <w:rPr>
          <w:i/>
          <w:iCs/>
          <w:sz w:val="24"/>
          <w:szCs w:val="24"/>
        </w:rPr>
        <w:t>et al</w:t>
      </w:r>
      <w:r w:rsidR="00F163E9">
        <w:rPr>
          <w:sz w:val="24"/>
          <w:szCs w:val="24"/>
        </w:rPr>
        <w:t xml:space="preserve">. (2021) e Santos </w:t>
      </w:r>
      <w:r w:rsidR="00F163E9" w:rsidRPr="00305510">
        <w:rPr>
          <w:i/>
          <w:iCs/>
          <w:sz w:val="24"/>
          <w:szCs w:val="24"/>
        </w:rPr>
        <w:t>et</w:t>
      </w:r>
      <w:r w:rsidR="00305510" w:rsidRPr="00305510">
        <w:rPr>
          <w:i/>
          <w:iCs/>
          <w:sz w:val="24"/>
          <w:szCs w:val="24"/>
        </w:rPr>
        <w:t xml:space="preserve"> al</w:t>
      </w:r>
      <w:r w:rsidR="00305510">
        <w:rPr>
          <w:sz w:val="24"/>
          <w:szCs w:val="24"/>
        </w:rPr>
        <w:t>. (2021).</w:t>
      </w:r>
    </w:p>
    <w:p w14:paraId="0DCF152E" w14:textId="2B0C170E" w:rsidR="001B7629" w:rsidRDefault="00F84F2F">
      <w:pPr>
        <w:pBdr>
          <w:bottom w:val="none" w:sz="0" w:space="8" w:color="000000"/>
        </w:pBdr>
        <w:shd w:val="clear" w:color="auto" w:fill="FFFFFF"/>
        <w:tabs>
          <w:tab w:val="left" w:pos="699"/>
        </w:tabs>
        <w:spacing w:line="360" w:lineRule="auto"/>
        <w:ind w:firstLine="708"/>
        <w:jc w:val="both"/>
        <w:rPr>
          <w:sz w:val="24"/>
          <w:szCs w:val="24"/>
        </w:rPr>
      </w:pPr>
      <w:r>
        <w:rPr>
          <w:sz w:val="24"/>
          <w:szCs w:val="24"/>
        </w:rPr>
        <w:t>A degradação causada pelo fogo, além da emissão de gases do efeito estufa</w:t>
      </w:r>
      <w:r w:rsidR="00541D29">
        <w:rPr>
          <w:sz w:val="24"/>
          <w:szCs w:val="24"/>
        </w:rPr>
        <w:t xml:space="preserve"> e preju</w:t>
      </w:r>
      <w:r w:rsidR="005F5F2C">
        <w:rPr>
          <w:sz w:val="24"/>
          <w:szCs w:val="24"/>
        </w:rPr>
        <w:t>ízos à biodiversidade</w:t>
      </w:r>
      <w:r w:rsidR="002B678D">
        <w:rPr>
          <w:sz w:val="24"/>
          <w:szCs w:val="24"/>
        </w:rPr>
        <w:t xml:space="preserve">, contribui para uma série de </w:t>
      </w:r>
      <w:r w:rsidR="007B7792">
        <w:rPr>
          <w:sz w:val="24"/>
          <w:szCs w:val="24"/>
        </w:rPr>
        <w:t>efeitos</w:t>
      </w:r>
      <w:r w:rsidR="006B7070">
        <w:rPr>
          <w:sz w:val="24"/>
          <w:szCs w:val="24"/>
        </w:rPr>
        <w:t xml:space="preserve"> negativos</w:t>
      </w:r>
      <w:r w:rsidR="00FF35D0">
        <w:rPr>
          <w:sz w:val="24"/>
          <w:szCs w:val="24"/>
        </w:rPr>
        <w:t xml:space="preserve"> que afetam principalmente as populações locais, como os povos indígenas</w:t>
      </w:r>
      <w:r w:rsidR="00B02C99">
        <w:rPr>
          <w:sz w:val="24"/>
          <w:szCs w:val="24"/>
        </w:rPr>
        <w:t xml:space="preserve">. </w:t>
      </w:r>
      <w:r w:rsidR="00766BEF">
        <w:rPr>
          <w:sz w:val="24"/>
          <w:szCs w:val="24"/>
        </w:rPr>
        <w:t>Os impactos incluem redução da disponibilidade de alimentos</w:t>
      </w:r>
      <w:r w:rsidR="00C97385">
        <w:rPr>
          <w:sz w:val="24"/>
          <w:szCs w:val="24"/>
        </w:rPr>
        <w:t xml:space="preserve"> e outros recursos florestais, aumento da incidência de doenças respiratórias e </w:t>
      </w:r>
      <w:r w:rsidR="00B7333C">
        <w:rPr>
          <w:sz w:val="24"/>
          <w:szCs w:val="24"/>
        </w:rPr>
        <w:t>danos a</w:t>
      </w:r>
      <w:r w:rsidR="00C97385">
        <w:rPr>
          <w:sz w:val="24"/>
          <w:szCs w:val="24"/>
        </w:rPr>
        <w:t xml:space="preserve"> espaços comunitários</w:t>
      </w:r>
      <w:r w:rsidR="00B95A94">
        <w:rPr>
          <w:sz w:val="24"/>
          <w:szCs w:val="24"/>
        </w:rPr>
        <w:t>. Além disso, a floresta afetada pelos incêndios se torna mais vulnerável a futuras queimadas</w:t>
      </w:r>
      <w:r w:rsidR="00B7333C">
        <w:rPr>
          <w:sz w:val="24"/>
          <w:szCs w:val="24"/>
        </w:rPr>
        <w:t xml:space="preserve"> (Lapola </w:t>
      </w:r>
      <w:r w:rsidR="00B7333C" w:rsidRPr="00B7333C">
        <w:rPr>
          <w:i/>
          <w:iCs/>
          <w:sz w:val="24"/>
          <w:szCs w:val="24"/>
        </w:rPr>
        <w:t>et al</w:t>
      </w:r>
      <w:r w:rsidR="00C97385">
        <w:rPr>
          <w:sz w:val="24"/>
          <w:szCs w:val="24"/>
        </w:rPr>
        <w:t>.</w:t>
      </w:r>
      <w:r w:rsidR="00B7333C">
        <w:rPr>
          <w:sz w:val="24"/>
          <w:szCs w:val="24"/>
        </w:rPr>
        <w:t>, 2023)</w:t>
      </w:r>
      <w:r w:rsidR="005A4EE2">
        <w:rPr>
          <w:sz w:val="24"/>
          <w:szCs w:val="24"/>
        </w:rPr>
        <w:t>.</w:t>
      </w:r>
    </w:p>
    <w:p w14:paraId="7DB53055" w14:textId="42B2C7F7" w:rsidR="005A4EE2" w:rsidRDefault="005A4EE2" w:rsidP="00FE0A87">
      <w:pPr>
        <w:pBdr>
          <w:bottom w:val="none" w:sz="0" w:space="8" w:color="000000"/>
        </w:pBdr>
        <w:shd w:val="clear" w:color="auto" w:fill="FFFFFF"/>
        <w:tabs>
          <w:tab w:val="left" w:pos="699"/>
        </w:tabs>
        <w:spacing w:line="360" w:lineRule="auto"/>
        <w:ind w:firstLine="708"/>
        <w:jc w:val="both"/>
        <w:rPr>
          <w:sz w:val="24"/>
          <w:szCs w:val="24"/>
        </w:rPr>
      </w:pPr>
      <w:r w:rsidRPr="005A4EE2">
        <w:rPr>
          <w:sz w:val="24"/>
          <w:szCs w:val="24"/>
        </w:rPr>
        <w:t>Nesse sentido, a utilização de ferramentas de sensoriamento remoto, como o cálculo de índices espectrais, pode ser útil para a identificação e quantificação d</w:t>
      </w:r>
      <w:r w:rsidR="005256DC">
        <w:rPr>
          <w:sz w:val="24"/>
          <w:szCs w:val="24"/>
        </w:rPr>
        <w:t>as</w:t>
      </w:r>
      <w:r w:rsidRPr="005A4EE2">
        <w:rPr>
          <w:sz w:val="24"/>
          <w:szCs w:val="24"/>
        </w:rPr>
        <w:t xml:space="preserve"> áreas queimadas. O NBR (</w:t>
      </w:r>
      <w:r w:rsidRPr="00544973">
        <w:rPr>
          <w:i/>
          <w:iCs/>
          <w:sz w:val="24"/>
          <w:szCs w:val="24"/>
        </w:rPr>
        <w:t>Normalized Burn Ratio</w:t>
      </w:r>
      <w:r w:rsidRPr="005A4EE2">
        <w:rPr>
          <w:sz w:val="24"/>
          <w:szCs w:val="24"/>
        </w:rPr>
        <w:t>)</w:t>
      </w:r>
      <w:r w:rsidR="00074685">
        <w:rPr>
          <w:sz w:val="24"/>
          <w:szCs w:val="24"/>
        </w:rPr>
        <w:t xml:space="preserve"> e o </w:t>
      </w:r>
      <w:r w:rsidR="00074685" w:rsidRPr="00074685">
        <w:rPr>
          <w:sz w:val="24"/>
          <w:szCs w:val="24"/>
        </w:rPr>
        <w:t>ΔNBR</w:t>
      </w:r>
      <w:r w:rsidRPr="005A4EE2">
        <w:rPr>
          <w:sz w:val="24"/>
          <w:szCs w:val="24"/>
        </w:rPr>
        <w:t>, proposto</w:t>
      </w:r>
      <w:r w:rsidR="00074685">
        <w:rPr>
          <w:sz w:val="24"/>
          <w:szCs w:val="24"/>
        </w:rPr>
        <w:t>s</w:t>
      </w:r>
      <w:r w:rsidRPr="005A4EE2">
        <w:rPr>
          <w:sz w:val="24"/>
          <w:szCs w:val="24"/>
        </w:rPr>
        <w:t xml:space="preserve"> por Key e Benson (1999</w:t>
      </w:r>
      <w:r w:rsidR="00250255">
        <w:rPr>
          <w:sz w:val="24"/>
          <w:szCs w:val="24"/>
        </w:rPr>
        <w:t>, 2006</w:t>
      </w:r>
      <w:r w:rsidRPr="005A4EE2">
        <w:rPr>
          <w:sz w:val="24"/>
          <w:szCs w:val="24"/>
        </w:rPr>
        <w:t>), utiliza</w:t>
      </w:r>
      <w:r w:rsidR="00250255">
        <w:rPr>
          <w:sz w:val="24"/>
          <w:szCs w:val="24"/>
        </w:rPr>
        <w:t>m</w:t>
      </w:r>
      <w:r w:rsidRPr="005A4EE2">
        <w:rPr>
          <w:sz w:val="24"/>
          <w:szCs w:val="24"/>
        </w:rPr>
        <w:t xml:space="preserve"> as bandas do infravermelho próximo (NIR) e do infravermelho de ondas curtas (SWIR) para destacar </w:t>
      </w:r>
      <w:r w:rsidR="003A75E9">
        <w:rPr>
          <w:sz w:val="24"/>
          <w:szCs w:val="24"/>
        </w:rPr>
        <w:t>as cicatrizes do fogo na vegetação</w:t>
      </w:r>
      <w:r w:rsidR="003D2C8C">
        <w:rPr>
          <w:sz w:val="24"/>
          <w:szCs w:val="24"/>
        </w:rPr>
        <w:t>.</w:t>
      </w:r>
      <w:r w:rsidR="00C87EE0">
        <w:rPr>
          <w:sz w:val="24"/>
          <w:szCs w:val="24"/>
        </w:rPr>
        <w:t xml:space="preserve"> </w:t>
      </w:r>
      <w:r w:rsidR="003D2C8C">
        <w:rPr>
          <w:sz w:val="24"/>
          <w:szCs w:val="24"/>
        </w:rPr>
        <w:t>Esses índices têm</w:t>
      </w:r>
      <w:r w:rsidR="00FE1146">
        <w:rPr>
          <w:sz w:val="24"/>
          <w:szCs w:val="24"/>
        </w:rPr>
        <w:t xml:space="preserve"> sido</w:t>
      </w:r>
      <w:r w:rsidR="00EE1906">
        <w:rPr>
          <w:sz w:val="24"/>
          <w:szCs w:val="24"/>
        </w:rPr>
        <w:t xml:space="preserve"> aplicados </w:t>
      </w:r>
      <w:r w:rsidR="000252DC">
        <w:rPr>
          <w:sz w:val="24"/>
          <w:szCs w:val="24"/>
        </w:rPr>
        <w:t>de forma eficiente</w:t>
      </w:r>
      <w:r w:rsidR="00720688">
        <w:rPr>
          <w:sz w:val="24"/>
          <w:szCs w:val="24"/>
        </w:rPr>
        <w:t xml:space="preserve"> em estudos</w:t>
      </w:r>
      <w:r w:rsidR="00B26B56">
        <w:rPr>
          <w:sz w:val="24"/>
          <w:szCs w:val="24"/>
        </w:rPr>
        <w:t xml:space="preserve"> abrangendo</w:t>
      </w:r>
      <w:r w:rsidR="0031152B">
        <w:rPr>
          <w:sz w:val="24"/>
          <w:szCs w:val="24"/>
        </w:rPr>
        <w:t xml:space="preserve"> áreas protegidas, como as</w:t>
      </w:r>
      <w:r w:rsidR="00B26B56">
        <w:rPr>
          <w:sz w:val="24"/>
          <w:szCs w:val="24"/>
        </w:rPr>
        <w:t xml:space="preserve"> </w:t>
      </w:r>
      <w:r w:rsidR="007029AD">
        <w:rPr>
          <w:sz w:val="24"/>
          <w:szCs w:val="24"/>
        </w:rPr>
        <w:t>TIs</w:t>
      </w:r>
      <w:r w:rsidR="003F5EEA">
        <w:rPr>
          <w:sz w:val="24"/>
          <w:szCs w:val="24"/>
        </w:rPr>
        <w:t xml:space="preserve"> (</w:t>
      </w:r>
      <w:r w:rsidR="004077CF">
        <w:rPr>
          <w:sz w:val="24"/>
          <w:szCs w:val="24"/>
        </w:rPr>
        <w:t>Silva Junior</w:t>
      </w:r>
      <w:r w:rsidR="000D25E8">
        <w:rPr>
          <w:sz w:val="24"/>
          <w:szCs w:val="24"/>
        </w:rPr>
        <w:t xml:space="preserve">; Moraes, 2021; Walker </w:t>
      </w:r>
      <w:r w:rsidR="000D25E8" w:rsidRPr="000D25E8">
        <w:rPr>
          <w:i/>
          <w:iCs/>
          <w:sz w:val="24"/>
          <w:szCs w:val="24"/>
        </w:rPr>
        <w:t>et al</w:t>
      </w:r>
      <w:r w:rsidR="000D25E8">
        <w:rPr>
          <w:sz w:val="24"/>
          <w:szCs w:val="24"/>
        </w:rPr>
        <w:t>., 2022).</w:t>
      </w:r>
      <w:r w:rsidR="00C87EE0">
        <w:rPr>
          <w:sz w:val="24"/>
          <w:szCs w:val="24"/>
        </w:rPr>
        <w:t xml:space="preserve"> </w:t>
      </w:r>
      <w:r w:rsidR="00B63583">
        <w:rPr>
          <w:sz w:val="24"/>
          <w:szCs w:val="24"/>
        </w:rPr>
        <w:t xml:space="preserve">Diante disso, o objetivo deste trabalho foi </w:t>
      </w:r>
      <w:r w:rsidR="009027B5">
        <w:rPr>
          <w:sz w:val="24"/>
          <w:szCs w:val="24"/>
        </w:rPr>
        <w:t xml:space="preserve">analisar </w:t>
      </w:r>
      <w:r w:rsidR="00AC4AB2">
        <w:rPr>
          <w:sz w:val="24"/>
          <w:szCs w:val="24"/>
        </w:rPr>
        <w:t xml:space="preserve">e quantificar áreas queimadas </w:t>
      </w:r>
      <w:r w:rsidR="00A64D45">
        <w:rPr>
          <w:sz w:val="24"/>
          <w:szCs w:val="24"/>
        </w:rPr>
        <w:t>em uma parcela dentro de duas Terras Indígenas no estado do Pará</w:t>
      </w:r>
      <w:r w:rsidR="0031152B">
        <w:rPr>
          <w:sz w:val="24"/>
          <w:szCs w:val="24"/>
        </w:rPr>
        <w:t>,</w:t>
      </w:r>
      <w:r w:rsidR="00A64D45">
        <w:rPr>
          <w:sz w:val="24"/>
          <w:szCs w:val="24"/>
        </w:rPr>
        <w:t xml:space="preserve"> </w:t>
      </w:r>
      <w:r w:rsidR="002E7EE2">
        <w:rPr>
          <w:sz w:val="24"/>
          <w:szCs w:val="24"/>
        </w:rPr>
        <w:t>através de imagens do Sentinel</w:t>
      </w:r>
      <w:r w:rsidR="009C6339">
        <w:rPr>
          <w:sz w:val="24"/>
          <w:szCs w:val="24"/>
        </w:rPr>
        <w:t xml:space="preserve"> </w:t>
      </w:r>
      <w:r w:rsidR="002E7EE2">
        <w:rPr>
          <w:sz w:val="24"/>
          <w:szCs w:val="24"/>
        </w:rPr>
        <w:t>2 e do</w:t>
      </w:r>
      <w:r w:rsidR="001D3129">
        <w:rPr>
          <w:sz w:val="24"/>
          <w:szCs w:val="24"/>
        </w:rPr>
        <w:t>s índices</w:t>
      </w:r>
      <w:r w:rsidR="002E7EE2">
        <w:rPr>
          <w:sz w:val="24"/>
          <w:szCs w:val="24"/>
        </w:rPr>
        <w:t xml:space="preserve"> NBR</w:t>
      </w:r>
      <w:r w:rsidR="001D3129">
        <w:rPr>
          <w:sz w:val="24"/>
          <w:szCs w:val="24"/>
        </w:rPr>
        <w:t xml:space="preserve"> e </w:t>
      </w:r>
      <w:r w:rsidR="001D3129" w:rsidRPr="00074685">
        <w:rPr>
          <w:sz w:val="24"/>
          <w:szCs w:val="24"/>
        </w:rPr>
        <w:t>ΔNBR</w:t>
      </w:r>
      <w:r w:rsidR="00C13CD0">
        <w:rPr>
          <w:sz w:val="24"/>
          <w:szCs w:val="24"/>
        </w:rPr>
        <w:t>.</w:t>
      </w:r>
    </w:p>
    <w:p w14:paraId="4A193C91" w14:textId="77777777" w:rsidR="00313C7A" w:rsidRDefault="00B059D0">
      <w:pPr>
        <w:pBdr>
          <w:bottom w:val="none" w:sz="0" w:space="18" w:color="000000"/>
        </w:pBdr>
        <w:shd w:val="clear" w:color="auto" w:fill="FFFFFF"/>
        <w:tabs>
          <w:tab w:val="left" w:pos="2500"/>
        </w:tabs>
        <w:spacing w:line="310" w:lineRule="auto"/>
        <w:jc w:val="both"/>
        <w:rPr>
          <w:color w:val="FF0000"/>
          <w:sz w:val="24"/>
          <w:szCs w:val="24"/>
        </w:rPr>
      </w:pPr>
      <w:r>
        <w:rPr>
          <w:b/>
          <w:bCs/>
          <w:sz w:val="24"/>
          <w:szCs w:val="24"/>
        </w:rPr>
        <w:lastRenderedPageBreak/>
        <w:t>2. MATERIAL E MÉTODOS</w:t>
      </w:r>
    </w:p>
    <w:p w14:paraId="4A193C93" w14:textId="77806E7D" w:rsidR="00313C7A" w:rsidRDefault="00B059D0" w:rsidP="007A4A48">
      <w:pPr>
        <w:pBdr>
          <w:bottom w:val="none" w:sz="0" w:space="8" w:color="000000"/>
        </w:pBdr>
        <w:tabs>
          <w:tab w:val="left" w:pos="2500"/>
        </w:tabs>
        <w:spacing w:line="360" w:lineRule="auto"/>
        <w:ind w:firstLine="700"/>
        <w:jc w:val="both"/>
        <w:rPr>
          <w:sz w:val="24"/>
          <w:szCs w:val="24"/>
        </w:rPr>
      </w:pPr>
      <w:r>
        <w:rPr>
          <w:sz w:val="24"/>
          <w:szCs w:val="24"/>
        </w:rPr>
        <w:t xml:space="preserve">A área </w:t>
      </w:r>
      <w:r w:rsidR="000D044A">
        <w:rPr>
          <w:sz w:val="24"/>
          <w:szCs w:val="24"/>
        </w:rPr>
        <w:t>de estudo</w:t>
      </w:r>
      <w:r w:rsidR="000E2FCD">
        <w:rPr>
          <w:sz w:val="24"/>
          <w:szCs w:val="24"/>
        </w:rPr>
        <w:t xml:space="preserve"> (Figura 1)</w:t>
      </w:r>
      <w:r>
        <w:rPr>
          <w:sz w:val="24"/>
          <w:szCs w:val="24"/>
        </w:rPr>
        <w:t xml:space="preserve"> consistiu em um mosaico de duas imagens do satélite Sentinel-2A, das células T22MBS e T22MC</w:t>
      </w:r>
      <w:r w:rsidR="000E2FCD">
        <w:rPr>
          <w:sz w:val="24"/>
          <w:szCs w:val="24"/>
        </w:rPr>
        <w:t>S</w:t>
      </w:r>
      <w:r>
        <w:rPr>
          <w:sz w:val="24"/>
          <w:szCs w:val="24"/>
        </w:rPr>
        <w:t xml:space="preserve">. Os critérios de escolha para as células </w:t>
      </w:r>
      <w:r w:rsidR="001D4EEF">
        <w:rPr>
          <w:sz w:val="24"/>
          <w:szCs w:val="24"/>
        </w:rPr>
        <w:t>justifica</w:t>
      </w:r>
      <w:r w:rsidR="008B0849">
        <w:rPr>
          <w:sz w:val="24"/>
          <w:szCs w:val="24"/>
        </w:rPr>
        <w:t>m</w:t>
      </w:r>
      <w:r w:rsidR="001D4EEF">
        <w:rPr>
          <w:sz w:val="24"/>
          <w:szCs w:val="24"/>
        </w:rPr>
        <w:t>-se pela</w:t>
      </w:r>
      <w:r>
        <w:rPr>
          <w:sz w:val="24"/>
          <w:szCs w:val="24"/>
        </w:rPr>
        <w:t xml:space="preserve"> presença de grande cobertura de formação florestal dentro de TIs e áreas que foram amplamente afetadas pelas queimadas em 2024, de acordo com a plataforma do MapBiomas. As células abrangem parte dos municípios de São Félix do Xingu, Altamira e Ourilândia do Norte, no estado do Pará, que ocuparam 3 posições entre os 5 municípios com maior área queimada em 2024. Além disso, foram abrangidas porções das terras indígenas Kayapó e Menkragnoti, ambas entre as 20 TIs mais afetadas</w:t>
      </w:r>
      <w:r w:rsidR="00BA2291">
        <w:rPr>
          <w:sz w:val="24"/>
          <w:szCs w:val="24"/>
        </w:rPr>
        <w:t xml:space="preserve"> (</w:t>
      </w:r>
      <w:r w:rsidR="000D044A">
        <w:rPr>
          <w:sz w:val="24"/>
          <w:szCs w:val="24"/>
        </w:rPr>
        <w:t>MapBiomas, 2025)</w:t>
      </w:r>
      <w:r>
        <w:rPr>
          <w:sz w:val="24"/>
          <w:szCs w:val="24"/>
        </w:rPr>
        <w:t>.</w:t>
      </w:r>
    </w:p>
    <w:p w14:paraId="304FF88A" w14:textId="77777777" w:rsidR="007A4A48" w:rsidRDefault="007A4A48" w:rsidP="003F6889">
      <w:pPr>
        <w:pBdr>
          <w:bottom w:val="none" w:sz="0" w:space="8" w:color="000000"/>
        </w:pBdr>
        <w:tabs>
          <w:tab w:val="left" w:pos="2500"/>
        </w:tabs>
        <w:jc w:val="both"/>
        <w:rPr>
          <w:sz w:val="24"/>
          <w:szCs w:val="24"/>
        </w:rPr>
      </w:pPr>
    </w:p>
    <w:p w14:paraId="4A193C94" w14:textId="77777777" w:rsidR="00313C7A" w:rsidRDefault="00B059D0">
      <w:pPr>
        <w:pBdr>
          <w:bottom w:val="none" w:sz="0" w:space="6" w:color="000000"/>
        </w:pBdr>
        <w:shd w:val="clear" w:color="auto" w:fill="FFFFFF"/>
        <w:tabs>
          <w:tab w:val="left" w:pos="2500"/>
        </w:tabs>
        <w:jc w:val="center"/>
        <w:rPr>
          <w:color w:val="FF0000"/>
        </w:rPr>
      </w:pPr>
      <w:r>
        <w:t>Figura 1 – Mapa de localização da área de estudo.</w:t>
      </w:r>
    </w:p>
    <w:p w14:paraId="4A193C95" w14:textId="7EE5E1C2" w:rsidR="00313C7A" w:rsidRDefault="004561E3">
      <w:pPr>
        <w:widowControl/>
        <w:jc w:val="center"/>
        <w:rPr>
          <w:highlight w:val="white"/>
        </w:rPr>
      </w:pPr>
      <w:r>
        <w:rPr>
          <w:noProof/>
        </w:rPr>
        <w:drawing>
          <wp:inline distT="0" distB="0" distL="0" distR="0" wp14:anchorId="5412DB24" wp14:editId="1DC4AAE6">
            <wp:extent cx="5040000" cy="3564377"/>
            <wp:effectExtent l="0" t="0" r="8255" b="0"/>
            <wp:docPr id="193218546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185464" name="Imagem 1932185464"/>
                    <pic:cNvPicPr/>
                  </pic:nvPicPr>
                  <pic:blipFill>
                    <a:blip r:embed="rId7"/>
                    <a:stretch>
                      <a:fillRect/>
                    </a:stretch>
                  </pic:blipFill>
                  <pic:spPr>
                    <a:xfrm>
                      <a:off x="0" y="0"/>
                      <a:ext cx="5040000" cy="3564377"/>
                    </a:xfrm>
                    <a:prstGeom prst="rect">
                      <a:avLst/>
                    </a:prstGeom>
                  </pic:spPr>
                </pic:pic>
              </a:graphicData>
            </a:graphic>
          </wp:inline>
        </w:drawing>
      </w:r>
    </w:p>
    <w:p w14:paraId="4A193C97" w14:textId="35671DB1" w:rsidR="00313C7A" w:rsidRPr="0079630F" w:rsidRDefault="00B059D0" w:rsidP="0079630F">
      <w:pPr>
        <w:pBdr>
          <w:bottom w:val="none" w:sz="0" w:space="8" w:color="000000"/>
        </w:pBdr>
        <w:shd w:val="clear" w:color="auto" w:fill="FFFFFF"/>
        <w:tabs>
          <w:tab w:val="left" w:pos="2500"/>
        </w:tabs>
        <w:spacing w:after="240"/>
        <w:rPr>
          <w:sz w:val="24"/>
          <w:szCs w:val="24"/>
        </w:rPr>
      </w:pPr>
      <w:r>
        <w:rPr>
          <w:highlight w:val="white"/>
        </w:rPr>
        <w:t>Fonte: Autores, 2025.</w:t>
      </w:r>
    </w:p>
    <w:p w14:paraId="4A193C98" w14:textId="301000F5" w:rsidR="00313C7A" w:rsidRDefault="00B059D0">
      <w:pPr>
        <w:widowControl/>
        <w:spacing w:line="360" w:lineRule="auto"/>
        <w:ind w:firstLine="709"/>
        <w:jc w:val="both"/>
        <w:rPr>
          <w:sz w:val="24"/>
          <w:szCs w:val="24"/>
        </w:rPr>
      </w:pPr>
      <w:r>
        <w:rPr>
          <w:sz w:val="24"/>
          <w:szCs w:val="24"/>
        </w:rPr>
        <w:t>As imagens do sensor MSI do satélite Sentinel 2-A foram adquiridas através da plataforma do programa Copernicus. O período com maior atividade de queimadas para a área de estudo em 2024</w:t>
      </w:r>
      <w:r w:rsidR="00F10B31">
        <w:rPr>
          <w:sz w:val="24"/>
          <w:szCs w:val="24"/>
        </w:rPr>
        <w:t>,</w:t>
      </w:r>
      <w:r>
        <w:rPr>
          <w:sz w:val="24"/>
          <w:szCs w:val="24"/>
        </w:rPr>
        <w:t xml:space="preserve"> de acordo com o Monitor do Fogo do MapBiomas</w:t>
      </w:r>
      <w:r w:rsidR="00F10B31">
        <w:rPr>
          <w:sz w:val="24"/>
          <w:szCs w:val="24"/>
        </w:rPr>
        <w:t>,</w:t>
      </w:r>
      <w:r>
        <w:rPr>
          <w:sz w:val="24"/>
          <w:szCs w:val="24"/>
        </w:rPr>
        <w:t xml:space="preserve"> foi de agosto a outubro. </w:t>
      </w:r>
      <w:r>
        <w:rPr>
          <w:sz w:val="24"/>
          <w:szCs w:val="24"/>
        </w:rPr>
        <w:lastRenderedPageBreak/>
        <w:t>Por esse motivo, foram selecionadas imagens com a menor porcentagem de cobertura de nuvens antes e depois desse período. Com esses critérios, foram adquiridas cenas do dia 06 de junho de 2024 e do dia 03 de novembro de 2024 para as análises antes e depois das queimadas. As imagens possuem nível de processo L2A, com correção de efeitos atmosféricos.</w:t>
      </w:r>
    </w:p>
    <w:p w14:paraId="4A193C99" w14:textId="6C5BA94F" w:rsidR="00313C7A" w:rsidRDefault="00B059D0">
      <w:pPr>
        <w:widowControl/>
        <w:spacing w:line="360" w:lineRule="auto"/>
        <w:ind w:firstLine="709"/>
        <w:jc w:val="both"/>
        <w:rPr>
          <w:sz w:val="24"/>
          <w:szCs w:val="24"/>
        </w:rPr>
      </w:pPr>
      <w:r>
        <w:rPr>
          <w:sz w:val="24"/>
          <w:szCs w:val="24"/>
        </w:rPr>
        <w:t>Os procedimentos de análise espacial foram realizados com o software QGIS, na versão 3.40.11. Foram utilizadas as bandas 4 (Vermelho)</w:t>
      </w:r>
      <w:r w:rsidR="00FE3D39">
        <w:rPr>
          <w:sz w:val="24"/>
          <w:szCs w:val="24"/>
        </w:rPr>
        <w:t>,</w:t>
      </w:r>
      <w:r>
        <w:rPr>
          <w:sz w:val="24"/>
          <w:szCs w:val="24"/>
        </w:rPr>
        <w:t xml:space="preserve"> 8 (NIR)</w:t>
      </w:r>
      <w:r w:rsidR="00FE3D39">
        <w:rPr>
          <w:sz w:val="24"/>
          <w:szCs w:val="24"/>
        </w:rPr>
        <w:t xml:space="preserve"> e </w:t>
      </w:r>
      <w:r>
        <w:rPr>
          <w:sz w:val="24"/>
          <w:szCs w:val="24"/>
        </w:rPr>
        <w:t>12 (SWIR)</w:t>
      </w:r>
      <w:r w:rsidR="00FE3D39">
        <w:rPr>
          <w:sz w:val="24"/>
          <w:szCs w:val="24"/>
        </w:rPr>
        <w:t>.</w:t>
      </w:r>
      <w:r w:rsidR="00A7655C">
        <w:rPr>
          <w:sz w:val="24"/>
          <w:szCs w:val="24"/>
        </w:rPr>
        <w:t xml:space="preserve"> </w:t>
      </w:r>
      <w:r w:rsidR="004752CB">
        <w:rPr>
          <w:sz w:val="24"/>
          <w:szCs w:val="24"/>
        </w:rPr>
        <w:t>Primeiramente, f</w:t>
      </w:r>
      <w:r>
        <w:rPr>
          <w:sz w:val="24"/>
          <w:szCs w:val="24"/>
        </w:rPr>
        <w:t xml:space="preserve">oi realizada </w:t>
      </w:r>
      <w:r w:rsidR="004752CB">
        <w:rPr>
          <w:sz w:val="24"/>
          <w:szCs w:val="24"/>
        </w:rPr>
        <w:t>a</w:t>
      </w:r>
      <w:r>
        <w:rPr>
          <w:sz w:val="24"/>
          <w:szCs w:val="24"/>
        </w:rPr>
        <w:t xml:space="preserve"> composição colorida RGB 12/8/4, proposta por Key e Benson (2006) para </w:t>
      </w:r>
      <w:r w:rsidR="005D25AA">
        <w:rPr>
          <w:sz w:val="24"/>
          <w:szCs w:val="24"/>
        </w:rPr>
        <w:t>análise</w:t>
      </w:r>
      <w:r>
        <w:rPr>
          <w:sz w:val="24"/>
          <w:szCs w:val="24"/>
        </w:rPr>
        <w:t xml:space="preserve"> visual </w:t>
      </w:r>
      <w:r w:rsidR="0071216E">
        <w:rPr>
          <w:sz w:val="24"/>
          <w:szCs w:val="24"/>
        </w:rPr>
        <w:t xml:space="preserve">prévia </w:t>
      </w:r>
      <w:r>
        <w:rPr>
          <w:sz w:val="24"/>
          <w:szCs w:val="24"/>
        </w:rPr>
        <w:t xml:space="preserve">de áreas queimadas. O cálculo do NBR para os meses de junho e novembro foi realizado conforme a equação </w:t>
      </w:r>
      <w:r w:rsidR="005B6FD1">
        <w:rPr>
          <w:sz w:val="24"/>
          <w:szCs w:val="24"/>
        </w:rPr>
        <w:t xml:space="preserve">1, </w:t>
      </w:r>
      <w:r>
        <w:rPr>
          <w:sz w:val="24"/>
          <w:szCs w:val="24"/>
        </w:rPr>
        <w:t xml:space="preserve">de Key e Benson (1999), </w:t>
      </w:r>
      <w:r w:rsidR="00885480">
        <w:rPr>
          <w:sz w:val="24"/>
          <w:szCs w:val="24"/>
        </w:rPr>
        <w:t>adaptada</w:t>
      </w:r>
      <w:r>
        <w:rPr>
          <w:sz w:val="24"/>
          <w:szCs w:val="24"/>
        </w:rPr>
        <w:t xml:space="preserve"> para o Sentinel 2</w:t>
      </w:r>
      <w:r w:rsidR="00B31606">
        <w:rPr>
          <w:sz w:val="24"/>
          <w:szCs w:val="24"/>
        </w:rPr>
        <w:t>.</w:t>
      </w:r>
    </w:p>
    <w:p w14:paraId="4A193C9A" w14:textId="77777777" w:rsidR="00313C7A" w:rsidRDefault="00313C7A" w:rsidP="005C5875">
      <w:pPr>
        <w:widowControl/>
        <w:jc w:val="center"/>
        <w:rPr>
          <w:sz w:val="24"/>
          <w:szCs w:val="24"/>
        </w:rPr>
      </w:pPr>
    </w:p>
    <w:p w14:paraId="4A193C9B" w14:textId="04A70458" w:rsidR="00313C7A" w:rsidRDefault="00B059D0" w:rsidP="003E09CB">
      <w:pPr>
        <w:widowControl/>
        <w:spacing w:after="160" w:line="259" w:lineRule="auto"/>
        <w:ind w:firstLine="709"/>
        <w:rPr>
          <w:rFonts w:ascii="Cambria Math" w:eastAsia="Cambria Math" w:hAnsi="Cambria Math" w:cs="Cambria Math"/>
          <w:sz w:val="24"/>
          <w:szCs w:val="24"/>
        </w:rPr>
      </w:pPr>
      <m:oMath>
        <m:r>
          <w:rPr>
            <w:rFonts w:ascii="Cambria Math" w:eastAsia="Cambria Math" w:hAnsi="Cambria Math" w:cs="Cambria Math"/>
            <w:sz w:val="24"/>
            <w:szCs w:val="24"/>
          </w:rPr>
          <m:t>NBR=</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 xml:space="preserve">NIR </m:t>
            </m:r>
            <m:d>
              <m:dPr>
                <m:ctrlPr>
                  <w:rPr>
                    <w:rFonts w:ascii="Cambria Math" w:eastAsia="Cambria Math" w:hAnsi="Cambria Math" w:cs="Cambria Math"/>
                    <w:sz w:val="24"/>
                    <w:szCs w:val="24"/>
                  </w:rPr>
                </m:ctrlPr>
              </m:dPr>
              <m:e>
                <m:r>
                  <w:rPr>
                    <w:rFonts w:ascii="Cambria Math" w:eastAsia="Cambria Math" w:hAnsi="Cambria Math" w:cs="Cambria Math"/>
                    <w:sz w:val="24"/>
                    <w:szCs w:val="24"/>
                  </w:rPr>
                  <m:t>B8</m:t>
                </m:r>
              </m:e>
            </m:d>
            <m:r>
              <w:rPr>
                <w:rFonts w:ascii="Cambria Math" w:eastAsia="Cambria Math" w:hAnsi="Cambria Math" w:cs="Cambria Math"/>
                <w:sz w:val="24"/>
                <w:szCs w:val="24"/>
              </w:rPr>
              <m:t>-SWIR (B12)</m:t>
            </m:r>
          </m:num>
          <m:den>
            <m:r>
              <w:rPr>
                <w:rFonts w:ascii="Cambria Math" w:eastAsia="Cambria Math" w:hAnsi="Cambria Math" w:cs="Cambria Math"/>
                <w:sz w:val="24"/>
                <w:szCs w:val="24"/>
              </w:rPr>
              <m:t xml:space="preserve">NIR </m:t>
            </m:r>
            <m:d>
              <m:dPr>
                <m:ctrlPr>
                  <w:rPr>
                    <w:rFonts w:ascii="Cambria Math" w:eastAsia="Cambria Math" w:hAnsi="Cambria Math" w:cs="Cambria Math"/>
                    <w:sz w:val="24"/>
                    <w:szCs w:val="24"/>
                  </w:rPr>
                </m:ctrlPr>
              </m:dPr>
              <m:e>
                <m:r>
                  <w:rPr>
                    <w:rFonts w:ascii="Cambria Math" w:eastAsia="Cambria Math" w:hAnsi="Cambria Math" w:cs="Cambria Math"/>
                    <w:sz w:val="24"/>
                    <w:szCs w:val="24"/>
                  </w:rPr>
                  <m:t>B8</m:t>
                </m:r>
              </m:e>
            </m:d>
            <m:r>
              <w:rPr>
                <w:rFonts w:ascii="Cambria Math" w:eastAsia="Cambria Math" w:hAnsi="Cambria Math" w:cs="Cambria Math"/>
                <w:sz w:val="24"/>
                <w:szCs w:val="24"/>
              </w:rPr>
              <m:t>+SWIR (B12)</m:t>
            </m:r>
          </m:den>
        </m:f>
      </m:oMath>
      <w:r w:rsidR="00BB7374">
        <w:rPr>
          <w:rFonts w:ascii="Cambria Math" w:eastAsia="Cambria Math" w:hAnsi="Cambria Math" w:cs="Cambria Math"/>
          <w:sz w:val="24"/>
          <w:szCs w:val="24"/>
        </w:rPr>
        <w:t xml:space="preserve"> </w:t>
      </w:r>
      <w:r w:rsidR="005B6FD1">
        <w:rPr>
          <w:rFonts w:ascii="Cambria Math" w:eastAsia="Cambria Math" w:hAnsi="Cambria Math" w:cs="Cambria Math"/>
          <w:sz w:val="24"/>
          <w:szCs w:val="24"/>
        </w:rPr>
        <w:tab/>
      </w:r>
      <w:r w:rsidR="005B6FD1">
        <w:rPr>
          <w:rFonts w:ascii="Cambria Math" w:eastAsia="Cambria Math" w:hAnsi="Cambria Math" w:cs="Cambria Math"/>
          <w:sz w:val="24"/>
          <w:szCs w:val="24"/>
        </w:rPr>
        <w:tab/>
      </w:r>
      <w:r w:rsidR="005B6FD1">
        <w:rPr>
          <w:rFonts w:ascii="Cambria Math" w:eastAsia="Cambria Math" w:hAnsi="Cambria Math" w:cs="Cambria Math"/>
          <w:sz w:val="24"/>
          <w:szCs w:val="24"/>
        </w:rPr>
        <w:tab/>
      </w:r>
      <w:r w:rsidR="005B6FD1">
        <w:rPr>
          <w:rFonts w:ascii="Cambria Math" w:eastAsia="Cambria Math" w:hAnsi="Cambria Math" w:cs="Cambria Math"/>
          <w:sz w:val="24"/>
          <w:szCs w:val="24"/>
        </w:rPr>
        <w:tab/>
      </w:r>
      <w:r w:rsidR="005B6FD1">
        <w:rPr>
          <w:rFonts w:ascii="Cambria Math" w:eastAsia="Cambria Math" w:hAnsi="Cambria Math" w:cs="Cambria Math"/>
          <w:sz w:val="24"/>
          <w:szCs w:val="24"/>
        </w:rPr>
        <w:tab/>
      </w:r>
      <w:r w:rsidR="005B6FD1">
        <w:rPr>
          <w:rFonts w:ascii="Cambria Math" w:eastAsia="Cambria Math" w:hAnsi="Cambria Math" w:cs="Cambria Math"/>
          <w:sz w:val="24"/>
          <w:szCs w:val="24"/>
        </w:rPr>
        <w:tab/>
      </w:r>
      <w:r w:rsidR="005B6FD1">
        <w:rPr>
          <w:rFonts w:ascii="Cambria Math" w:eastAsia="Cambria Math" w:hAnsi="Cambria Math" w:cs="Cambria Math"/>
          <w:sz w:val="24"/>
          <w:szCs w:val="24"/>
        </w:rPr>
        <w:tab/>
      </w:r>
      <w:r w:rsidR="005B6FD1">
        <w:rPr>
          <w:rFonts w:ascii="Cambria Math" w:eastAsia="Cambria Math" w:hAnsi="Cambria Math" w:cs="Cambria Math"/>
          <w:sz w:val="24"/>
          <w:szCs w:val="24"/>
        </w:rPr>
        <w:tab/>
      </w:r>
      <w:r w:rsidR="003E09CB">
        <w:rPr>
          <w:rFonts w:ascii="Cambria Math" w:eastAsia="Cambria Math" w:hAnsi="Cambria Math" w:cs="Cambria Math"/>
          <w:sz w:val="24"/>
          <w:szCs w:val="24"/>
        </w:rPr>
        <w:t xml:space="preserve"> </w:t>
      </w:r>
      <w:r w:rsidR="005B6FD1">
        <w:rPr>
          <w:rFonts w:ascii="Cambria Math" w:eastAsia="Cambria Math" w:hAnsi="Cambria Math" w:cs="Cambria Math"/>
          <w:sz w:val="24"/>
          <w:szCs w:val="24"/>
        </w:rPr>
        <w:t>(1)</w:t>
      </w:r>
    </w:p>
    <w:p w14:paraId="4A193C9C" w14:textId="77777777" w:rsidR="00313C7A" w:rsidRDefault="00313C7A" w:rsidP="005C5875">
      <w:pPr>
        <w:widowControl/>
        <w:jc w:val="center"/>
        <w:rPr>
          <w:sz w:val="24"/>
          <w:szCs w:val="24"/>
        </w:rPr>
      </w:pPr>
    </w:p>
    <w:p w14:paraId="4A193C9D" w14:textId="3DFCCBCF" w:rsidR="00313C7A" w:rsidRDefault="00B059D0" w:rsidP="003C74F7">
      <w:pPr>
        <w:widowControl/>
        <w:spacing w:line="360" w:lineRule="auto"/>
        <w:ind w:firstLine="709"/>
        <w:jc w:val="both"/>
        <w:rPr>
          <w:sz w:val="24"/>
          <w:szCs w:val="24"/>
        </w:rPr>
      </w:pPr>
      <w:r>
        <w:rPr>
          <w:sz w:val="24"/>
          <w:szCs w:val="24"/>
        </w:rPr>
        <w:t>Em seguida, foi calculado o ΔNBR, conforme a equação</w:t>
      </w:r>
      <w:r w:rsidR="00AB514E">
        <w:rPr>
          <w:sz w:val="24"/>
          <w:szCs w:val="24"/>
        </w:rPr>
        <w:t xml:space="preserve"> 2,</w:t>
      </w:r>
      <w:r>
        <w:rPr>
          <w:sz w:val="24"/>
          <w:szCs w:val="24"/>
        </w:rPr>
        <w:t xml:space="preserve"> de Key e Benson (2006), em escala 10</w:t>
      </w:r>
      <w:r>
        <w:rPr>
          <w:sz w:val="24"/>
          <w:szCs w:val="24"/>
          <w:vertAlign w:val="superscript"/>
        </w:rPr>
        <w:t>3</w:t>
      </w:r>
      <w:r>
        <w:rPr>
          <w:sz w:val="24"/>
          <w:szCs w:val="24"/>
        </w:rPr>
        <w:t>, para análise do grau de severidade de queimadas</w:t>
      </w:r>
      <w:r w:rsidR="00B31606">
        <w:rPr>
          <w:sz w:val="24"/>
          <w:szCs w:val="24"/>
        </w:rPr>
        <w:t>.</w:t>
      </w:r>
    </w:p>
    <w:p w14:paraId="4A193C9E" w14:textId="77777777" w:rsidR="00313C7A" w:rsidRDefault="00313C7A" w:rsidP="005C5875">
      <w:pPr>
        <w:widowControl/>
        <w:ind w:firstLine="709"/>
        <w:jc w:val="both"/>
        <w:rPr>
          <w:sz w:val="24"/>
          <w:szCs w:val="24"/>
        </w:rPr>
      </w:pPr>
    </w:p>
    <w:p w14:paraId="4A193CA0" w14:textId="2D512644" w:rsidR="00313C7A" w:rsidRPr="0096402F" w:rsidRDefault="00B059D0" w:rsidP="0096402F">
      <w:pPr>
        <w:widowControl/>
        <w:spacing w:after="160" w:line="259" w:lineRule="auto"/>
        <w:ind w:firstLine="709"/>
        <w:jc w:val="center"/>
        <w:rPr>
          <w:rFonts w:ascii="Cambria Math" w:eastAsia="Cambria Math" w:hAnsi="Cambria Math" w:cs="Cambria Math"/>
          <w:sz w:val="24"/>
          <w:szCs w:val="24"/>
        </w:rPr>
      </w:pPr>
      <m:oMath>
        <m:r>
          <w:rPr>
            <w:rFonts w:ascii="Cambria Math" w:eastAsia="Cambria Math" w:hAnsi="Cambria Math" w:cs="Cambria Math"/>
            <w:sz w:val="24"/>
            <w:szCs w:val="24"/>
          </w:rPr>
          <m:t>ΔNBR=(NBR pré  ̵fogo-NBR pós  ̵fogo)∙</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10</m:t>
            </m:r>
          </m:e>
          <m:sup>
            <m:r>
              <w:rPr>
                <w:rFonts w:ascii="Cambria Math" w:eastAsia="Cambria Math" w:hAnsi="Cambria Math" w:cs="Cambria Math"/>
                <w:sz w:val="24"/>
                <w:szCs w:val="24"/>
              </w:rPr>
              <m:t>3</m:t>
            </m:r>
          </m:sup>
        </m:sSup>
      </m:oMath>
      <w:r w:rsidR="005B6FD1">
        <w:rPr>
          <w:rFonts w:ascii="Cambria Math" w:eastAsia="Cambria Math" w:hAnsi="Cambria Math" w:cs="Cambria Math"/>
          <w:sz w:val="24"/>
          <w:szCs w:val="24"/>
        </w:rPr>
        <w:t xml:space="preserve"> </w:t>
      </w:r>
      <w:r w:rsidR="00E87D8E">
        <w:rPr>
          <w:rFonts w:ascii="Cambria Math" w:eastAsia="Cambria Math" w:hAnsi="Cambria Math" w:cs="Cambria Math"/>
          <w:sz w:val="24"/>
          <w:szCs w:val="24"/>
        </w:rPr>
        <w:tab/>
      </w:r>
      <w:r w:rsidR="00E87D8E">
        <w:rPr>
          <w:rFonts w:ascii="Cambria Math" w:eastAsia="Cambria Math" w:hAnsi="Cambria Math" w:cs="Cambria Math"/>
          <w:sz w:val="24"/>
          <w:szCs w:val="24"/>
        </w:rPr>
        <w:tab/>
      </w:r>
      <w:r w:rsidR="00E87D8E">
        <w:rPr>
          <w:rFonts w:ascii="Cambria Math" w:eastAsia="Cambria Math" w:hAnsi="Cambria Math" w:cs="Cambria Math"/>
          <w:sz w:val="24"/>
          <w:szCs w:val="24"/>
        </w:rPr>
        <w:tab/>
      </w:r>
      <w:r w:rsidR="00E87D8E">
        <w:rPr>
          <w:rFonts w:ascii="Cambria Math" w:eastAsia="Cambria Math" w:hAnsi="Cambria Math" w:cs="Cambria Math"/>
          <w:sz w:val="24"/>
          <w:szCs w:val="24"/>
        </w:rPr>
        <w:tab/>
        <w:t xml:space="preserve"> (2)</w:t>
      </w:r>
    </w:p>
    <w:p w14:paraId="5B878CD3" w14:textId="77777777" w:rsidR="001A3E12" w:rsidRDefault="001A3E12" w:rsidP="006C64F7">
      <w:pPr>
        <w:widowControl/>
        <w:spacing w:line="360" w:lineRule="auto"/>
        <w:ind w:firstLine="709"/>
        <w:jc w:val="both"/>
        <w:rPr>
          <w:sz w:val="24"/>
          <w:szCs w:val="24"/>
        </w:rPr>
      </w:pPr>
    </w:p>
    <w:p w14:paraId="3492D47D" w14:textId="0BC8E228" w:rsidR="001A3E12" w:rsidRDefault="001A3E12" w:rsidP="00DE4590">
      <w:pPr>
        <w:widowControl/>
        <w:spacing w:line="360" w:lineRule="auto"/>
        <w:ind w:firstLine="709"/>
        <w:jc w:val="both"/>
        <w:rPr>
          <w:sz w:val="24"/>
          <w:szCs w:val="24"/>
        </w:rPr>
      </w:pPr>
      <w:r>
        <w:rPr>
          <w:sz w:val="24"/>
          <w:szCs w:val="24"/>
        </w:rPr>
        <w:t xml:space="preserve">O resultado do ΔNBR foi reclassificado de acordo com as classes de grau de severidade </w:t>
      </w:r>
      <w:r w:rsidR="00A17B08">
        <w:rPr>
          <w:sz w:val="24"/>
          <w:szCs w:val="24"/>
        </w:rPr>
        <w:t xml:space="preserve">(Tabela 1) </w:t>
      </w:r>
      <w:r>
        <w:rPr>
          <w:sz w:val="24"/>
          <w:szCs w:val="24"/>
        </w:rPr>
        <w:t>propostas por Key e Benson (2006). Por fim, foram calculadas as áreas ocupadas por cada classe em hectares.</w:t>
      </w:r>
    </w:p>
    <w:p w14:paraId="519EE7E2" w14:textId="77777777" w:rsidR="00DE4590" w:rsidRDefault="00DE4590" w:rsidP="006C64F7">
      <w:pPr>
        <w:widowControl/>
        <w:spacing w:line="360" w:lineRule="auto"/>
        <w:ind w:firstLine="709"/>
        <w:jc w:val="both"/>
        <w:rPr>
          <w:sz w:val="24"/>
          <w:szCs w:val="24"/>
        </w:rPr>
      </w:pPr>
    </w:p>
    <w:p w14:paraId="1E394BEA" w14:textId="0D44AC6C" w:rsidR="00693C94" w:rsidRPr="00693C94" w:rsidRDefault="00745E77" w:rsidP="00745E77">
      <w:pPr>
        <w:widowControl/>
        <w:spacing w:line="259" w:lineRule="auto"/>
        <w:jc w:val="both"/>
      </w:pPr>
      <w:r>
        <w:t>Tabela 1</w:t>
      </w:r>
      <w:r>
        <w:rPr>
          <w:b/>
          <w:bCs/>
        </w:rPr>
        <w:t xml:space="preserve"> – </w:t>
      </w:r>
      <w:r w:rsidRPr="00480D64">
        <w:t>Graus de severidade de queimada na área de estudo</w:t>
      </w:r>
      <w:r>
        <w:t>.</w:t>
      </w:r>
    </w:p>
    <w:tbl>
      <w:tblPr>
        <w:tblStyle w:val="Tabelacomgrade"/>
        <w:tblW w:w="9070" w:type="dxa"/>
        <w:tblLook w:val="04A0" w:firstRow="1" w:lastRow="0" w:firstColumn="1" w:lastColumn="0" w:noHBand="0" w:noVBand="1"/>
      </w:tblPr>
      <w:tblGrid>
        <w:gridCol w:w="4535"/>
        <w:gridCol w:w="4535"/>
      </w:tblGrid>
      <w:tr w:rsidR="00231F72" w14:paraId="4D284D82" w14:textId="77777777" w:rsidTr="00D10561">
        <w:trPr>
          <w:trHeight w:val="397"/>
        </w:trPr>
        <w:tc>
          <w:tcPr>
            <w:tcW w:w="4535" w:type="dxa"/>
            <w:tcBorders>
              <w:top w:val="single" w:sz="8" w:space="0" w:color="auto"/>
              <w:left w:val="nil"/>
              <w:bottom w:val="single" w:sz="8" w:space="0" w:color="auto"/>
              <w:right w:val="nil"/>
            </w:tcBorders>
            <w:vAlign w:val="center"/>
          </w:tcPr>
          <w:p w14:paraId="6748BDA2" w14:textId="77777777" w:rsidR="00231F72" w:rsidRPr="00BA4D61" w:rsidRDefault="00231F72" w:rsidP="006E27A2">
            <w:pPr>
              <w:spacing w:line="360" w:lineRule="auto"/>
              <w:jc w:val="center"/>
              <w:rPr>
                <w:rFonts w:ascii="Times New Roman" w:hAnsi="Times New Roman" w:cs="Times New Roman"/>
                <w:b/>
                <w:bCs/>
              </w:rPr>
            </w:pPr>
            <w:r w:rsidRPr="00BA4D61">
              <w:rPr>
                <w:rFonts w:ascii="Times New Roman" w:hAnsi="Times New Roman" w:cs="Times New Roman"/>
                <w:b/>
                <w:bCs/>
              </w:rPr>
              <w:t>Grau de severidade</w:t>
            </w:r>
          </w:p>
        </w:tc>
        <w:tc>
          <w:tcPr>
            <w:tcW w:w="4535" w:type="dxa"/>
            <w:tcBorders>
              <w:top w:val="single" w:sz="8" w:space="0" w:color="auto"/>
              <w:left w:val="nil"/>
              <w:bottom w:val="single" w:sz="8" w:space="0" w:color="auto"/>
              <w:right w:val="nil"/>
            </w:tcBorders>
          </w:tcPr>
          <w:p w14:paraId="60883332" w14:textId="72CE9103" w:rsidR="00231F72" w:rsidRPr="00BA4D61" w:rsidRDefault="00231F72" w:rsidP="006E27A2">
            <w:pPr>
              <w:spacing w:line="360" w:lineRule="auto"/>
              <w:jc w:val="center"/>
              <w:rPr>
                <w:b/>
                <w:bCs/>
              </w:rPr>
            </w:pPr>
            <w:r w:rsidRPr="00BA4D61">
              <w:rPr>
                <w:rFonts w:ascii="Times New Roman" w:hAnsi="Times New Roman" w:cs="Times New Roman"/>
                <w:b/>
                <w:bCs/>
              </w:rPr>
              <w:t>Valores de ΔNBR</w:t>
            </w:r>
          </w:p>
        </w:tc>
      </w:tr>
      <w:tr w:rsidR="00231F72" w14:paraId="2E695984" w14:textId="77777777" w:rsidTr="00D10561">
        <w:tc>
          <w:tcPr>
            <w:tcW w:w="4535" w:type="dxa"/>
            <w:tcBorders>
              <w:top w:val="single" w:sz="8" w:space="0" w:color="auto"/>
              <w:left w:val="nil"/>
              <w:bottom w:val="nil"/>
              <w:right w:val="nil"/>
            </w:tcBorders>
            <w:vAlign w:val="center"/>
          </w:tcPr>
          <w:p w14:paraId="1E3263CC" w14:textId="77777777" w:rsidR="00231F72" w:rsidRPr="00BA4D61" w:rsidRDefault="00231F72" w:rsidP="00693C94">
            <w:pPr>
              <w:spacing w:line="360" w:lineRule="auto"/>
              <w:jc w:val="center"/>
              <w:rPr>
                <w:rFonts w:ascii="Times New Roman" w:hAnsi="Times New Roman" w:cs="Times New Roman"/>
              </w:rPr>
            </w:pPr>
            <w:r w:rsidRPr="00BA4D61">
              <w:rPr>
                <w:rFonts w:ascii="Times New Roman" w:hAnsi="Times New Roman" w:cs="Times New Roman"/>
              </w:rPr>
              <w:t>Alta regeneração</w:t>
            </w:r>
          </w:p>
        </w:tc>
        <w:tc>
          <w:tcPr>
            <w:tcW w:w="4535" w:type="dxa"/>
            <w:tcBorders>
              <w:top w:val="single" w:sz="8" w:space="0" w:color="auto"/>
              <w:left w:val="nil"/>
              <w:bottom w:val="nil"/>
              <w:right w:val="nil"/>
            </w:tcBorders>
            <w:vAlign w:val="center"/>
          </w:tcPr>
          <w:p w14:paraId="580A568C" w14:textId="3FF5E4A3" w:rsidR="00231F72" w:rsidRPr="00BA4D61" w:rsidRDefault="00231F72" w:rsidP="00693C94">
            <w:pPr>
              <w:spacing w:line="360" w:lineRule="auto"/>
              <w:jc w:val="center"/>
            </w:pPr>
            <w:r w:rsidRPr="00BA4D61">
              <w:rPr>
                <w:rFonts w:ascii="Times New Roman" w:hAnsi="Times New Roman" w:cs="Times New Roman"/>
              </w:rPr>
              <w:t>-500 a -251</w:t>
            </w:r>
          </w:p>
        </w:tc>
      </w:tr>
      <w:tr w:rsidR="00231F72" w14:paraId="27A8819D" w14:textId="77777777" w:rsidTr="00231F72">
        <w:tc>
          <w:tcPr>
            <w:tcW w:w="4535" w:type="dxa"/>
            <w:tcBorders>
              <w:top w:val="nil"/>
              <w:left w:val="nil"/>
              <w:bottom w:val="nil"/>
              <w:right w:val="nil"/>
            </w:tcBorders>
            <w:vAlign w:val="center"/>
          </w:tcPr>
          <w:p w14:paraId="1A9BE4BD" w14:textId="77777777" w:rsidR="00231F72" w:rsidRPr="00BA4D61" w:rsidRDefault="00231F72" w:rsidP="00693C94">
            <w:pPr>
              <w:spacing w:line="360" w:lineRule="auto"/>
              <w:jc w:val="center"/>
              <w:rPr>
                <w:rFonts w:ascii="Times New Roman" w:hAnsi="Times New Roman" w:cs="Times New Roman"/>
              </w:rPr>
            </w:pPr>
            <w:r w:rsidRPr="00BA4D61">
              <w:rPr>
                <w:rFonts w:ascii="Times New Roman" w:hAnsi="Times New Roman" w:cs="Times New Roman"/>
              </w:rPr>
              <w:t>Baixa regeneração</w:t>
            </w:r>
          </w:p>
        </w:tc>
        <w:tc>
          <w:tcPr>
            <w:tcW w:w="4535" w:type="dxa"/>
            <w:tcBorders>
              <w:top w:val="nil"/>
              <w:left w:val="nil"/>
              <w:bottom w:val="nil"/>
              <w:right w:val="nil"/>
            </w:tcBorders>
            <w:vAlign w:val="center"/>
          </w:tcPr>
          <w:p w14:paraId="7EC61CD1" w14:textId="5751198E" w:rsidR="00231F72" w:rsidRPr="00BA4D61" w:rsidRDefault="00231F72" w:rsidP="00693C94">
            <w:pPr>
              <w:spacing w:line="360" w:lineRule="auto"/>
              <w:jc w:val="center"/>
            </w:pPr>
            <w:r w:rsidRPr="00BA4D61">
              <w:rPr>
                <w:rFonts w:ascii="Times New Roman" w:hAnsi="Times New Roman" w:cs="Times New Roman"/>
              </w:rPr>
              <w:t>-250 a -101</w:t>
            </w:r>
          </w:p>
        </w:tc>
      </w:tr>
      <w:tr w:rsidR="00231F72" w14:paraId="29B1867D" w14:textId="77777777" w:rsidTr="00231F72">
        <w:tc>
          <w:tcPr>
            <w:tcW w:w="4535" w:type="dxa"/>
            <w:tcBorders>
              <w:top w:val="nil"/>
              <w:left w:val="nil"/>
              <w:bottom w:val="nil"/>
              <w:right w:val="nil"/>
            </w:tcBorders>
            <w:vAlign w:val="center"/>
          </w:tcPr>
          <w:p w14:paraId="068124B4" w14:textId="77777777" w:rsidR="00231F72" w:rsidRPr="00BA4D61" w:rsidRDefault="00231F72" w:rsidP="00693C94">
            <w:pPr>
              <w:spacing w:line="360" w:lineRule="auto"/>
              <w:jc w:val="center"/>
              <w:rPr>
                <w:rFonts w:ascii="Times New Roman" w:hAnsi="Times New Roman" w:cs="Times New Roman"/>
              </w:rPr>
            </w:pPr>
            <w:r w:rsidRPr="00BA4D61">
              <w:rPr>
                <w:rFonts w:ascii="Times New Roman" w:hAnsi="Times New Roman" w:cs="Times New Roman"/>
              </w:rPr>
              <w:t>Não queimado</w:t>
            </w:r>
          </w:p>
        </w:tc>
        <w:tc>
          <w:tcPr>
            <w:tcW w:w="4535" w:type="dxa"/>
            <w:tcBorders>
              <w:top w:val="nil"/>
              <w:left w:val="nil"/>
              <w:bottom w:val="nil"/>
              <w:right w:val="nil"/>
            </w:tcBorders>
            <w:vAlign w:val="center"/>
          </w:tcPr>
          <w:p w14:paraId="2210D0AC" w14:textId="5D4E3C58" w:rsidR="00231F72" w:rsidRPr="00BA4D61" w:rsidRDefault="00231F72" w:rsidP="00693C94">
            <w:pPr>
              <w:spacing w:line="360" w:lineRule="auto"/>
              <w:jc w:val="center"/>
            </w:pPr>
            <w:r w:rsidRPr="00BA4D61">
              <w:rPr>
                <w:rFonts w:ascii="Times New Roman" w:hAnsi="Times New Roman" w:cs="Times New Roman"/>
              </w:rPr>
              <w:t>-100 a +99</w:t>
            </w:r>
          </w:p>
        </w:tc>
      </w:tr>
      <w:tr w:rsidR="00231F72" w14:paraId="347AECD1" w14:textId="77777777" w:rsidTr="00231F72">
        <w:tc>
          <w:tcPr>
            <w:tcW w:w="4535" w:type="dxa"/>
            <w:tcBorders>
              <w:top w:val="nil"/>
              <w:left w:val="nil"/>
              <w:bottom w:val="nil"/>
              <w:right w:val="nil"/>
            </w:tcBorders>
            <w:vAlign w:val="center"/>
          </w:tcPr>
          <w:p w14:paraId="1A812CD9" w14:textId="77777777" w:rsidR="00231F72" w:rsidRPr="00BA4D61" w:rsidRDefault="00231F72" w:rsidP="00693C94">
            <w:pPr>
              <w:spacing w:line="360" w:lineRule="auto"/>
              <w:jc w:val="center"/>
              <w:rPr>
                <w:rFonts w:ascii="Times New Roman" w:hAnsi="Times New Roman" w:cs="Times New Roman"/>
              </w:rPr>
            </w:pPr>
            <w:r w:rsidRPr="00BA4D61">
              <w:rPr>
                <w:rFonts w:ascii="Times New Roman" w:hAnsi="Times New Roman" w:cs="Times New Roman"/>
              </w:rPr>
              <w:t>Baixa severidade</w:t>
            </w:r>
          </w:p>
        </w:tc>
        <w:tc>
          <w:tcPr>
            <w:tcW w:w="4535" w:type="dxa"/>
            <w:tcBorders>
              <w:top w:val="nil"/>
              <w:left w:val="nil"/>
              <w:bottom w:val="nil"/>
              <w:right w:val="nil"/>
            </w:tcBorders>
          </w:tcPr>
          <w:p w14:paraId="0ED97C86" w14:textId="3384A014" w:rsidR="00231F72" w:rsidRPr="00BA4D61" w:rsidRDefault="00231F72" w:rsidP="00693C94">
            <w:pPr>
              <w:spacing w:line="360" w:lineRule="auto"/>
              <w:jc w:val="center"/>
            </w:pPr>
            <w:r w:rsidRPr="00BA4D61">
              <w:rPr>
                <w:rFonts w:ascii="Times New Roman" w:hAnsi="Times New Roman" w:cs="Times New Roman"/>
              </w:rPr>
              <w:t>+100 a +269</w:t>
            </w:r>
          </w:p>
        </w:tc>
      </w:tr>
      <w:tr w:rsidR="00231F72" w14:paraId="283D5182" w14:textId="77777777" w:rsidTr="00231F72">
        <w:tc>
          <w:tcPr>
            <w:tcW w:w="4535" w:type="dxa"/>
            <w:tcBorders>
              <w:top w:val="nil"/>
              <w:left w:val="nil"/>
              <w:bottom w:val="nil"/>
              <w:right w:val="nil"/>
            </w:tcBorders>
            <w:vAlign w:val="center"/>
          </w:tcPr>
          <w:p w14:paraId="155113BC" w14:textId="78CD8DBF" w:rsidR="00231F72" w:rsidRPr="00BA4D61" w:rsidRDefault="00231F72" w:rsidP="00231F72">
            <w:pPr>
              <w:spacing w:line="360" w:lineRule="auto"/>
              <w:jc w:val="center"/>
            </w:pPr>
            <w:r w:rsidRPr="00BA4D61">
              <w:rPr>
                <w:rFonts w:ascii="Times New Roman" w:hAnsi="Times New Roman" w:cs="Times New Roman"/>
              </w:rPr>
              <w:t>Baixa-moderada severidade</w:t>
            </w:r>
          </w:p>
        </w:tc>
        <w:tc>
          <w:tcPr>
            <w:tcW w:w="4535" w:type="dxa"/>
            <w:tcBorders>
              <w:top w:val="nil"/>
              <w:left w:val="nil"/>
              <w:bottom w:val="nil"/>
              <w:right w:val="nil"/>
            </w:tcBorders>
            <w:vAlign w:val="center"/>
          </w:tcPr>
          <w:p w14:paraId="626EC25A" w14:textId="00C3BE5E" w:rsidR="00231F72" w:rsidRPr="00BA4D61" w:rsidRDefault="00231F72" w:rsidP="00231F72">
            <w:pPr>
              <w:spacing w:line="360" w:lineRule="auto"/>
              <w:jc w:val="center"/>
            </w:pPr>
            <w:r w:rsidRPr="00BA4D61">
              <w:rPr>
                <w:rFonts w:ascii="Times New Roman" w:hAnsi="Times New Roman" w:cs="Times New Roman"/>
              </w:rPr>
              <w:t>+270 a 439</w:t>
            </w:r>
          </w:p>
        </w:tc>
      </w:tr>
      <w:tr w:rsidR="00231F72" w14:paraId="5E02B8D0" w14:textId="77777777" w:rsidTr="00231F72">
        <w:tc>
          <w:tcPr>
            <w:tcW w:w="4535" w:type="dxa"/>
            <w:tcBorders>
              <w:top w:val="nil"/>
              <w:left w:val="nil"/>
              <w:bottom w:val="nil"/>
              <w:right w:val="nil"/>
            </w:tcBorders>
            <w:vAlign w:val="center"/>
          </w:tcPr>
          <w:p w14:paraId="44D9E0F3" w14:textId="706AD7DD" w:rsidR="00231F72" w:rsidRPr="00BA4D61" w:rsidRDefault="00231F72" w:rsidP="00231F72">
            <w:pPr>
              <w:spacing w:line="360" w:lineRule="auto"/>
              <w:jc w:val="center"/>
            </w:pPr>
            <w:r w:rsidRPr="00BA4D61">
              <w:rPr>
                <w:rFonts w:ascii="Times New Roman" w:hAnsi="Times New Roman" w:cs="Times New Roman"/>
              </w:rPr>
              <w:t>Alta-moderada severidade</w:t>
            </w:r>
          </w:p>
        </w:tc>
        <w:tc>
          <w:tcPr>
            <w:tcW w:w="4535" w:type="dxa"/>
            <w:tcBorders>
              <w:top w:val="nil"/>
              <w:left w:val="nil"/>
              <w:bottom w:val="nil"/>
              <w:right w:val="nil"/>
            </w:tcBorders>
            <w:vAlign w:val="center"/>
          </w:tcPr>
          <w:p w14:paraId="7597B32D" w14:textId="4DE83092" w:rsidR="00231F72" w:rsidRPr="00BA4D61" w:rsidRDefault="00231F72" w:rsidP="00231F72">
            <w:pPr>
              <w:spacing w:line="360" w:lineRule="auto"/>
              <w:jc w:val="center"/>
            </w:pPr>
            <w:r w:rsidRPr="00BA4D61">
              <w:rPr>
                <w:rFonts w:ascii="Times New Roman" w:hAnsi="Times New Roman" w:cs="Times New Roman"/>
              </w:rPr>
              <w:t>+440 a +659</w:t>
            </w:r>
          </w:p>
        </w:tc>
      </w:tr>
      <w:tr w:rsidR="00231F72" w14:paraId="0D760686" w14:textId="77777777" w:rsidTr="00D10561">
        <w:tc>
          <w:tcPr>
            <w:tcW w:w="4535" w:type="dxa"/>
            <w:tcBorders>
              <w:top w:val="nil"/>
              <w:left w:val="nil"/>
              <w:bottom w:val="single" w:sz="8" w:space="0" w:color="auto"/>
              <w:right w:val="nil"/>
            </w:tcBorders>
            <w:vAlign w:val="center"/>
          </w:tcPr>
          <w:p w14:paraId="215578D0" w14:textId="5F9C3D02" w:rsidR="00231F72" w:rsidRPr="00BA4D61" w:rsidRDefault="00231F72" w:rsidP="00231F72">
            <w:pPr>
              <w:spacing w:line="360" w:lineRule="auto"/>
              <w:jc w:val="center"/>
            </w:pPr>
            <w:r w:rsidRPr="00BA4D61">
              <w:rPr>
                <w:rFonts w:ascii="Times New Roman" w:hAnsi="Times New Roman" w:cs="Times New Roman"/>
              </w:rPr>
              <w:t>Alta severidade</w:t>
            </w:r>
          </w:p>
        </w:tc>
        <w:tc>
          <w:tcPr>
            <w:tcW w:w="4535" w:type="dxa"/>
            <w:tcBorders>
              <w:top w:val="nil"/>
              <w:left w:val="nil"/>
              <w:bottom w:val="single" w:sz="8" w:space="0" w:color="auto"/>
              <w:right w:val="nil"/>
            </w:tcBorders>
            <w:vAlign w:val="center"/>
          </w:tcPr>
          <w:p w14:paraId="67087FCE" w14:textId="07DD6C1E" w:rsidR="00231F72" w:rsidRPr="00BA4D61" w:rsidRDefault="00231F72" w:rsidP="00231F72">
            <w:pPr>
              <w:spacing w:line="360" w:lineRule="auto"/>
              <w:jc w:val="center"/>
            </w:pPr>
            <w:r w:rsidRPr="00BA4D61">
              <w:rPr>
                <w:rFonts w:ascii="Times New Roman" w:hAnsi="Times New Roman" w:cs="Times New Roman"/>
              </w:rPr>
              <w:t>+660 a +1300</w:t>
            </w:r>
          </w:p>
        </w:tc>
      </w:tr>
    </w:tbl>
    <w:p w14:paraId="57326EB5" w14:textId="2A478787" w:rsidR="007F7FA6" w:rsidRPr="005125E7" w:rsidRDefault="00745E77" w:rsidP="00455C01">
      <w:pPr>
        <w:widowControl/>
        <w:spacing w:before="120" w:line="259" w:lineRule="auto"/>
        <w:jc w:val="both"/>
      </w:pPr>
      <w:r>
        <w:t>Fonte:</w:t>
      </w:r>
      <w:r>
        <w:rPr>
          <w:b/>
          <w:bCs/>
        </w:rPr>
        <w:t xml:space="preserve"> </w:t>
      </w:r>
      <w:r w:rsidR="000A073D">
        <w:t>A</w:t>
      </w:r>
      <w:r w:rsidR="000A073D" w:rsidRPr="000A073D">
        <w:t>daptado de Key e Benson</w:t>
      </w:r>
      <w:r w:rsidR="00514B8F">
        <w:t xml:space="preserve">, </w:t>
      </w:r>
      <w:r w:rsidR="000A073D" w:rsidRPr="000A073D">
        <w:t>2006</w:t>
      </w:r>
      <w:r>
        <w:t>.</w:t>
      </w:r>
    </w:p>
    <w:p w14:paraId="4A193CA3" w14:textId="77777777" w:rsidR="00313C7A" w:rsidRDefault="00B059D0">
      <w:pPr>
        <w:pBdr>
          <w:bottom w:val="none" w:sz="0" w:space="8" w:color="000000"/>
        </w:pBdr>
        <w:shd w:val="clear" w:color="auto" w:fill="FFFFFF"/>
        <w:tabs>
          <w:tab w:val="left" w:pos="2500"/>
        </w:tabs>
        <w:spacing w:line="310" w:lineRule="auto"/>
        <w:jc w:val="both"/>
        <w:rPr>
          <w:color w:val="FF0000"/>
          <w:sz w:val="24"/>
          <w:szCs w:val="24"/>
        </w:rPr>
      </w:pPr>
      <w:r>
        <w:rPr>
          <w:b/>
          <w:bCs/>
          <w:sz w:val="24"/>
          <w:szCs w:val="24"/>
        </w:rPr>
        <w:lastRenderedPageBreak/>
        <w:t>3. RESULTADOS E DISCUSSÃO</w:t>
      </w:r>
      <w:r>
        <w:rPr>
          <w:b/>
          <w:bCs/>
          <w:sz w:val="28"/>
          <w:szCs w:val="28"/>
        </w:rPr>
        <w:t xml:space="preserve"> </w:t>
      </w:r>
    </w:p>
    <w:p w14:paraId="4A193CA4" w14:textId="77777777" w:rsidR="00313C7A" w:rsidRDefault="00313C7A">
      <w:pPr>
        <w:pBdr>
          <w:bottom w:val="none" w:sz="0" w:space="8" w:color="000000"/>
        </w:pBdr>
        <w:shd w:val="clear" w:color="auto" w:fill="FFFFFF"/>
        <w:tabs>
          <w:tab w:val="left" w:pos="2500"/>
        </w:tabs>
        <w:spacing w:line="310" w:lineRule="auto"/>
        <w:ind w:firstLine="700"/>
        <w:rPr>
          <w:sz w:val="24"/>
          <w:szCs w:val="24"/>
        </w:rPr>
      </w:pPr>
    </w:p>
    <w:p w14:paraId="579E8073" w14:textId="0348E478" w:rsidR="003F6889" w:rsidRDefault="00791A0F" w:rsidP="00455C01">
      <w:pPr>
        <w:pBdr>
          <w:bottom w:val="none" w:sz="0" w:space="8" w:color="000000"/>
        </w:pBdr>
        <w:shd w:val="clear" w:color="auto" w:fill="FFFFFF"/>
        <w:tabs>
          <w:tab w:val="left" w:pos="2500"/>
        </w:tabs>
        <w:spacing w:after="240" w:line="360" w:lineRule="auto"/>
        <w:ind w:firstLine="700"/>
        <w:jc w:val="both"/>
        <w:rPr>
          <w:sz w:val="24"/>
          <w:szCs w:val="24"/>
        </w:rPr>
      </w:pPr>
      <w:r>
        <w:rPr>
          <w:sz w:val="24"/>
          <w:szCs w:val="24"/>
        </w:rPr>
        <w:t>A composição colorida RGB 12/8/4 (Figura 2) permitiu identificar áreas queimadas visualmente, uma vez que destacou a vegetação saudável em verde e as áreas mais secas em tons de vermelho. Também foi possível visualizar nuvens em tons de branco, devido à alta reflectância em todas as bandas, e corpos d’água em tons escuros, assim como sombras de nuvens, devido à baixa reflectância em todas as bandas.</w:t>
      </w:r>
    </w:p>
    <w:p w14:paraId="4A193CA7" w14:textId="64C9228A" w:rsidR="00313C7A" w:rsidRDefault="00B059D0">
      <w:pPr>
        <w:pBdr>
          <w:bottom w:val="none" w:sz="0" w:space="6" w:color="000000"/>
        </w:pBdr>
        <w:shd w:val="clear" w:color="auto" w:fill="FFFFFF"/>
        <w:tabs>
          <w:tab w:val="left" w:pos="2500"/>
        </w:tabs>
        <w:jc w:val="center"/>
        <w:rPr>
          <w:color w:val="FF0000"/>
        </w:rPr>
      </w:pPr>
      <w:r>
        <w:t xml:space="preserve">Figura </w:t>
      </w:r>
      <w:r w:rsidR="00DC7C1F">
        <w:t>2</w:t>
      </w:r>
      <w:r>
        <w:t xml:space="preserve"> – </w:t>
      </w:r>
      <w:r w:rsidR="00DC7C1F" w:rsidRPr="00DC7C1F">
        <w:t>Composição colorida RGB 12/8/4 da área de estudo</w:t>
      </w:r>
      <w:r>
        <w:t>.</w:t>
      </w:r>
    </w:p>
    <w:p w14:paraId="4A193CA8" w14:textId="32AFD275" w:rsidR="00313C7A" w:rsidRDefault="004561E3">
      <w:pPr>
        <w:pBdr>
          <w:bottom w:val="none" w:sz="0" w:space="8" w:color="000000"/>
        </w:pBdr>
        <w:shd w:val="clear" w:color="auto" w:fill="FFFFFF"/>
        <w:tabs>
          <w:tab w:val="left" w:pos="2500"/>
        </w:tabs>
        <w:jc w:val="center"/>
        <w:rPr>
          <w:highlight w:val="white"/>
        </w:rPr>
      </w:pPr>
      <w:r>
        <w:rPr>
          <w:noProof/>
        </w:rPr>
        <w:drawing>
          <wp:inline distT="0" distB="0" distL="0" distR="0" wp14:anchorId="1E29A274" wp14:editId="44194E84">
            <wp:extent cx="5040000" cy="3564377"/>
            <wp:effectExtent l="0" t="0" r="8255" b="0"/>
            <wp:docPr id="1550248301" name="Imagem 2" descr="Uma imagem contendo Interface gráfica do usuári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248301" name="Imagem 2" descr="Uma imagem contendo Interface gráfica do usuário&#10;&#10;O conteúdo gerado por IA pode estar incorreto."/>
                    <pic:cNvPicPr/>
                  </pic:nvPicPr>
                  <pic:blipFill>
                    <a:blip r:embed="rId8"/>
                    <a:stretch>
                      <a:fillRect/>
                    </a:stretch>
                  </pic:blipFill>
                  <pic:spPr>
                    <a:xfrm>
                      <a:off x="0" y="0"/>
                      <a:ext cx="5040000" cy="3564377"/>
                    </a:xfrm>
                    <a:prstGeom prst="rect">
                      <a:avLst/>
                    </a:prstGeom>
                  </pic:spPr>
                </pic:pic>
              </a:graphicData>
            </a:graphic>
          </wp:inline>
        </w:drawing>
      </w:r>
    </w:p>
    <w:p w14:paraId="4A193CA9" w14:textId="7D91E9BC" w:rsidR="00313C7A" w:rsidRDefault="00B059D0">
      <w:pPr>
        <w:pBdr>
          <w:bottom w:val="none" w:sz="0" w:space="8" w:color="000000"/>
        </w:pBdr>
        <w:shd w:val="clear" w:color="auto" w:fill="FFFFFF"/>
        <w:tabs>
          <w:tab w:val="left" w:pos="2500"/>
        </w:tabs>
        <w:rPr>
          <w:color w:val="FF0000"/>
        </w:rPr>
      </w:pPr>
      <w:r>
        <w:rPr>
          <w:highlight w:val="white"/>
        </w:rPr>
        <w:t>Fonte: Autor</w:t>
      </w:r>
      <w:r w:rsidR="00DC7C1F">
        <w:rPr>
          <w:highlight w:val="white"/>
        </w:rPr>
        <w:t>es</w:t>
      </w:r>
      <w:r>
        <w:rPr>
          <w:highlight w:val="white"/>
        </w:rPr>
        <w:t xml:space="preserve">, </w:t>
      </w:r>
      <w:r w:rsidR="00DC7C1F">
        <w:rPr>
          <w:highlight w:val="white"/>
        </w:rPr>
        <w:t>2025</w:t>
      </w:r>
      <w:r>
        <w:rPr>
          <w:highlight w:val="white"/>
        </w:rPr>
        <w:t>.</w:t>
      </w:r>
    </w:p>
    <w:p w14:paraId="1A50D3B1" w14:textId="57F43631" w:rsidR="006057A6" w:rsidRPr="006057A6" w:rsidRDefault="006057A6" w:rsidP="003F6889">
      <w:pPr>
        <w:pBdr>
          <w:bottom w:val="none" w:sz="0" w:space="8" w:color="000000"/>
        </w:pBdr>
        <w:shd w:val="clear" w:color="auto" w:fill="FFFFFF"/>
        <w:tabs>
          <w:tab w:val="left" w:pos="699"/>
        </w:tabs>
        <w:spacing w:line="360" w:lineRule="auto"/>
        <w:jc w:val="both"/>
        <w:rPr>
          <w:sz w:val="24"/>
          <w:szCs w:val="24"/>
        </w:rPr>
      </w:pPr>
    </w:p>
    <w:p w14:paraId="56F67B84" w14:textId="77777777" w:rsidR="006C64F7" w:rsidRDefault="006C64F7" w:rsidP="006C64F7">
      <w:pPr>
        <w:pBdr>
          <w:bottom w:val="none" w:sz="0" w:space="8" w:color="000000"/>
        </w:pBdr>
        <w:shd w:val="clear" w:color="auto" w:fill="FFFFFF"/>
        <w:tabs>
          <w:tab w:val="left" w:pos="2500"/>
        </w:tabs>
        <w:spacing w:line="360" w:lineRule="auto"/>
        <w:ind w:firstLine="700"/>
        <w:jc w:val="both"/>
        <w:rPr>
          <w:sz w:val="24"/>
          <w:szCs w:val="24"/>
        </w:rPr>
      </w:pPr>
      <w:r w:rsidRPr="006057A6">
        <w:rPr>
          <w:sz w:val="24"/>
          <w:szCs w:val="24"/>
        </w:rPr>
        <w:t>Na imagem A, de junho de 2024, antes das maiores queimadas do ano, a paisagem apresentou majoritariamente tons de verde, que representam a cobertura florestal em seu estado natural. Também foi possível identificar uma área com tons avermelhados no extremo sudeste da imagem, que não representa floresta queimada, mas uma área de formação campestre e afloramentos rochosos, o que foi confirmado após analisar a série temporal de uso e cobertura do solo do MapBiomas para a área de estudo</w:t>
      </w:r>
      <w:r>
        <w:rPr>
          <w:sz w:val="24"/>
          <w:szCs w:val="24"/>
        </w:rPr>
        <w:t xml:space="preserve"> (Souza</w:t>
      </w:r>
      <w:r w:rsidRPr="00D4177D">
        <w:rPr>
          <w:i/>
          <w:iCs/>
          <w:sz w:val="24"/>
          <w:szCs w:val="24"/>
        </w:rPr>
        <w:t xml:space="preserve"> et al</w:t>
      </w:r>
      <w:r w:rsidRPr="006057A6">
        <w:rPr>
          <w:sz w:val="24"/>
          <w:szCs w:val="24"/>
        </w:rPr>
        <w:t>.</w:t>
      </w:r>
      <w:r>
        <w:rPr>
          <w:sz w:val="24"/>
          <w:szCs w:val="24"/>
        </w:rPr>
        <w:t>, 2020).</w:t>
      </w:r>
    </w:p>
    <w:p w14:paraId="5A324E66" w14:textId="7CCE6482" w:rsidR="006C64F7" w:rsidRDefault="006C64F7" w:rsidP="00B61085">
      <w:pPr>
        <w:pBdr>
          <w:bottom w:val="none" w:sz="0" w:space="8" w:color="000000"/>
        </w:pBdr>
        <w:shd w:val="clear" w:color="auto" w:fill="FFFFFF"/>
        <w:tabs>
          <w:tab w:val="left" w:pos="699"/>
        </w:tabs>
        <w:spacing w:line="348" w:lineRule="auto"/>
        <w:ind w:firstLine="709"/>
        <w:jc w:val="both"/>
        <w:rPr>
          <w:sz w:val="24"/>
          <w:szCs w:val="24"/>
        </w:rPr>
      </w:pPr>
      <w:r w:rsidRPr="006057A6">
        <w:rPr>
          <w:sz w:val="24"/>
          <w:szCs w:val="24"/>
        </w:rPr>
        <w:lastRenderedPageBreak/>
        <w:t>Além disso, alguns bancos de areia ao longo do curso do Rio Xingú também apresentaram tons avermelhados. Isso demonstra que as bandas utilizadas também destacam áreas de vegetação esparsa e naturalmente mais seca</w:t>
      </w:r>
      <w:r w:rsidR="00A42B34">
        <w:rPr>
          <w:sz w:val="24"/>
          <w:szCs w:val="24"/>
        </w:rPr>
        <w:t>, além de</w:t>
      </w:r>
      <w:r w:rsidRPr="006057A6">
        <w:rPr>
          <w:sz w:val="24"/>
          <w:szCs w:val="24"/>
        </w:rPr>
        <w:t xml:space="preserve"> solo exposto, não apenas vegetação queimada, o que foi discutido por Key e Benson (2006) na proposição do índice.</w:t>
      </w:r>
    </w:p>
    <w:p w14:paraId="29D5E593" w14:textId="31347AE1" w:rsidR="006057A6" w:rsidRPr="006057A6" w:rsidRDefault="006057A6" w:rsidP="00B61085">
      <w:pPr>
        <w:pBdr>
          <w:bottom w:val="none" w:sz="0" w:space="8" w:color="000000"/>
        </w:pBdr>
        <w:shd w:val="clear" w:color="auto" w:fill="FFFFFF"/>
        <w:tabs>
          <w:tab w:val="left" w:pos="699"/>
        </w:tabs>
        <w:spacing w:line="348" w:lineRule="auto"/>
        <w:ind w:firstLine="709"/>
        <w:jc w:val="both"/>
        <w:rPr>
          <w:sz w:val="24"/>
          <w:szCs w:val="24"/>
        </w:rPr>
      </w:pPr>
      <w:r w:rsidRPr="006057A6">
        <w:rPr>
          <w:sz w:val="24"/>
          <w:szCs w:val="24"/>
        </w:rPr>
        <w:t xml:space="preserve">Por outro lado, na imagem B, de novembro de 2024, foi possível visualizar diversas cicatrizes de </w:t>
      </w:r>
      <w:r w:rsidR="001370FB">
        <w:rPr>
          <w:sz w:val="24"/>
          <w:szCs w:val="24"/>
        </w:rPr>
        <w:t>fogo</w:t>
      </w:r>
      <w:r w:rsidRPr="006057A6">
        <w:rPr>
          <w:sz w:val="24"/>
          <w:szCs w:val="24"/>
        </w:rPr>
        <w:t>, principalmente ao centro, no curso do Rio Xingú, e a leste</w:t>
      </w:r>
      <w:r w:rsidR="00AE371D">
        <w:rPr>
          <w:sz w:val="24"/>
          <w:szCs w:val="24"/>
        </w:rPr>
        <w:t>, na TI Kayapó</w:t>
      </w:r>
      <w:r w:rsidRPr="006057A6">
        <w:rPr>
          <w:sz w:val="24"/>
          <w:szCs w:val="24"/>
        </w:rPr>
        <w:t xml:space="preserve">. A área de campos naturais e afloramentos rochosos a sudeste apresentou tons vívidos de vermelho, indicando possíveis queimadas mais severas, um reflexo da sensibilidade desse tipo de vegetação ao fogo. A maior presença de nuvens nessa </w:t>
      </w:r>
      <w:r w:rsidR="00C40182">
        <w:rPr>
          <w:sz w:val="24"/>
          <w:szCs w:val="24"/>
        </w:rPr>
        <w:t>data</w:t>
      </w:r>
      <w:r w:rsidRPr="006057A6">
        <w:rPr>
          <w:sz w:val="24"/>
          <w:szCs w:val="24"/>
        </w:rPr>
        <w:t xml:space="preserve"> se deve ao início do período chuvoso na região, </w:t>
      </w:r>
      <w:r w:rsidR="00C40182">
        <w:rPr>
          <w:sz w:val="24"/>
          <w:szCs w:val="24"/>
        </w:rPr>
        <w:t>obstáculo</w:t>
      </w:r>
      <w:r w:rsidRPr="006057A6">
        <w:rPr>
          <w:sz w:val="24"/>
          <w:szCs w:val="24"/>
        </w:rPr>
        <w:t xml:space="preserve"> </w:t>
      </w:r>
      <w:r w:rsidR="00C40182">
        <w:rPr>
          <w:sz w:val="24"/>
          <w:szCs w:val="24"/>
        </w:rPr>
        <w:t>n</w:t>
      </w:r>
      <w:r w:rsidRPr="006057A6">
        <w:rPr>
          <w:sz w:val="24"/>
          <w:szCs w:val="24"/>
        </w:rPr>
        <w:t>a obtenção de imagens de satélite</w:t>
      </w:r>
      <w:r w:rsidR="007C5811">
        <w:rPr>
          <w:sz w:val="24"/>
          <w:szCs w:val="24"/>
        </w:rPr>
        <w:t xml:space="preserve"> (</w:t>
      </w:r>
      <w:r w:rsidR="007C5811" w:rsidRPr="007C5811">
        <w:rPr>
          <w:sz w:val="24"/>
          <w:szCs w:val="24"/>
        </w:rPr>
        <w:t>Hoffmann</w:t>
      </w:r>
      <w:r w:rsidR="007C5811">
        <w:rPr>
          <w:sz w:val="24"/>
          <w:szCs w:val="24"/>
        </w:rPr>
        <w:t xml:space="preserve"> </w:t>
      </w:r>
      <w:r w:rsidR="007C5811" w:rsidRPr="007C5811">
        <w:rPr>
          <w:i/>
          <w:iCs/>
          <w:sz w:val="24"/>
          <w:szCs w:val="24"/>
        </w:rPr>
        <w:t>et al</w:t>
      </w:r>
      <w:r w:rsidR="007C5811">
        <w:rPr>
          <w:sz w:val="24"/>
          <w:szCs w:val="24"/>
        </w:rPr>
        <w:t>., 2018)</w:t>
      </w:r>
      <w:r w:rsidRPr="006057A6">
        <w:rPr>
          <w:sz w:val="24"/>
          <w:szCs w:val="24"/>
        </w:rPr>
        <w:t>.</w:t>
      </w:r>
    </w:p>
    <w:p w14:paraId="4A193CAD" w14:textId="4F17BF7C" w:rsidR="00313C7A" w:rsidRDefault="006057A6" w:rsidP="000367C1">
      <w:pPr>
        <w:pBdr>
          <w:bottom w:val="none" w:sz="0" w:space="8" w:color="000000"/>
        </w:pBdr>
        <w:shd w:val="clear" w:color="auto" w:fill="FFFFFF"/>
        <w:tabs>
          <w:tab w:val="left" w:pos="699"/>
        </w:tabs>
        <w:spacing w:after="300" w:line="348" w:lineRule="auto"/>
        <w:ind w:firstLine="709"/>
        <w:jc w:val="both"/>
        <w:rPr>
          <w:sz w:val="24"/>
          <w:szCs w:val="24"/>
          <w:highlight w:val="white"/>
        </w:rPr>
      </w:pPr>
      <w:r w:rsidRPr="006057A6">
        <w:rPr>
          <w:sz w:val="24"/>
          <w:szCs w:val="24"/>
        </w:rPr>
        <w:t>A distribuição espacial do NBR ao longo da área de estudo, como mostra a Figura 3, também evidenciou as alterações na paisagem causadas pelo fogo entre junho e novembro de 2024. A floresta não afetada pelas queimadas, em ambos os meses, apresentou valores positivos e elevados em relação a outras superfícies, enquanto áreas queimadas até outubro apresentaram valores mais próximos de zero</w:t>
      </w:r>
      <w:r w:rsidR="005058FB">
        <w:rPr>
          <w:sz w:val="24"/>
          <w:szCs w:val="24"/>
        </w:rPr>
        <w:t>,</w:t>
      </w:r>
      <w:r w:rsidRPr="006057A6">
        <w:rPr>
          <w:sz w:val="24"/>
          <w:szCs w:val="24"/>
        </w:rPr>
        <w:t xml:space="preserve"> </w:t>
      </w:r>
      <w:r w:rsidR="009E0E01">
        <w:rPr>
          <w:sz w:val="24"/>
          <w:szCs w:val="24"/>
        </w:rPr>
        <w:t>ou</w:t>
      </w:r>
      <w:r w:rsidRPr="006057A6">
        <w:rPr>
          <w:sz w:val="24"/>
          <w:szCs w:val="24"/>
        </w:rPr>
        <w:t xml:space="preserve"> negativos, como na região coberta por campos naturais.</w:t>
      </w:r>
    </w:p>
    <w:p w14:paraId="4A193CB8" w14:textId="2C6918DD" w:rsidR="00313C7A" w:rsidRDefault="00B059D0" w:rsidP="00C14F32">
      <w:pPr>
        <w:pBdr>
          <w:bottom w:val="none" w:sz="0" w:space="8" w:color="000000"/>
        </w:pBdr>
        <w:shd w:val="clear" w:color="auto" w:fill="FFFFFF"/>
        <w:tabs>
          <w:tab w:val="left" w:pos="699"/>
        </w:tabs>
        <w:jc w:val="center"/>
        <w:rPr>
          <w:highlight w:val="white"/>
        </w:rPr>
      </w:pPr>
      <w:r>
        <w:rPr>
          <w:highlight w:val="white"/>
        </w:rPr>
        <w:t xml:space="preserve">Figura </w:t>
      </w:r>
      <w:r w:rsidR="00562228">
        <w:rPr>
          <w:highlight w:val="white"/>
        </w:rPr>
        <w:t>3</w:t>
      </w:r>
      <w:r>
        <w:rPr>
          <w:highlight w:val="white"/>
        </w:rPr>
        <w:t xml:space="preserve"> – </w:t>
      </w:r>
      <w:r w:rsidR="00C14F32" w:rsidRPr="00C14F32">
        <w:t>Distribuição de NBR para junho e novembro de 2024</w:t>
      </w:r>
      <w:r>
        <w:rPr>
          <w:highlight w:val="white"/>
        </w:rPr>
        <w:t>.</w:t>
      </w:r>
    </w:p>
    <w:p w14:paraId="27D6CF92" w14:textId="50406C3D" w:rsidR="00C14F32" w:rsidRPr="00C14F32" w:rsidRDefault="004561E3" w:rsidP="00C14F32">
      <w:pPr>
        <w:pBdr>
          <w:bottom w:val="none" w:sz="0" w:space="8" w:color="000000"/>
        </w:pBdr>
        <w:shd w:val="clear" w:color="auto" w:fill="FFFFFF"/>
        <w:tabs>
          <w:tab w:val="left" w:pos="699"/>
        </w:tabs>
        <w:jc w:val="center"/>
        <w:rPr>
          <w:highlight w:val="white"/>
        </w:rPr>
      </w:pPr>
      <w:r>
        <w:rPr>
          <w:noProof/>
        </w:rPr>
        <w:drawing>
          <wp:inline distT="0" distB="0" distL="0" distR="0" wp14:anchorId="52853AD3" wp14:editId="47F1BD25">
            <wp:extent cx="5004000" cy="3538917"/>
            <wp:effectExtent l="0" t="0" r="6350" b="4445"/>
            <wp:docPr id="429959516" name="Imagem 3" descr="Map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959516" name="Imagem 3" descr="Mapa&#10;&#10;O conteúdo gerado por IA pode estar incorreto."/>
                    <pic:cNvPicPr/>
                  </pic:nvPicPr>
                  <pic:blipFill>
                    <a:blip r:embed="rId9"/>
                    <a:stretch>
                      <a:fillRect/>
                    </a:stretch>
                  </pic:blipFill>
                  <pic:spPr>
                    <a:xfrm>
                      <a:off x="0" y="0"/>
                      <a:ext cx="5004000" cy="3538917"/>
                    </a:xfrm>
                    <a:prstGeom prst="rect">
                      <a:avLst/>
                    </a:prstGeom>
                  </pic:spPr>
                </pic:pic>
              </a:graphicData>
            </a:graphic>
          </wp:inline>
        </w:drawing>
      </w:r>
    </w:p>
    <w:p w14:paraId="62CFEC09" w14:textId="3027E9F7" w:rsidR="003F6889" w:rsidRPr="003F6889" w:rsidRDefault="00B059D0" w:rsidP="003F6889">
      <w:pPr>
        <w:pBdr>
          <w:bottom w:val="none" w:sz="0" w:space="8" w:color="000000"/>
        </w:pBdr>
        <w:shd w:val="clear" w:color="auto" w:fill="FFFFFF"/>
        <w:tabs>
          <w:tab w:val="left" w:pos="699"/>
        </w:tabs>
        <w:spacing w:line="360" w:lineRule="auto"/>
        <w:jc w:val="both"/>
        <w:rPr>
          <w:highlight w:val="white"/>
        </w:rPr>
      </w:pPr>
      <w:r>
        <w:rPr>
          <w:highlight w:val="white"/>
        </w:rPr>
        <w:t xml:space="preserve">Fonte: </w:t>
      </w:r>
      <w:r w:rsidR="00C14F32">
        <w:rPr>
          <w:highlight w:val="white"/>
        </w:rPr>
        <w:t>Autores,</w:t>
      </w:r>
      <w:r>
        <w:rPr>
          <w:highlight w:val="white"/>
        </w:rPr>
        <w:t xml:space="preserve"> </w:t>
      </w:r>
      <w:r w:rsidR="00C14F32">
        <w:rPr>
          <w:highlight w:val="white"/>
        </w:rPr>
        <w:t>2025</w:t>
      </w:r>
      <w:r>
        <w:rPr>
          <w:highlight w:val="white"/>
        </w:rPr>
        <w:t>.</w:t>
      </w:r>
    </w:p>
    <w:p w14:paraId="3AF44A13" w14:textId="01D8273F" w:rsidR="00F01556" w:rsidRDefault="00175005" w:rsidP="00FF69FD">
      <w:pPr>
        <w:widowControl/>
        <w:spacing w:line="360" w:lineRule="auto"/>
        <w:ind w:firstLine="708"/>
        <w:jc w:val="both"/>
        <w:rPr>
          <w:sz w:val="24"/>
          <w:szCs w:val="24"/>
        </w:rPr>
      </w:pPr>
      <w:r w:rsidRPr="00175005">
        <w:rPr>
          <w:sz w:val="24"/>
          <w:szCs w:val="24"/>
        </w:rPr>
        <w:lastRenderedPageBreak/>
        <w:t xml:space="preserve">No entanto, as imagens também demonstraram </w:t>
      </w:r>
      <w:r w:rsidR="00960FF2">
        <w:rPr>
          <w:sz w:val="24"/>
          <w:szCs w:val="24"/>
        </w:rPr>
        <w:t>algumas</w:t>
      </w:r>
      <w:r w:rsidRPr="00175005">
        <w:rPr>
          <w:sz w:val="24"/>
          <w:szCs w:val="24"/>
        </w:rPr>
        <w:t xml:space="preserve"> limitações do índice, uma vez que corpos d’água </w:t>
      </w:r>
      <w:r w:rsidR="00FF69FD">
        <w:rPr>
          <w:sz w:val="24"/>
          <w:szCs w:val="24"/>
        </w:rPr>
        <w:t xml:space="preserve">e nuvens </w:t>
      </w:r>
      <w:r w:rsidRPr="00175005">
        <w:rPr>
          <w:sz w:val="24"/>
          <w:szCs w:val="24"/>
        </w:rPr>
        <w:t>também apresentaram valores dentro do intervalo de regiões queimadas</w:t>
      </w:r>
      <w:r w:rsidR="00FF69FD">
        <w:rPr>
          <w:sz w:val="24"/>
          <w:szCs w:val="24"/>
        </w:rPr>
        <w:t>.</w:t>
      </w:r>
      <w:r w:rsidR="00336EE8">
        <w:rPr>
          <w:sz w:val="24"/>
          <w:szCs w:val="24"/>
        </w:rPr>
        <w:t xml:space="preserve"> O</w:t>
      </w:r>
      <w:r w:rsidR="0021233F">
        <w:rPr>
          <w:sz w:val="24"/>
          <w:szCs w:val="24"/>
        </w:rPr>
        <w:t xml:space="preserve"> principal </w:t>
      </w:r>
      <w:r w:rsidR="00336EE8">
        <w:rPr>
          <w:sz w:val="24"/>
          <w:szCs w:val="24"/>
        </w:rPr>
        <w:t>motivo</w:t>
      </w:r>
      <w:r w:rsidR="0021233F">
        <w:rPr>
          <w:sz w:val="24"/>
          <w:szCs w:val="24"/>
        </w:rPr>
        <w:t xml:space="preserve"> foi o</w:t>
      </w:r>
      <w:r w:rsidR="00977C0B">
        <w:rPr>
          <w:sz w:val="24"/>
          <w:szCs w:val="24"/>
        </w:rPr>
        <w:t xml:space="preserve"> comportamento espectral das </w:t>
      </w:r>
      <w:r w:rsidR="00377B27">
        <w:rPr>
          <w:sz w:val="24"/>
          <w:szCs w:val="24"/>
        </w:rPr>
        <w:t>feições</w:t>
      </w:r>
      <w:r w:rsidR="006C68D1">
        <w:rPr>
          <w:sz w:val="24"/>
          <w:szCs w:val="24"/>
        </w:rPr>
        <w:t xml:space="preserve"> analisadas</w:t>
      </w:r>
      <w:r w:rsidR="00C64A34">
        <w:rPr>
          <w:sz w:val="24"/>
          <w:szCs w:val="24"/>
        </w:rPr>
        <w:t xml:space="preserve">. </w:t>
      </w:r>
      <w:r w:rsidR="000C377E" w:rsidRPr="000C377E">
        <w:rPr>
          <w:sz w:val="24"/>
          <w:szCs w:val="24"/>
        </w:rPr>
        <w:t xml:space="preserve">A ampla diferença entre os valores das bandas 8 e 12 para a floresta não queimada resultou em altos valores positivos de NBR, sempre acima de 0,4. Por outro lado, em florestas afetadas pelo fogo, </w:t>
      </w:r>
      <w:r w:rsidR="000F6362">
        <w:rPr>
          <w:sz w:val="24"/>
          <w:szCs w:val="24"/>
        </w:rPr>
        <w:t>essa</w:t>
      </w:r>
      <w:r w:rsidR="000C377E" w:rsidRPr="000C377E">
        <w:rPr>
          <w:sz w:val="24"/>
          <w:szCs w:val="24"/>
        </w:rPr>
        <w:t xml:space="preserve"> diferença foi menor, resultando em valores mais próximos de 0 </w:t>
      </w:r>
      <w:r w:rsidR="00B45F34">
        <w:rPr>
          <w:sz w:val="24"/>
          <w:szCs w:val="24"/>
        </w:rPr>
        <w:t>ou</w:t>
      </w:r>
      <w:r w:rsidR="000C377E" w:rsidRPr="000C377E">
        <w:rPr>
          <w:sz w:val="24"/>
          <w:szCs w:val="24"/>
        </w:rPr>
        <w:t xml:space="preserve"> negativos.</w:t>
      </w:r>
    </w:p>
    <w:p w14:paraId="17E66074" w14:textId="00F606F1" w:rsidR="005E155C" w:rsidRDefault="005E155C" w:rsidP="003F6889">
      <w:pPr>
        <w:widowControl/>
        <w:spacing w:line="360" w:lineRule="auto"/>
        <w:ind w:firstLine="708"/>
        <w:jc w:val="both"/>
        <w:rPr>
          <w:sz w:val="24"/>
          <w:szCs w:val="24"/>
        </w:rPr>
      </w:pPr>
      <w:r w:rsidRPr="005E155C">
        <w:rPr>
          <w:sz w:val="24"/>
          <w:szCs w:val="24"/>
        </w:rPr>
        <w:t xml:space="preserve">Corpos hídricos e nuvens, que apresentaram respostas similares para as duas bandas, também obtiveram valores de NBR mais próximos de 0, sobrepondo-se ao intervalo ocupado pela vegetação queimada. Isso indica </w:t>
      </w:r>
      <w:r w:rsidR="00A9443B">
        <w:rPr>
          <w:sz w:val="24"/>
          <w:szCs w:val="24"/>
        </w:rPr>
        <w:t>que o</w:t>
      </w:r>
      <w:r w:rsidR="00F166D9">
        <w:rPr>
          <w:sz w:val="24"/>
          <w:szCs w:val="24"/>
        </w:rPr>
        <w:t xml:space="preserve"> desempenho do índice </w:t>
      </w:r>
      <w:r w:rsidR="006C2278">
        <w:rPr>
          <w:sz w:val="24"/>
          <w:szCs w:val="24"/>
        </w:rPr>
        <w:t>possui limitações</w:t>
      </w:r>
      <w:r w:rsidR="00F166D9">
        <w:rPr>
          <w:sz w:val="24"/>
          <w:szCs w:val="24"/>
        </w:rPr>
        <w:t>,</w:t>
      </w:r>
      <w:r w:rsidRPr="005E155C">
        <w:rPr>
          <w:sz w:val="24"/>
          <w:szCs w:val="24"/>
        </w:rPr>
        <w:t xml:space="preserve"> principalmente para imagens contendo nuven</w:t>
      </w:r>
      <w:r w:rsidR="00681212">
        <w:rPr>
          <w:sz w:val="24"/>
          <w:szCs w:val="24"/>
        </w:rPr>
        <w:t>s</w:t>
      </w:r>
      <w:r w:rsidRPr="005E155C">
        <w:rPr>
          <w:sz w:val="24"/>
          <w:szCs w:val="24"/>
        </w:rPr>
        <w:t>.</w:t>
      </w:r>
      <w:r w:rsidR="00445834">
        <w:rPr>
          <w:sz w:val="24"/>
          <w:szCs w:val="24"/>
        </w:rPr>
        <w:t xml:space="preserve"> Em relação aos rios, o uso de índices de água, como o NDWI, aliados ao NBR, pode mitigar esse problema, uma vez que é possível gerar máscaras da lâmina d’água e removê-las do cálculo do índice de queimada</w:t>
      </w:r>
      <w:r w:rsidR="00B371BD">
        <w:rPr>
          <w:sz w:val="24"/>
          <w:szCs w:val="24"/>
        </w:rPr>
        <w:t xml:space="preserve"> (Sobrino </w:t>
      </w:r>
      <w:r w:rsidR="00B371BD" w:rsidRPr="00B371BD">
        <w:rPr>
          <w:i/>
          <w:iCs/>
          <w:sz w:val="24"/>
          <w:szCs w:val="24"/>
        </w:rPr>
        <w:t>et al.</w:t>
      </w:r>
      <w:r w:rsidR="00B371BD">
        <w:rPr>
          <w:sz w:val="24"/>
          <w:szCs w:val="24"/>
        </w:rPr>
        <w:t>, 2019)</w:t>
      </w:r>
    </w:p>
    <w:p w14:paraId="2786F5F7" w14:textId="1C29CE08" w:rsidR="006C239E" w:rsidRDefault="00186DCA" w:rsidP="004B5CBD">
      <w:pPr>
        <w:widowControl/>
        <w:spacing w:line="360" w:lineRule="auto"/>
        <w:ind w:firstLine="708"/>
        <w:jc w:val="both"/>
        <w:rPr>
          <w:sz w:val="24"/>
          <w:szCs w:val="24"/>
        </w:rPr>
      </w:pPr>
      <w:r w:rsidRPr="00186DCA">
        <w:rPr>
          <w:sz w:val="24"/>
          <w:szCs w:val="24"/>
        </w:rPr>
        <w:t xml:space="preserve">A Tabela 2 apresenta a área ocupada por cada </w:t>
      </w:r>
      <w:r w:rsidR="006F4A15">
        <w:rPr>
          <w:sz w:val="24"/>
          <w:szCs w:val="24"/>
        </w:rPr>
        <w:t>grau de severidade de queimada</w:t>
      </w:r>
      <w:r w:rsidRPr="00186DCA">
        <w:rPr>
          <w:sz w:val="24"/>
          <w:szCs w:val="24"/>
        </w:rPr>
        <w:t xml:space="preserve"> em hectares. Ao considerar </w:t>
      </w:r>
      <w:r w:rsidR="00C57F8F">
        <w:rPr>
          <w:sz w:val="24"/>
          <w:szCs w:val="24"/>
        </w:rPr>
        <w:t>as classes</w:t>
      </w:r>
      <w:r w:rsidRPr="00186DCA">
        <w:rPr>
          <w:sz w:val="24"/>
          <w:szCs w:val="24"/>
        </w:rPr>
        <w:t xml:space="preserve"> de área não queimada, somaram-se 1,9 milhão de hectares, ou 85,36% da área de estudo. Considerando </w:t>
      </w:r>
      <w:r w:rsidR="00587316">
        <w:rPr>
          <w:sz w:val="24"/>
          <w:szCs w:val="24"/>
        </w:rPr>
        <w:t>os</w:t>
      </w:r>
      <w:r w:rsidR="00DB47B9">
        <w:rPr>
          <w:sz w:val="24"/>
          <w:szCs w:val="24"/>
        </w:rPr>
        <w:t xml:space="preserve"> graus de severidade</w:t>
      </w:r>
      <w:r w:rsidRPr="00186DCA">
        <w:rPr>
          <w:sz w:val="24"/>
          <w:szCs w:val="24"/>
        </w:rPr>
        <w:t xml:space="preserve">, o ΔNBR indicou que foram </w:t>
      </w:r>
      <w:r w:rsidR="00AB0A40">
        <w:rPr>
          <w:sz w:val="24"/>
          <w:szCs w:val="24"/>
        </w:rPr>
        <w:t>atingidos</w:t>
      </w:r>
      <w:r w:rsidRPr="00186DCA">
        <w:rPr>
          <w:sz w:val="24"/>
          <w:szCs w:val="24"/>
        </w:rPr>
        <w:t xml:space="preserve"> cerca de 326 mil hectares, o que corresponde a 14,64% da área total avaliada. </w:t>
      </w:r>
      <w:r w:rsidR="008C7AB9">
        <w:rPr>
          <w:sz w:val="24"/>
          <w:szCs w:val="24"/>
        </w:rPr>
        <w:t>Para a mesma região, o</w:t>
      </w:r>
      <w:r w:rsidRPr="00186DCA">
        <w:rPr>
          <w:sz w:val="24"/>
          <w:szCs w:val="24"/>
        </w:rPr>
        <w:t>s dados do Monitor do Fogo do MapBiomas</w:t>
      </w:r>
      <w:r w:rsidR="00442CB0">
        <w:rPr>
          <w:sz w:val="24"/>
          <w:szCs w:val="24"/>
        </w:rPr>
        <w:t xml:space="preserve"> </w:t>
      </w:r>
      <w:r w:rsidR="00442CB0">
        <w:rPr>
          <w:sz w:val="24"/>
          <w:szCs w:val="24"/>
        </w:rPr>
        <w:softHyphen/>
      </w:r>
      <w:r w:rsidR="00C62301">
        <w:rPr>
          <w:sz w:val="24"/>
          <w:szCs w:val="24"/>
        </w:rPr>
        <w:softHyphen/>
        <w:t xml:space="preserve">— </w:t>
      </w:r>
      <w:r w:rsidR="00536AED">
        <w:rPr>
          <w:sz w:val="24"/>
          <w:szCs w:val="24"/>
        </w:rPr>
        <w:t xml:space="preserve">que também utiliza os índices NBR e </w:t>
      </w:r>
      <w:r w:rsidR="00536AED" w:rsidRPr="00186DCA">
        <w:rPr>
          <w:sz w:val="24"/>
          <w:szCs w:val="24"/>
        </w:rPr>
        <w:t>ΔNBR</w:t>
      </w:r>
      <w:r w:rsidR="00E1745A">
        <w:rPr>
          <w:sz w:val="24"/>
          <w:szCs w:val="24"/>
        </w:rPr>
        <w:t xml:space="preserve"> </w:t>
      </w:r>
      <w:r w:rsidR="00C62301">
        <w:rPr>
          <w:sz w:val="24"/>
          <w:szCs w:val="24"/>
        </w:rPr>
        <w:t>—</w:t>
      </w:r>
      <w:r w:rsidR="008C7AB9">
        <w:rPr>
          <w:sz w:val="24"/>
          <w:szCs w:val="24"/>
        </w:rPr>
        <w:t xml:space="preserve"> </w:t>
      </w:r>
      <w:r w:rsidRPr="00186DCA">
        <w:rPr>
          <w:sz w:val="24"/>
          <w:szCs w:val="24"/>
        </w:rPr>
        <w:t>indicaram cerca de 290 mil hectares</w:t>
      </w:r>
      <w:r w:rsidR="002B661E">
        <w:rPr>
          <w:sz w:val="24"/>
          <w:szCs w:val="24"/>
        </w:rPr>
        <w:t xml:space="preserve"> queimados</w:t>
      </w:r>
      <w:r w:rsidRPr="00186DCA">
        <w:rPr>
          <w:sz w:val="24"/>
          <w:szCs w:val="24"/>
        </w:rPr>
        <w:t xml:space="preserve">, o que </w:t>
      </w:r>
      <w:r w:rsidR="00F533E4">
        <w:rPr>
          <w:sz w:val="24"/>
          <w:szCs w:val="24"/>
        </w:rPr>
        <w:t>representa</w:t>
      </w:r>
      <w:r w:rsidRPr="00186DCA">
        <w:rPr>
          <w:sz w:val="24"/>
          <w:szCs w:val="24"/>
        </w:rPr>
        <w:t xml:space="preserve"> uma superestimação de aproximadamente 36 mil hectares.</w:t>
      </w:r>
    </w:p>
    <w:p w14:paraId="28D485C2" w14:textId="77777777" w:rsidR="00175005" w:rsidRDefault="00175005" w:rsidP="004B5CBD">
      <w:pPr>
        <w:widowControl/>
        <w:spacing w:line="259" w:lineRule="auto"/>
        <w:jc w:val="center"/>
        <w:rPr>
          <w:b/>
          <w:bCs/>
        </w:rPr>
      </w:pPr>
    </w:p>
    <w:p w14:paraId="4A193CBE" w14:textId="6F80A895" w:rsidR="00313C7A" w:rsidRDefault="00B059D0" w:rsidP="004965EA">
      <w:pPr>
        <w:widowControl/>
        <w:spacing w:line="360" w:lineRule="auto"/>
        <w:jc w:val="both"/>
        <w:rPr>
          <w:color w:val="FF0000"/>
        </w:rPr>
      </w:pPr>
      <w:r>
        <w:t xml:space="preserve">Tabela </w:t>
      </w:r>
      <w:r w:rsidR="008303B8">
        <w:t>2</w:t>
      </w:r>
      <w:r>
        <w:rPr>
          <w:b/>
          <w:bCs/>
        </w:rPr>
        <w:t xml:space="preserve"> – </w:t>
      </w:r>
      <w:r w:rsidR="00480D64" w:rsidRPr="00480D64">
        <w:t xml:space="preserve">Graus de severidade de queimada </w:t>
      </w:r>
      <w:r w:rsidR="00E13399">
        <w:t>(</w:t>
      </w:r>
      <w:r w:rsidR="00E13399" w:rsidRPr="00E13399">
        <w:t>ΔNBR</w:t>
      </w:r>
      <w:r w:rsidR="00E13399">
        <w:t xml:space="preserve">) </w:t>
      </w:r>
      <w:r w:rsidR="00480D64" w:rsidRPr="00480D64">
        <w:t>na área de estudo</w:t>
      </w:r>
      <w:r>
        <w:t>.</w:t>
      </w:r>
    </w:p>
    <w:tbl>
      <w:tblPr>
        <w:tblStyle w:val="Tabelacomgrade"/>
        <w:tblW w:w="0" w:type="auto"/>
        <w:tblLook w:val="04A0" w:firstRow="1" w:lastRow="0" w:firstColumn="1" w:lastColumn="0" w:noHBand="0" w:noVBand="1"/>
      </w:tblPr>
      <w:tblGrid>
        <w:gridCol w:w="3318"/>
        <w:gridCol w:w="2874"/>
        <w:gridCol w:w="2874"/>
      </w:tblGrid>
      <w:tr w:rsidR="008C76B4" w14:paraId="2CE048AE" w14:textId="77777777" w:rsidTr="006E27A2">
        <w:trPr>
          <w:trHeight w:val="397"/>
        </w:trPr>
        <w:tc>
          <w:tcPr>
            <w:tcW w:w="3318" w:type="dxa"/>
            <w:tcBorders>
              <w:top w:val="single" w:sz="8" w:space="0" w:color="auto"/>
              <w:left w:val="nil"/>
              <w:bottom w:val="single" w:sz="8" w:space="0" w:color="auto"/>
              <w:right w:val="nil"/>
            </w:tcBorders>
            <w:vAlign w:val="center"/>
          </w:tcPr>
          <w:p w14:paraId="2DE21BD3" w14:textId="77777777" w:rsidR="008C76B4" w:rsidRPr="008C76B4" w:rsidRDefault="008C76B4" w:rsidP="006E27A2">
            <w:pPr>
              <w:spacing w:line="360" w:lineRule="auto"/>
              <w:jc w:val="center"/>
              <w:rPr>
                <w:rFonts w:ascii="Times New Roman" w:hAnsi="Times New Roman" w:cs="Times New Roman"/>
                <w:b/>
                <w:bCs/>
              </w:rPr>
            </w:pPr>
            <w:r w:rsidRPr="008C76B4">
              <w:rPr>
                <w:rFonts w:ascii="Times New Roman" w:hAnsi="Times New Roman" w:cs="Times New Roman"/>
                <w:b/>
                <w:bCs/>
              </w:rPr>
              <w:t>Grau de severidade</w:t>
            </w:r>
          </w:p>
        </w:tc>
        <w:tc>
          <w:tcPr>
            <w:tcW w:w="2874" w:type="dxa"/>
            <w:tcBorders>
              <w:top w:val="single" w:sz="8" w:space="0" w:color="auto"/>
              <w:left w:val="nil"/>
              <w:bottom w:val="single" w:sz="8" w:space="0" w:color="auto"/>
              <w:right w:val="nil"/>
            </w:tcBorders>
            <w:vAlign w:val="center"/>
          </w:tcPr>
          <w:p w14:paraId="56522ACB" w14:textId="77777777" w:rsidR="008C76B4" w:rsidRPr="008C76B4" w:rsidRDefault="008C76B4" w:rsidP="006E27A2">
            <w:pPr>
              <w:spacing w:line="360" w:lineRule="auto"/>
              <w:jc w:val="center"/>
              <w:rPr>
                <w:rFonts w:ascii="Times New Roman" w:hAnsi="Times New Roman" w:cs="Times New Roman"/>
                <w:b/>
                <w:bCs/>
              </w:rPr>
            </w:pPr>
            <w:r w:rsidRPr="008C76B4">
              <w:rPr>
                <w:rFonts w:ascii="Times New Roman" w:hAnsi="Times New Roman" w:cs="Times New Roman"/>
                <w:b/>
                <w:bCs/>
              </w:rPr>
              <w:t>Área ocupada (ha)</w:t>
            </w:r>
          </w:p>
        </w:tc>
        <w:tc>
          <w:tcPr>
            <w:tcW w:w="2874" w:type="dxa"/>
            <w:tcBorders>
              <w:top w:val="single" w:sz="8" w:space="0" w:color="auto"/>
              <w:left w:val="nil"/>
              <w:bottom w:val="single" w:sz="8" w:space="0" w:color="auto"/>
              <w:right w:val="nil"/>
            </w:tcBorders>
          </w:tcPr>
          <w:p w14:paraId="29408FFB" w14:textId="77777777" w:rsidR="008C76B4" w:rsidRPr="008C76B4" w:rsidRDefault="008C76B4" w:rsidP="006E27A2">
            <w:pPr>
              <w:spacing w:line="360" w:lineRule="auto"/>
              <w:jc w:val="center"/>
              <w:rPr>
                <w:rFonts w:ascii="Times New Roman" w:hAnsi="Times New Roman" w:cs="Times New Roman"/>
                <w:b/>
                <w:bCs/>
              </w:rPr>
            </w:pPr>
            <w:r w:rsidRPr="008C76B4">
              <w:rPr>
                <w:rFonts w:ascii="Times New Roman" w:hAnsi="Times New Roman" w:cs="Times New Roman"/>
                <w:b/>
                <w:bCs/>
              </w:rPr>
              <w:t>Área ocupada (%)</w:t>
            </w:r>
          </w:p>
        </w:tc>
      </w:tr>
      <w:tr w:rsidR="008C76B4" w14:paraId="5C5CE864" w14:textId="77777777" w:rsidTr="006E27A2">
        <w:tc>
          <w:tcPr>
            <w:tcW w:w="3318" w:type="dxa"/>
            <w:tcBorders>
              <w:top w:val="single" w:sz="8" w:space="0" w:color="auto"/>
              <w:left w:val="nil"/>
              <w:bottom w:val="nil"/>
              <w:right w:val="nil"/>
            </w:tcBorders>
            <w:vAlign w:val="center"/>
          </w:tcPr>
          <w:p w14:paraId="33511367" w14:textId="77777777" w:rsidR="008C76B4" w:rsidRPr="008C76B4" w:rsidRDefault="008C76B4" w:rsidP="006E27A2">
            <w:pPr>
              <w:spacing w:line="360" w:lineRule="auto"/>
              <w:jc w:val="center"/>
              <w:rPr>
                <w:rFonts w:ascii="Times New Roman" w:hAnsi="Times New Roman" w:cs="Times New Roman"/>
              </w:rPr>
            </w:pPr>
            <w:r w:rsidRPr="008C76B4">
              <w:rPr>
                <w:rFonts w:ascii="Times New Roman" w:hAnsi="Times New Roman" w:cs="Times New Roman"/>
              </w:rPr>
              <w:t>Alta regeneração</w:t>
            </w:r>
          </w:p>
        </w:tc>
        <w:tc>
          <w:tcPr>
            <w:tcW w:w="2874" w:type="dxa"/>
            <w:tcBorders>
              <w:top w:val="single" w:sz="8" w:space="0" w:color="auto"/>
              <w:left w:val="nil"/>
              <w:bottom w:val="nil"/>
              <w:right w:val="nil"/>
            </w:tcBorders>
            <w:vAlign w:val="center"/>
          </w:tcPr>
          <w:p w14:paraId="4862283D" w14:textId="77777777" w:rsidR="008C76B4" w:rsidRPr="008C76B4" w:rsidRDefault="008C76B4" w:rsidP="006E27A2">
            <w:pPr>
              <w:spacing w:line="360" w:lineRule="auto"/>
              <w:jc w:val="center"/>
              <w:rPr>
                <w:rFonts w:ascii="Times New Roman" w:hAnsi="Times New Roman" w:cs="Times New Roman"/>
              </w:rPr>
            </w:pPr>
            <w:r w:rsidRPr="008C76B4">
              <w:rPr>
                <w:rFonts w:ascii="Times New Roman" w:hAnsi="Times New Roman" w:cs="Times New Roman"/>
              </w:rPr>
              <w:t>796,14</w:t>
            </w:r>
          </w:p>
        </w:tc>
        <w:tc>
          <w:tcPr>
            <w:tcW w:w="2874" w:type="dxa"/>
            <w:tcBorders>
              <w:top w:val="single" w:sz="8" w:space="0" w:color="auto"/>
              <w:left w:val="nil"/>
              <w:bottom w:val="nil"/>
              <w:right w:val="nil"/>
            </w:tcBorders>
          </w:tcPr>
          <w:p w14:paraId="78AE937C" w14:textId="77777777" w:rsidR="008C76B4" w:rsidRPr="008C76B4" w:rsidRDefault="008C76B4" w:rsidP="006E27A2">
            <w:pPr>
              <w:spacing w:line="360" w:lineRule="auto"/>
              <w:jc w:val="center"/>
              <w:rPr>
                <w:rFonts w:ascii="Times New Roman" w:hAnsi="Times New Roman" w:cs="Times New Roman"/>
              </w:rPr>
            </w:pPr>
            <w:r w:rsidRPr="008C76B4">
              <w:rPr>
                <w:rFonts w:ascii="Times New Roman" w:hAnsi="Times New Roman" w:cs="Times New Roman"/>
              </w:rPr>
              <w:t>0,04%</w:t>
            </w:r>
          </w:p>
        </w:tc>
      </w:tr>
      <w:tr w:rsidR="008C76B4" w14:paraId="43DB6E50" w14:textId="77777777" w:rsidTr="006E27A2">
        <w:tc>
          <w:tcPr>
            <w:tcW w:w="3318" w:type="dxa"/>
            <w:tcBorders>
              <w:top w:val="nil"/>
              <w:left w:val="nil"/>
              <w:bottom w:val="nil"/>
              <w:right w:val="nil"/>
            </w:tcBorders>
            <w:vAlign w:val="center"/>
          </w:tcPr>
          <w:p w14:paraId="734C3757" w14:textId="77777777" w:rsidR="008C76B4" w:rsidRPr="008C76B4" w:rsidRDefault="008C76B4" w:rsidP="006E27A2">
            <w:pPr>
              <w:spacing w:line="360" w:lineRule="auto"/>
              <w:jc w:val="center"/>
              <w:rPr>
                <w:rFonts w:ascii="Times New Roman" w:hAnsi="Times New Roman" w:cs="Times New Roman"/>
              </w:rPr>
            </w:pPr>
            <w:r w:rsidRPr="008C76B4">
              <w:rPr>
                <w:rFonts w:ascii="Times New Roman" w:hAnsi="Times New Roman" w:cs="Times New Roman"/>
              </w:rPr>
              <w:t>Baixa regeneração</w:t>
            </w:r>
          </w:p>
        </w:tc>
        <w:tc>
          <w:tcPr>
            <w:tcW w:w="2874" w:type="dxa"/>
            <w:tcBorders>
              <w:top w:val="nil"/>
              <w:left w:val="nil"/>
              <w:bottom w:val="nil"/>
              <w:right w:val="nil"/>
            </w:tcBorders>
            <w:vAlign w:val="center"/>
          </w:tcPr>
          <w:p w14:paraId="4DF3FDD7" w14:textId="77777777" w:rsidR="008C76B4" w:rsidRPr="008C76B4" w:rsidRDefault="008C76B4" w:rsidP="006E27A2">
            <w:pPr>
              <w:spacing w:line="360" w:lineRule="auto"/>
              <w:jc w:val="center"/>
              <w:rPr>
                <w:rFonts w:ascii="Times New Roman" w:hAnsi="Times New Roman" w:cs="Times New Roman"/>
              </w:rPr>
            </w:pPr>
            <w:r w:rsidRPr="008C76B4">
              <w:rPr>
                <w:rFonts w:ascii="Times New Roman" w:hAnsi="Times New Roman" w:cs="Times New Roman"/>
              </w:rPr>
              <w:t>53.263,94</w:t>
            </w:r>
          </w:p>
        </w:tc>
        <w:tc>
          <w:tcPr>
            <w:tcW w:w="2874" w:type="dxa"/>
            <w:tcBorders>
              <w:top w:val="nil"/>
              <w:left w:val="nil"/>
              <w:bottom w:val="nil"/>
              <w:right w:val="nil"/>
            </w:tcBorders>
          </w:tcPr>
          <w:p w14:paraId="245DF70D" w14:textId="77777777" w:rsidR="008C76B4" w:rsidRPr="008C76B4" w:rsidRDefault="008C76B4" w:rsidP="006E27A2">
            <w:pPr>
              <w:spacing w:line="360" w:lineRule="auto"/>
              <w:jc w:val="center"/>
              <w:rPr>
                <w:rFonts w:ascii="Times New Roman" w:hAnsi="Times New Roman" w:cs="Times New Roman"/>
              </w:rPr>
            </w:pPr>
            <w:r w:rsidRPr="008C76B4">
              <w:rPr>
                <w:rFonts w:ascii="Times New Roman" w:hAnsi="Times New Roman" w:cs="Times New Roman"/>
              </w:rPr>
              <w:t>2,39%</w:t>
            </w:r>
          </w:p>
        </w:tc>
      </w:tr>
      <w:tr w:rsidR="008C76B4" w14:paraId="5A5D67FC" w14:textId="77777777" w:rsidTr="006E27A2">
        <w:tc>
          <w:tcPr>
            <w:tcW w:w="3318" w:type="dxa"/>
            <w:tcBorders>
              <w:top w:val="nil"/>
              <w:left w:val="nil"/>
              <w:bottom w:val="nil"/>
              <w:right w:val="nil"/>
            </w:tcBorders>
            <w:vAlign w:val="center"/>
          </w:tcPr>
          <w:p w14:paraId="5423BC91" w14:textId="77777777" w:rsidR="008C76B4" w:rsidRPr="008C76B4" w:rsidRDefault="008C76B4" w:rsidP="006E27A2">
            <w:pPr>
              <w:spacing w:line="360" w:lineRule="auto"/>
              <w:jc w:val="center"/>
              <w:rPr>
                <w:rFonts w:ascii="Times New Roman" w:hAnsi="Times New Roman" w:cs="Times New Roman"/>
              </w:rPr>
            </w:pPr>
            <w:r w:rsidRPr="008C76B4">
              <w:rPr>
                <w:rFonts w:ascii="Times New Roman" w:hAnsi="Times New Roman" w:cs="Times New Roman"/>
              </w:rPr>
              <w:t>Não queimado</w:t>
            </w:r>
          </w:p>
        </w:tc>
        <w:tc>
          <w:tcPr>
            <w:tcW w:w="2874" w:type="dxa"/>
            <w:tcBorders>
              <w:top w:val="nil"/>
              <w:left w:val="nil"/>
              <w:bottom w:val="nil"/>
              <w:right w:val="nil"/>
            </w:tcBorders>
            <w:vAlign w:val="center"/>
          </w:tcPr>
          <w:p w14:paraId="7A05E7C8" w14:textId="77777777" w:rsidR="008C76B4" w:rsidRPr="008C76B4" w:rsidRDefault="008C76B4" w:rsidP="006E27A2">
            <w:pPr>
              <w:spacing w:line="360" w:lineRule="auto"/>
              <w:jc w:val="center"/>
              <w:rPr>
                <w:rFonts w:ascii="Times New Roman" w:hAnsi="Times New Roman" w:cs="Times New Roman"/>
              </w:rPr>
            </w:pPr>
            <w:r w:rsidRPr="008C76B4">
              <w:rPr>
                <w:rFonts w:ascii="Times New Roman" w:hAnsi="Times New Roman" w:cs="Times New Roman"/>
              </w:rPr>
              <w:t>1.846.239,14</w:t>
            </w:r>
          </w:p>
        </w:tc>
        <w:tc>
          <w:tcPr>
            <w:tcW w:w="2874" w:type="dxa"/>
            <w:tcBorders>
              <w:top w:val="nil"/>
              <w:left w:val="nil"/>
              <w:bottom w:val="nil"/>
              <w:right w:val="nil"/>
            </w:tcBorders>
          </w:tcPr>
          <w:p w14:paraId="4F99CD14" w14:textId="77777777" w:rsidR="008C76B4" w:rsidRPr="008C76B4" w:rsidRDefault="008C76B4" w:rsidP="006E27A2">
            <w:pPr>
              <w:spacing w:line="360" w:lineRule="auto"/>
              <w:jc w:val="center"/>
              <w:rPr>
                <w:rFonts w:ascii="Times New Roman" w:hAnsi="Times New Roman" w:cs="Times New Roman"/>
              </w:rPr>
            </w:pPr>
            <w:r w:rsidRPr="008C76B4">
              <w:rPr>
                <w:rFonts w:ascii="Times New Roman" w:hAnsi="Times New Roman" w:cs="Times New Roman"/>
              </w:rPr>
              <w:t>82,93%</w:t>
            </w:r>
          </w:p>
        </w:tc>
      </w:tr>
      <w:tr w:rsidR="008C76B4" w14:paraId="5AE2DB7C" w14:textId="77777777" w:rsidTr="006E27A2">
        <w:tc>
          <w:tcPr>
            <w:tcW w:w="3318" w:type="dxa"/>
            <w:tcBorders>
              <w:top w:val="nil"/>
              <w:left w:val="nil"/>
              <w:bottom w:val="nil"/>
              <w:right w:val="nil"/>
            </w:tcBorders>
            <w:vAlign w:val="center"/>
          </w:tcPr>
          <w:p w14:paraId="4C6B01B8" w14:textId="77777777" w:rsidR="008C76B4" w:rsidRPr="008C76B4" w:rsidRDefault="008C76B4" w:rsidP="006E27A2">
            <w:pPr>
              <w:spacing w:line="360" w:lineRule="auto"/>
              <w:jc w:val="center"/>
              <w:rPr>
                <w:rFonts w:ascii="Times New Roman" w:hAnsi="Times New Roman" w:cs="Times New Roman"/>
              </w:rPr>
            </w:pPr>
            <w:r w:rsidRPr="008C76B4">
              <w:rPr>
                <w:rFonts w:ascii="Times New Roman" w:hAnsi="Times New Roman" w:cs="Times New Roman"/>
              </w:rPr>
              <w:t>Baixa severidade</w:t>
            </w:r>
          </w:p>
        </w:tc>
        <w:tc>
          <w:tcPr>
            <w:tcW w:w="2874" w:type="dxa"/>
            <w:tcBorders>
              <w:top w:val="nil"/>
              <w:left w:val="nil"/>
              <w:bottom w:val="nil"/>
              <w:right w:val="nil"/>
            </w:tcBorders>
            <w:vAlign w:val="center"/>
          </w:tcPr>
          <w:p w14:paraId="402DBB26" w14:textId="77777777" w:rsidR="008C76B4" w:rsidRPr="008C76B4" w:rsidRDefault="008C76B4" w:rsidP="006E27A2">
            <w:pPr>
              <w:spacing w:line="360" w:lineRule="auto"/>
              <w:jc w:val="center"/>
              <w:rPr>
                <w:rFonts w:ascii="Times New Roman" w:hAnsi="Times New Roman" w:cs="Times New Roman"/>
              </w:rPr>
            </w:pPr>
            <w:r w:rsidRPr="008C76B4">
              <w:rPr>
                <w:rFonts w:ascii="Times New Roman" w:hAnsi="Times New Roman" w:cs="Times New Roman"/>
              </w:rPr>
              <w:t>192.875,64</w:t>
            </w:r>
          </w:p>
        </w:tc>
        <w:tc>
          <w:tcPr>
            <w:tcW w:w="2874" w:type="dxa"/>
            <w:tcBorders>
              <w:top w:val="nil"/>
              <w:left w:val="nil"/>
              <w:bottom w:val="nil"/>
              <w:right w:val="nil"/>
            </w:tcBorders>
          </w:tcPr>
          <w:p w14:paraId="35716956" w14:textId="77777777" w:rsidR="008C76B4" w:rsidRPr="008C76B4" w:rsidRDefault="008C76B4" w:rsidP="006E27A2">
            <w:pPr>
              <w:spacing w:line="360" w:lineRule="auto"/>
              <w:jc w:val="center"/>
              <w:rPr>
                <w:rFonts w:ascii="Times New Roman" w:hAnsi="Times New Roman" w:cs="Times New Roman"/>
              </w:rPr>
            </w:pPr>
            <w:r w:rsidRPr="008C76B4">
              <w:rPr>
                <w:rFonts w:ascii="Times New Roman" w:hAnsi="Times New Roman" w:cs="Times New Roman"/>
              </w:rPr>
              <w:t>8,66%</w:t>
            </w:r>
          </w:p>
        </w:tc>
      </w:tr>
      <w:tr w:rsidR="008C76B4" w14:paraId="1A5B4C60" w14:textId="77777777" w:rsidTr="006E27A2">
        <w:tc>
          <w:tcPr>
            <w:tcW w:w="3318" w:type="dxa"/>
            <w:tcBorders>
              <w:top w:val="nil"/>
              <w:left w:val="nil"/>
              <w:bottom w:val="nil"/>
              <w:right w:val="nil"/>
            </w:tcBorders>
            <w:vAlign w:val="center"/>
          </w:tcPr>
          <w:p w14:paraId="4C0B1CAE" w14:textId="77777777" w:rsidR="008C76B4" w:rsidRPr="008C76B4" w:rsidRDefault="008C76B4" w:rsidP="006E27A2">
            <w:pPr>
              <w:spacing w:line="360" w:lineRule="auto"/>
              <w:jc w:val="center"/>
              <w:rPr>
                <w:rFonts w:ascii="Times New Roman" w:hAnsi="Times New Roman" w:cs="Times New Roman"/>
              </w:rPr>
            </w:pPr>
            <w:r w:rsidRPr="008C76B4">
              <w:rPr>
                <w:rFonts w:ascii="Times New Roman" w:hAnsi="Times New Roman" w:cs="Times New Roman"/>
              </w:rPr>
              <w:t>Baixa-moderada severidade</w:t>
            </w:r>
          </w:p>
        </w:tc>
        <w:tc>
          <w:tcPr>
            <w:tcW w:w="2874" w:type="dxa"/>
            <w:tcBorders>
              <w:top w:val="nil"/>
              <w:left w:val="nil"/>
              <w:bottom w:val="nil"/>
              <w:right w:val="nil"/>
            </w:tcBorders>
            <w:vAlign w:val="center"/>
          </w:tcPr>
          <w:p w14:paraId="615829FB" w14:textId="77777777" w:rsidR="008C76B4" w:rsidRPr="008C76B4" w:rsidRDefault="008C76B4" w:rsidP="006E27A2">
            <w:pPr>
              <w:spacing w:line="360" w:lineRule="auto"/>
              <w:jc w:val="center"/>
              <w:rPr>
                <w:rFonts w:ascii="Times New Roman" w:hAnsi="Times New Roman" w:cs="Times New Roman"/>
              </w:rPr>
            </w:pPr>
            <w:r w:rsidRPr="008C76B4">
              <w:rPr>
                <w:rFonts w:ascii="Times New Roman" w:hAnsi="Times New Roman" w:cs="Times New Roman"/>
              </w:rPr>
              <w:t>103.418,59</w:t>
            </w:r>
          </w:p>
        </w:tc>
        <w:tc>
          <w:tcPr>
            <w:tcW w:w="2874" w:type="dxa"/>
            <w:tcBorders>
              <w:top w:val="nil"/>
              <w:left w:val="nil"/>
              <w:bottom w:val="nil"/>
              <w:right w:val="nil"/>
            </w:tcBorders>
          </w:tcPr>
          <w:p w14:paraId="0E4F7C2C" w14:textId="77777777" w:rsidR="008C76B4" w:rsidRPr="008C76B4" w:rsidRDefault="008C76B4" w:rsidP="006E27A2">
            <w:pPr>
              <w:spacing w:line="360" w:lineRule="auto"/>
              <w:jc w:val="center"/>
              <w:rPr>
                <w:rFonts w:ascii="Times New Roman" w:hAnsi="Times New Roman" w:cs="Times New Roman"/>
              </w:rPr>
            </w:pPr>
            <w:r w:rsidRPr="008C76B4">
              <w:rPr>
                <w:rFonts w:ascii="Times New Roman" w:hAnsi="Times New Roman" w:cs="Times New Roman"/>
              </w:rPr>
              <w:t>4,65%</w:t>
            </w:r>
          </w:p>
        </w:tc>
      </w:tr>
      <w:tr w:rsidR="008C76B4" w14:paraId="49DAAD6C" w14:textId="77777777" w:rsidTr="006E27A2">
        <w:tc>
          <w:tcPr>
            <w:tcW w:w="3318" w:type="dxa"/>
            <w:tcBorders>
              <w:top w:val="nil"/>
              <w:left w:val="nil"/>
              <w:bottom w:val="nil"/>
              <w:right w:val="nil"/>
            </w:tcBorders>
            <w:vAlign w:val="center"/>
          </w:tcPr>
          <w:p w14:paraId="3B8DAEAE" w14:textId="77777777" w:rsidR="008C76B4" w:rsidRPr="008C76B4" w:rsidRDefault="008C76B4" w:rsidP="006E27A2">
            <w:pPr>
              <w:spacing w:line="360" w:lineRule="auto"/>
              <w:jc w:val="center"/>
              <w:rPr>
                <w:rFonts w:ascii="Times New Roman" w:hAnsi="Times New Roman" w:cs="Times New Roman"/>
              </w:rPr>
            </w:pPr>
            <w:r w:rsidRPr="008C76B4">
              <w:rPr>
                <w:rFonts w:ascii="Times New Roman" w:hAnsi="Times New Roman" w:cs="Times New Roman"/>
              </w:rPr>
              <w:t>Alta-moderada severidade</w:t>
            </w:r>
          </w:p>
        </w:tc>
        <w:tc>
          <w:tcPr>
            <w:tcW w:w="2874" w:type="dxa"/>
            <w:tcBorders>
              <w:top w:val="nil"/>
              <w:left w:val="nil"/>
              <w:bottom w:val="nil"/>
              <w:right w:val="nil"/>
            </w:tcBorders>
            <w:vAlign w:val="center"/>
          </w:tcPr>
          <w:p w14:paraId="45731EB4" w14:textId="77777777" w:rsidR="008C76B4" w:rsidRPr="008C76B4" w:rsidRDefault="008C76B4" w:rsidP="006E27A2">
            <w:pPr>
              <w:spacing w:line="360" w:lineRule="auto"/>
              <w:jc w:val="center"/>
              <w:rPr>
                <w:rFonts w:ascii="Times New Roman" w:hAnsi="Times New Roman" w:cs="Times New Roman"/>
              </w:rPr>
            </w:pPr>
            <w:r w:rsidRPr="008C76B4">
              <w:rPr>
                <w:rFonts w:ascii="Times New Roman" w:hAnsi="Times New Roman" w:cs="Times New Roman"/>
              </w:rPr>
              <w:t>29.125,56</w:t>
            </w:r>
          </w:p>
        </w:tc>
        <w:tc>
          <w:tcPr>
            <w:tcW w:w="2874" w:type="dxa"/>
            <w:tcBorders>
              <w:top w:val="nil"/>
              <w:left w:val="nil"/>
              <w:bottom w:val="nil"/>
              <w:right w:val="nil"/>
            </w:tcBorders>
          </w:tcPr>
          <w:p w14:paraId="6C6DC2E5" w14:textId="77777777" w:rsidR="008C76B4" w:rsidRPr="008C76B4" w:rsidRDefault="008C76B4" w:rsidP="006E27A2">
            <w:pPr>
              <w:spacing w:line="360" w:lineRule="auto"/>
              <w:jc w:val="center"/>
              <w:rPr>
                <w:rFonts w:ascii="Times New Roman" w:hAnsi="Times New Roman" w:cs="Times New Roman"/>
              </w:rPr>
            </w:pPr>
            <w:r w:rsidRPr="008C76B4">
              <w:rPr>
                <w:rFonts w:ascii="Times New Roman" w:hAnsi="Times New Roman" w:cs="Times New Roman"/>
              </w:rPr>
              <w:t>1,31%</w:t>
            </w:r>
          </w:p>
        </w:tc>
      </w:tr>
      <w:tr w:rsidR="008C76B4" w14:paraId="32E5CBC3" w14:textId="77777777" w:rsidTr="006E27A2">
        <w:tc>
          <w:tcPr>
            <w:tcW w:w="3318" w:type="dxa"/>
            <w:tcBorders>
              <w:top w:val="nil"/>
              <w:left w:val="nil"/>
              <w:bottom w:val="single" w:sz="8" w:space="0" w:color="auto"/>
              <w:right w:val="nil"/>
            </w:tcBorders>
            <w:vAlign w:val="center"/>
          </w:tcPr>
          <w:p w14:paraId="653BE72B" w14:textId="77777777" w:rsidR="008C76B4" w:rsidRPr="008C76B4" w:rsidRDefault="008C76B4" w:rsidP="006E27A2">
            <w:pPr>
              <w:spacing w:line="360" w:lineRule="auto"/>
              <w:jc w:val="center"/>
              <w:rPr>
                <w:rFonts w:ascii="Times New Roman" w:hAnsi="Times New Roman" w:cs="Times New Roman"/>
              </w:rPr>
            </w:pPr>
            <w:r w:rsidRPr="008C76B4">
              <w:rPr>
                <w:rFonts w:ascii="Times New Roman" w:hAnsi="Times New Roman" w:cs="Times New Roman"/>
              </w:rPr>
              <w:t>Alta severidade</w:t>
            </w:r>
          </w:p>
        </w:tc>
        <w:tc>
          <w:tcPr>
            <w:tcW w:w="2874" w:type="dxa"/>
            <w:tcBorders>
              <w:top w:val="nil"/>
              <w:left w:val="nil"/>
              <w:bottom w:val="single" w:sz="8" w:space="0" w:color="auto"/>
              <w:right w:val="nil"/>
            </w:tcBorders>
            <w:vAlign w:val="center"/>
          </w:tcPr>
          <w:p w14:paraId="46203BC8" w14:textId="77777777" w:rsidR="008C76B4" w:rsidRPr="008C76B4" w:rsidRDefault="008C76B4" w:rsidP="006E27A2">
            <w:pPr>
              <w:spacing w:line="360" w:lineRule="auto"/>
              <w:jc w:val="center"/>
              <w:rPr>
                <w:rFonts w:ascii="Times New Roman" w:hAnsi="Times New Roman" w:cs="Times New Roman"/>
              </w:rPr>
            </w:pPr>
            <w:r w:rsidRPr="008C76B4">
              <w:rPr>
                <w:rFonts w:ascii="Times New Roman" w:hAnsi="Times New Roman" w:cs="Times New Roman"/>
              </w:rPr>
              <w:t>486,46</w:t>
            </w:r>
          </w:p>
        </w:tc>
        <w:tc>
          <w:tcPr>
            <w:tcW w:w="2874" w:type="dxa"/>
            <w:tcBorders>
              <w:top w:val="nil"/>
              <w:left w:val="nil"/>
              <w:bottom w:val="single" w:sz="8" w:space="0" w:color="auto"/>
              <w:right w:val="nil"/>
            </w:tcBorders>
          </w:tcPr>
          <w:p w14:paraId="5DA2355B" w14:textId="77777777" w:rsidR="008C76B4" w:rsidRPr="008C76B4" w:rsidRDefault="008C76B4" w:rsidP="006E27A2">
            <w:pPr>
              <w:spacing w:line="360" w:lineRule="auto"/>
              <w:jc w:val="center"/>
              <w:rPr>
                <w:rFonts w:ascii="Times New Roman" w:hAnsi="Times New Roman" w:cs="Times New Roman"/>
              </w:rPr>
            </w:pPr>
            <w:r w:rsidRPr="008C76B4">
              <w:rPr>
                <w:rFonts w:ascii="Times New Roman" w:hAnsi="Times New Roman" w:cs="Times New Roman"/>
              </w:rPr>
              <w:t>0,02%</w:t>
            </w:r>
          </w:p>
        </w:tc>
      </w:tr>
      <w:tr w:rsidR="008C76B4" w14:paraId="274784BD" w14:textId="77777777" w:rsidTr="00D10561">
        <w:tc>
          <w:tcPr>
            <w:tcW w:w="3318" w:type="dxa"/>
            <w:tcBorders>
              <w:top w:val="single" w:sz="8" w:space="0" w:color="auto"/>
              <w:left w:val="nil"/>
              <w:bottom w:val="single" w:sz="8" w:space="0" w:color="auto"/>
              <w:right w:val="nil"/>
            </w:tcBorders>
            <w:vAlign w:val="center"/>
          </w:tcPr>
          <w:p w14:paraId="34C6BA4D" w14:textId="77777777" w:rsidR="008C76B4" w:rsidRPr="008C76B4" w:rsidRDefault="008C76B4" w:rsidP="006E27A2">
            <w:pPr>
              <w:spacing w:line="360" w:lineRule="auto"/>
              <w:jc w:val="center"/>
              <w:rPr>
                <w:rFonts w:ascii="Times New Roman" w:hAnsi="Times New Roman" w:cs="Times New Roman"/>
                <w:b/>
                <w:bCs/>
              </w:rPr>
            </w:pPr>
            <w:r w:rsidRPr="008C76B4">
              <w:rPr>
                <w:rFonts w:ascii="Times New Roman" w:hAnsi="Times New Roman" w:cs="Times New Roman"/>
                <w:b/>
                <w:bCs/>
              </w:rPr>
              <w:t>Total</w:t>
            </w:r>
          </w:p>
        </w:tc>
        <w:tc>
          <w:tcPr>
            <w:tcW w:w="2874" w:type="dxa"/>
            <w:tcBorders>
              <w:top w:val="single" w:sz="8" w:space="0" w:color="auto"/>
              <w:left w:val="nil"/>
              <w:bottom w:val="single" w:sz="8" w:space="0" w:color="auto"/>
              <w:right w:val="nil"/>
            </w:tcBorders>
            <w:vAlign w:val="center"/>
          </w:tcPr>
          <w:p w14:paraId="46E5FA3B" w14:textId="77777777" w:rsidR="008C76B4" w:rsidRPr="008C76B4" w:rsidRDefault="008C76B4" w:rsidP="006E27A2">
            <w:pPr>
              <w:spacing w:line="360" w:lineRule="auto"/>
              <w:jc w:val="center"/>
              <w:rPr>
                <w:rFonts w:ascii="Times New Roman" w:hAnsi="Times New Roman" w:cs="Times New Roman"/>
                <w:b/>
                <w:bCs/>
              </w:rPr>
            </w:pPr>
            <w:r w:rsidRPr="008C76B4">
              <w:rPr>
                <w:rFonts w:ascii="Times New Roman" w:hAnsi="Times New Roman" w:cs="Times New Roman"/>
                <w:b/>
                <w:bCs/>
              </w:rPr>
              <w:t>2.226.205,47</w:t>
            </w:r>
          </w:p>
        </w:tc>
        <w:tc>
          <w:tcPr>
            <w:tcW w:w="2874" w:type="dxa"/>
            <w:tcBorders>
              <w:top w:val="single" w:sz="8" w:space="0" w:color="auto"/>
              <w:left w:val="nil"/>
              <w:bottom w:val="single" w:sz="8" w:space="0" w:color="auto"/>
              <w:right w:val="nil"/>
            </w:tcBorders>
          </w:tcPr>
          <w:p w14:paraId="7FBD969A" w14:textId="77777777" w:rsidR="008C76B4" w:rsidRPr="008C76B4" w:rsidRDefault="008C76B4" w:rsidP="006E27A2">
            <w:pPr>
              <w:spacing w:line="360" w:lineRule="auto"/>
              <w:jc w:val="center"/>
              <w:rPr>
                <w:rFonts w:ascii="Times New Roman" w:hAnsi="Times New Roman" w:cs="Times New Roman"/>
                <w:b/>
                <w:bCs/>
              </w:rPr>
            </w:pPr>
            <w:r w:rsidRPr="008C76B4">
              <w:rPr>
                <w:rFonts w:ascii="Times New Roman" w:hAnsi="Times New Roman" w:cs="Times New Roman"/>
                <w:b/>
                <w:bCs/>
              </w:rPr>
              <w:t>100,00%</w:t>
            </w:r>
          </w:p>
        </w:tc>
      </w:tr>
    </w:tbl>
    <w:p w14:paraId="26573762" w14:textId="48FBFD68" w:rsidR="00480D64" w:rsidRPr="00CA31B3" w:rsidRDefault="00B059D0" w:rsidP="00CA31B3">
      <w:pPr>
        <w:widowControl/>
        <w:spacing w:before="120" w:line="259" w:lineRule="auto"/>
        <w:jc w:val="both"/>
        <w:rPr>
          <w:color w:val="FF0000"/>
        </w:rPr>
      </w:pPr>
      <w:r>
        <w:t>Fonte:</w:t>
      </w:r>
      <w:r>
        <w:rPr>
          <w:b/>
          <w:bCs/>
        </w:rPr>
        <w:t xml:space="preserve"> </w:t>
      </w:r>
      <w:r w:rsidR="008C76B4">
        <w:t>Autores, 2025</w:t>
      </w:r>
      <w:r>
        <w:t>.</w:t>
      </w:r>
    </w:p>
    <w:p w14:paraId="0BF7F4DF" w14:textId="7D920608" w:rsidR="00480D64" w:rsidRDefault="001D4EEF" w:rsidP="004B5CBD">
      <w:pPr>
        <w:widowControl/>
        <w:tabs>
          <w:tab w:val="left" w:pos="1290"/>
        </w:tabs>
        <w:spacing w:line="360" w:lineRule="auto"/>
        <w:ind w:firstLine="709"/>
        <w:jc w:val="both"/>
        <w:rPr>
          <w:sz w:val="24"/>
          <w:szCs w:val="24"/>
        </w:rPr>
      </w:pPr>
      <w:r>
        <w:rPr>
          <w:sz w:val="24"/>
          <w:szCs w:val="24"/>
        </w:rPr>
        <w:lastRenderedPageBreak/>
        <w:t>R</w:t>
      </w:r>
      <w:r w:rsidR="002A1B45">
        <w:rPr>
          <w:sz w:val="24"/>
          <w:szCs w:val="24"/>
        </w:rPr>
        <w:t>essalta-se</w:t>
      </w:r>
      <w:r w:rsidR="00013265" w:rsidRPr="00013265">
        <w:rPr>
          <w:sz w:val="24"/>
          <w:szCs w:val="24"/>
        </w:rPr>
        <w:t xml:space="preserve"> que o resultado obtido foi fortemente influenciado pela presença de nuvens na imagem de novembro. De acordo com Key e Benson (2006), a presença de nuvens na imagem pós-fogo pode resultar em valores positivos de grau de severidade. Por outro lado, os valores similares de NBR para os corpos hídricos em ambas as datas foram neutralizados na subtração, como mostra a Figura 5. Como resultado, poucas áreas de superfície hídrica apresentaram algum grau de severidade de queimada.</w:t>
      </w:r>
    </w:p>
    <w:p w14:paraId="1107AABB" w14:textId="61620562" w:rsidR="00013265" w:rsidRDefault="00CD225F" w:rsidP="00E64788">
      <w:pPr>
        <w:widowControl/>
        <w:tabs>
          <w:tab w:val="left" w:pos="1290"/>
        </w:tabs>
        <w:spacing w:line="360" w:lineRule="auto"/>
        <w:ind w:firstLine="851"/>
        <w:jc w:val="both"/>
        <w:rPr>
          <w:sz w:val="24"/>
          <w:szCs w:val="24"/>
        </w:rPr>
      </w:pPr>
      <w:r>
        <w:rPr>
          <w:sz w:val="24"/>
          <w:szCs w:val="24"/>
        </w:rPr>
        <w:t xml:space="preserve">De modo geral, as áreas </w:t>
      </w:r>
      <w:r w:rsidR="00FF767A">
        <w:rPr>
          <w:sz w:val="24"/>
          <w:szCs w:val="24"/>
        </w:rPr>
        <w:t>atingidas</w:t>
      </w:r>
      <w:r>
        <w:rPr>
          <w:sz w:val="24"/>
          <w:szCs w:val="24"/>
        </w:rPr>
        <w:t xml:space="preserve"> se concentraram a leste, na TI Kayapó, </w:t>
      </w:r>
      <w:r w:rsidR="00BD5508">
        <w:rPr>
          <w:sz w:val="24"/>
          <w:szCs w:val="24"/>
        </w:rPr>
        <w:t xml:space="preserve">nas proximidades dos seus limites ao norte, </w:t>
      </w:r>
      <w:r>
        <w:rPr>
          <w:sz w:val="24"/>
          <w:szCs w:val="24"/>
        </w:rPr>
        <w:t>evidenciando a dimensão das queimadas nesse territóri</w:t>
      </w:r>
      <w:r w:rsidR="00E64788">
        <w:rPr>
          <w:sz w:val="24"/>
          <w:szCs w:val="24"/>
        </w:rPr>
        <w:t>o</w:t>
      </w:r>
      <w:r>
        <w:rPr>
          <w:sz w:val="24"/>
          <w:szCs w:val="24"/>
        </w:rPr>
        <w:t xml:space="preserve">. </w:t>
      </w:r>
      <w:r w:rsidR="004B5CBD" w:rsidRPr="002A3B61">
        <w:rPr>
          <w:sz w:val="24"/>
          <w:szCs w:val="24"/>
        </w:rPr>
        <w:t>Foi possível notar que os maiores graus de severidade se concentraram na porção nordeste da área de estudo</w:t>
      </w:r>
      <w:r w:rsidR="002D667B">
        <w:rPr>
          <w:sz w:val="24"/>
          <w:szCs w:val="24"/>
        </w:rPr>
        <w:t xml:space="preserve"> (recorte A)</w:t>
      </w:r>
      <w:r w:rsidR="004B5CBD" w:rsidRPr="002A3B61">
        <w:rPr>
          <w:sz w:val="24"/>
          <w:szCs w:val="24"/>
        </w:rPr>
        <w:t>, o que pode indicar que a região sofreu queimadas mais intensas em 2024</w:t>
      </w:r>
      <w:r w:rsidR="008745E8">
        <w:rPr>
          <w:sz w:val="24"/>
          <w:szCs w:val="24"/>
        </w:rPr>
        <w:t>, que podem ter sido iniciadas fora da TI</w:t>
      </w:r>
      <w:r w:rsidR="004B5CBD" w:rsidRPr="002A3B61">
        <w:rPr>
          <w:sz w:val="24"/>
          <w:szCs w:val="24"/>
        </w:rPr>
        <w:t>. Por outro lado, a porção sudeste</w:t>
      </w:r>
      <w:r w:rsidR="00421AEE">
        <w:rPr>
          <w:sz w:val="24"/>
          <w:szCs w:val="24"/>
        </w:rPr>
        <w:t xml:space="preserve"> (recorte B)</w:t>
      </w:r>
      <w:r w:rsidR="004B5CBD" w:rsidRPr="002A3B61">
        <w:rPr>
          <w:sz w:val="24"/>
          <w:szCs w:val="24"/>
        </w:rPr>
        <w:t>, que se destacou tanto na composição colorida, quanto no NBR em novembro, obteve valores moderados de severidade, o que pode ser explicado pelos baixos valores de NBR em junho, mesmo sem efeito do fogo, o que gerou resultados mais brandos.</w:t>
      </w:r>
    </w:p>
    <w:p w14:paraId="1D566D6D" w14:textId="77777777" w:rsidR="004B5CBD" w:rsidRDefault="004B5CBD" w:rsidP="004B5CBD">
      <w:pPr>
        <w:widowControl/>
        <w:tabs>
          <w:tab w:val="left" w:pos="1290"/>
        </w:tabs>
        <w:spacing w:line="360" w:lineRule="auto"/>
        <w:ind w:firstLine="851"/>
        <w:jc w:val="both"/>
        <w:rPr>
          <w:sz w:val="24"/>
          <w:szCs w:val="24"/>
        </w:rPr>
      </w:pPr>
    </w:p>
    <w:p w14:paraId="47A6F391" w14:textId="09AF7232" w:rsidR="00013265" w:rsidRDefault="00013265" w:rsidP="00013265">
      <w:pPr>
        <w:pBdr>
          <w:bottom w:val="none" w:sz="0" w:space="8" w:color="000000"/>
        </w:pBdr>
        <w:shd w:val="clear" w:color="auto" w:fill="FFFFFF"/>
        <w:tabs>
          <w:tab w:val="left" w:pos="699"/>
        </w:tabs>
        <w:jc w:val="center"/>
        <w:rPr>
          <w:highlight w:val="white"/>
        </w:rPr>
      </w:pPr>
      <w:r>
        <w:rPr>
          <w:highlight w:val="white"/>
        </w:rPr>
        <w:t xml:space="preserve">Figura 5 – </w:t>
      </w:r>
      <w:r w:rsidR="001434E2" w:rsidRPr="001434E2">
        <w:t>Grau de severidade de área queimada (ΔNBR)</w:t>
      </w:r>
      <w:r>
        <w:rPr>
          <w:highlight w:val="white"/>
        </w:rPr>
        <w:t>.</w:t>
      </w:r>
    </w:p>
    <w:p w14:paraId="6ADAE900" w14:textId="6CCA4912" w:rsidR="00013265" w:rsidRPr="00C14F32" w:rsidRDefault="002D17D5" w:rsidP="00013265">
      <w:pPr>
        <w:pBdr>
          <w:bottom w:val="none" w:sz="0" w:space="8" w:color="000000"/>
        </w:pBdr>
        <w:shd w:val="clear" w:color="auto" w:fill="FFFFFF"/>
        <w:tabs>
          <w:tab w:val="left" w:pos="699"/>
        </w:tabs>
        <w:jc w:val="center"/>
        <w:rPr>
          <w:highlight w:val="white"/>
        </w:rPr>
      </w:pPr>
      <w:r>
        <w:rPr>
          <w:noProof/>
        </w:rPr>
        <w:drawing>
          <wp:inline distT="0" distB="0" distL="0" distR="0" wp14:anchorId="2762338C" wp14:editId="6640CCFE">
            <wp:extent cx="5040000" cy="3564377"/>
            <wp:effectExtent l="0" t="0" r="8255" b="0"/>
            <wp:docPr id="1744951907" name="Imagem 1" descr="Uma imagem contendo Sit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951907" name="Imagem 1" descr="Uma imagem contendo Site&#10;&#10;O conteúdo gerado por IA pode estar incorreto."/>
                    <pic:cNvPicPr/>
                  </pic:nvPicPr>
                  <pic:blipFill>
                    <a:blip r:embed="rId10"/>
                    <a:stretch>
                      <a:fillRect/>
                    </a:stretch>
                  </pic:blipFill>
                  <pic:spPr>
                    <a:xfrm>
                      <a:off x="0" y="0"/>
                      <a:ext cx="5040000" cy="3564377"/>
                    </a:xfrm>
                    <a:prstGeom prst="rect">
                      <a:avLst/>
                    </a:prstGeom>
                  </pic:spPr>
                </pic:pic>
              </a:graphicData>
            </a:graphic>
          </wp:inline>
        </w:drawing>
      </w:r>
    </w:p>
    <w:p w14:paraId="781BCA6B" w14:textId="0E12E3C1" w:rsidR="002A3B61" w:rsidRPr="004B5CBD" w:rsidRDefault="00013265" w:rsidP="00CA31B3">
      <w:pPr>
        <w:pBdr>
          <w:bottom w:val="none" w:sz="0" w:space="8" w:color="000000"/>
        </w:pBdr>
        <w:shd w:val="clear" w:color="auto" w:fill="FFFFFF"/>
        <w:tabs>
          <w:tab w:val="left" w:pos="699"/>
        </w:tabs>
        <w:spacing w:line="432" w:lineRule="auto"/>
        <w:jc w:val="both"/>
        <w:rPr>
          <w:highlight w:val="white"/>
        </w:rPr>
      </w:pPr>
      <w:r>
        <w:rPr>
          <w:highlight w:val="white"/>
        </w:rPr>
        <w:t>Fonte: Autores, 2025.</w:t>
      </w:r>
    </w:p>
    <w:p w14:paraId="5D31745D" w14:textId="606C4E00" w:rsidR="002A3B61" w:rsidRPr="002A3B61" w:rsidRDefault="0079358F" w:rsidP="00494926">
      <w:pPr>
        <w:widowControl/>
        <w:spacing w:line="360" w:lineRule="auto"/>
        <w:ind w:firstLine="709"/>
        <w:jc w:val="both"/>
        <w:rPr>
          <w:sz w:val="24"/>
          <w:szCs w:val="24"/>
        </w:rPr>
      </w:pPr>
      <w:r>
        <w:rPr>
          <w:sz w:val="24"/>
          <w:szCs w:val="24"/>
        </w:rPr>
        <w:lastRenderedPageBreak/>
        <w:t>Esses resultados</w:t>
      </w:r>
      <w:r w:rsidR="002A3B61" w:rsidRPr="002A3B61">
        <w:rPr>
          <w:sz w:val="24"/>
          <w:szCs w:val="24"/>
        </w:rPr>
        <w:t xml:space="preserve"> indica</w:t>
      </w:r>
      <w:r>
        <w:rPr>
          <w:sz w:val="24"/>
          <w:szCs w:val="24"/>
        </w:rPr>
        <w:t>m</w:t>
      </w:r>
      <w:r w:rsidR="002A3B61" w:rsidRPr="002A3B61">
        <w:rPr>
          <w:sz w:val="24"/>
          <w:szCs w:val="24"/>
        </w:rPr>
        <w:t xml:space="preserve"> que os limiares de ΔNBR estabelecidos originalmente </w:t>
      </w:r>
      <w:r w:rsidR="005B6C4A">
        <w:rPr>
          <w:sz w:val="24"/>
          <w:szCs w:val="24"/>
        </w:rPr>
        <w:t>podem não</w:t>
      </w:r>
      <w:r w:rsidR="002A3B61" w:rsidRPr="002A3B61">
        <w:rPr>
          <w:sz w:val="24"/>
          <w:szCs w:val="24"/>
        </w:rPr>
        <w:t xml:space="preserve"> s</w:t>
      </w:r>
      <w:r w:rsidR="005B6C4A">
        <w:rPr>
          <w:sz w:val="24"/>
          <w:szCs w:val="24"/>
        </w:rPr>
        <w:t>er</w:t>
      </w:r>
      <w:r w:rsidR="002A3B61" w:rsidRPr="002A3B61">
        <w:rPr>
          <w:sz w:val="24"/>
          <w:szCs w:val="24"/>
        </w:rPr>
        <w:t xml:space="preserve"> adequados para todos os tipos de vegetação. Key e Benson (2006) admitem que os limiares podem precisar de ajustes para biomas e tipos de vegetação diferentes. Cansler e McKenzie (2012) e Hernandez (2021) </w:t>
      </w:r>
      <w:r w:rsidR="002A617F">
        <w:rPr>
          <w:sz w:val="24"/>
          <w:szCs w:val="24"/>
        </w:rPr>
        <w:t xml:space="preserve">não </w:t>
      </w:r>
      <w:r w:rsidR="002A3B61" w:rsidRPr="002A3B61">
        <w:rPr>
          <w:sz w:val="24"/>
          <w:szCs w:val="24"/>
        </w:rPr>
        <w:t xml:space="preserve">obtiveram resultados </w:t>
      </w:r>
      <w:r w:rsidR="002A617F">
        <w:rPr>
          <w:sz w:val="24"/>
          <w:szCs w:val="24"/>
        </w:rPr>
        <w:t>muito</w:t>
      </w:r>
      <w:r w:rsidR="002A3B61" w:rsidRPr="002A3B61">
        <w:rPr>
          <w:sz w:val="24"/>
          <w:szCs w:val="24"/>
        </w:rPr>
        <w:t xml:space="preserve"> satisfatórios ao utilizar o NBR e o ΔNBR em ambientes diferentes da área de estudo original da metodologia. Apesar das limitações, a distribuição de áreas queimadas e não queimadas</w:t>
      </w:r>
      <w:r w:rsidR="00707595">
        <w:rPr>
          <w:sz w:val="24"/>
          <w:szCs w:val="24"/>
        </w:rPr>
        <w:t xml:space="preserve"> nesse estudo</w:t>
      </w:r>
      <w:r w:rsidR="002A3B61" w:rsidRPr="002A3B61">
        <w:rPr>
          <w:sz w:val="24"/>
          <w:szCs w:val="24"/>
        </w:rPr>
        <w:t xml:space="preserve"> foi</w:t>
      </w:r>
      <w:r w:rsidR="005628B0">
        <w:rPr>
          <w:sz w:val="24"/>
          <w:szCs w:val="24"/>
        </w:rPr>
        <w:t xml:space="preserve"> </w:t>
      </w:r>
      <w:r w:rsidR="002A3B61" w:rsidRPr="002A3B61">
        <w:rPr>
          <w:sz w:val="24"/>
          <w:szCs w:val="24"/>
        </w:rPr>
        <w:t xml:space="preserve">coerente em </w:t>
      </w:r>
      <w:r w:rsidR="003D7DED">
        <w:rPr>
          <w:sz w:val="24"/>
          <w:szCs w:val="24"/>
        </w:rPr>
        <w:t>comparação</w:t>
      </w:r>
      <w:r w:rsidR="002A3B61" w:rsidRPr="002A3B61">
        <w:rPr>
          <w:sz w:val="24"/>
          <w:szCs w:val="24"/>
        </w:rPr>
        <w:t xml:space="preserve"> </w:t>
      </w:r>
      <w:r w:rsidR="003D7DED">
        <w:rPr>
          <w:sz w:val="24"/>
          <w:szCs w:val="24"/>
        </w:rPr>
        <w:t>com a</w:t>
      </w:r>
      <w:r w:rsidR="002A3B61" w:rsidRPr="002A3B61">
        <w:rPr>
          <w:sz w:val="24"/>
          <w:szCs w:val="24"/>
        </w:rPr>
        <w:t xml:space="preserve"> composição colorida de novembro</w:t>
      </w:r>
      <w:r w:rsidR="00151A3F">
        <w:rPr>
          <w:sz w:val="24"/>
          <w:szCs w:val="24"/>
        </w:rPr>
        <w:t xml:space="preserve">, demonstrando </w:t>
      </w:r>
      <w:r w:rsidR="0068017F">
        <w:rPr>
          <w:sz w:val="24"/>
          <w:szCs w:val="24"/>
        </w:rPr>
        <w:t xml:space="preserve">o potencial dessas ferramentas para análise </w:t>
      </w:r>
      <w:r w:rsidR="00074ACF">
        <w:rPr>
          <w:sz w:val="24"/>
          <w:szCs w:val="24"/>
        </w:rPr>
        <w:t>e monitoramento de</w:t>
      </w:r>
      <w:r w:rsidR="0030358B">
        <w:rPr>
          <w:sz w:val="24"/>
          <w:szCs w:val="24"/>
        </w:rPr>
        <w:t xml:space="preserve"> áreas</w:t>
      </w:r>
      <w:r w:rsidR="00074ACF">
        <w:rPr>
          <w:sz w:val="24"/>
          <w:szCs w:val="24"/>
        </w:rPr>
        <w:t xml:space="preserve"> queimadas</w:t>
      </w:r>
      <w:r w:rsidR="0068017F">
        <w:rPr>
          <w:sz w:val="24"/>
          <w:szCs w:val="24"/>
        </w:rPr>
        <w:t>,</w:t>
      </w:r>
      <w:r w:rsidR="00CB6D06">
        <w:rPr>
          <w:sz w:val="24"/>
          <w:szCs w:val="24"/>
        </w:rPr>
        <w:t xml:space="preserve"> com os ajustes necessários</w:t>
      </w:r>
      <w:r w:rsidR="0068017F">
        <w:rPr>
          <w:sz w:val="24"/>
          <w:szCs w:val="24"/>
        </w:rPr>
        <w:t>.</w:t>
      </w:r>
    </w:p>
    <w:p w14:paraId="0CADDE3E" w14:textId="173A6E61" w:rsidR="002A3B61" w:rsidRDefault="00136093" w:rsidP="004B5CBD">
      <w:pPr>
        <w:widowControl/>
        <w:spacing w:line="360" w:lineRule="auto"/>
        <w:ind w:firstLine="709"/>
        <w:jc w:val="both"/>
        <w:rPr>
          <w:sz w:val="24"/>
          <w:szCs w:val="24"/>
        </w:rPr>
      </w:pPr>
      <w:r>
        <w:rPr>
          <w:sz w:val="24"/>
          <w:szCs w:val="24"/>
        </w:rPr>
        <w:t>Além disso</w:t>
      </w:r>
      <w:r w:rsidR="002A3B61" w:rsidRPr="002A3B61">
        <w:rPr>
          <w:sz w:val="24"/>
          <w:szCs w:val="24"/>
        </w:rPr>
        <w:t xml:space="preserve">, </w:t>
      </w:r>
      <w:r w:rsidR="002832A9">
        <w:rPr>
          <w:sz w:val="24"/>
          <w:szCs w:val="24"/>
        </w:rPr>
        <w:t xml:space="preserve">notou-se </w:t>
      </w:r>
      <w:r w:rsidR="002A3B61" w:rsidRPr="002A3B61">
        <w:rPr>
          <w:sz w:val="24"/>
          <w:szCs w:val="24"/>
        </w:rPr>
        <w:t>a presença de alguns corpos hídricos categorizados como áreas de regeneração, principalmente a sud</w:t>
      </w:r>
      <w:r w:rsidR="00FC3098">
        <w:rPr>
          <w:sz w:val="24"/>
          <w:szCs w:val="24"/>
        </w:rPr>
        <w:t>o</w:t>
      </w:r>
      <w:r w:rsidR="002A3B61" w:rsidRPr="002A3B61">
        <w:rPr>
          <w:sz w:val="24"/>
          <w:szCs w:val="24"/>
        </w:rPr>
        <w:t>este</w:t>
      </w:r>
      <w:r w:rsidR="00FC3098">
        <w:rPr>
          <w:sz w:val="24"/>
          <w:szCs w:val="24"/>
        </w:rPr>
        <w:t xml:space="preserve"> (recorte C)</w:t>
      </w:r>
      <w:r w:rsidR="002A3B61" w:rsidRPr="002A3B61">
        <w:rPr>
          <w:sz w:val="24"/>
          <w:szCs w:val="24"/>
        </w:rPr>
        <w:t xml:space="preserve">, no curso do Rio Iriri. Esses graus </w:t>
      </w:r>
      <w:r w:rsidR="005D367D">
        <w:rPr>
          <w:sz w:val="24"/>
          <w:szCs w:val="24"/>
        </w:rPr>
        <w:t xml:space="preserve"> normalmente </w:t>
      </w:r>
      <w:r w:rsidR="002A3B61" w:rsidRPr="002A3B61">
        <w:rPr>
          <w:sz w:val="24"/>
          <w:szCs w:val="24"/>
        </w:rPr>
        <w:t>representam áreas que sofreram queimadas anteriormente e estão passando por um processo de regeneração. Pirajá et al. (2023) detectaram o mesmo problema para a região do Pantanal, indicando mais uma limitação da metodologia em relação a superfícies d’água.</w:t>
      </w:r>
    </w:p>
    <w:p w14:paraId="67C13F04" w14:textId="77777777" w:rsidR="004B5CBD" w:rsidRPr="00480D64" w:rsidRDefault="004B5CBD" w:rsidP="004B5CBD">
      <w:pPr>
        <w:widowControl/>
        <w:spacing w:line="360" w:lineRule="auto"/>
        <w:ind w:firstLine="709"/>
        <w:jc w:val="both"/>
        <w:rPr>
          <w:sz w:val="24"/>
          <w:szCs w:val="24"/>
        </w:rPr>
      </w:pPr>
    </w:p>
    <w:p w14:paraId="4A193CFC" w14:textId="5DA1701B" w:rsidR="00313C7A" w:rsidRDefault="00B059D0" w:rsidP="004B5CBD">
      <w:pPr>
        <w:widowControl/>
        <w:tabs>
          <w:tab w:val="left" w:pos="1290"/>
        </w:tabs>
        <w:spacing w:line="259" w:lineRule="auto"/>
        <w:jc w:val="both"/>
        <w:rPr>
          <w:sz w:val="28"/>
          <w:szCs w:val="28"/>
        </w:rPr>
      </w:pPr>
      <w:r>
        <w:rPr>
          <w:b/>
          <w:bCs/>
          <w:sz w:val="24"/>
          <w:szCs w:val="24"/>
        </w:rPr>
        <w:t>4. CONSIDERAÇÕES FINAIS</w:t>
      </w:r>
    </w:p>
    <w:p w14:paraId="4A193CFD" w14:textId="77777777" w:rsidR="00313C7A" w:rsidRDefault="00B059D0" w:rsidP="004B5CBD">
      <w:pPr>
        <w:widowControl/>
        <w:tabs>
          <w:tab w:val="left" w:pos="699"/>
        </w:tabs>
        <w:spacing w:line="259" w:lineRule="auto"/>
        <w:jc w:val="both"/>
        <w:rPr>
          <w:sz w:val="24"/>
          <w:szCs w:val="24"/>
        </w:rPr>
      </w:pPr>
      <w:r>
        <w:rPr>
          <w:sz w:val="24"/>
          <w:szCs w:val="24"/>
        </w:rPr>
        <w:tab/>
      </w:r>
    </w:p>
    <w:p w14:paraId="4A193CFE" w14:textId="2208DA74" w:rsidR="00313C7A" w:rsidRDefault="005C0A32" w:rsidP="00494926">
      <w:pPr>
        <w:widowControl/>
        <w:tabs>
          <w:tab w:val="left" w:pos="699"/>
        </w:tabs>
        <w:spacing w:line="360" w:lineRule="auto"/>
        <w:ind w:firstLine="709"/>
        <w:jc w:val="both"/>
        <w:rPr>
          <w:b/>
          <w:bCs/>
          <w:sz w:val="24"/>
          <w:szCs w:val="24"/>
        </w:rPr>
      </w:pPr>
      <w:r>
        <w:rPr>
          <w:sz w:val="24"/>
          <w:szCs w:val="24"/>
        </w:rPr>
        <w:t>O</w:t>
      </w:r>
      <w:r w:rsidR="00525D30">
        <w:rPr>
          <w:sz w:val="24"/>
          <w:szCs w:val="24"/>
        </w:rPr>
        <w:t xml:space="preserve">s resultados destacaram </w:t>
      </w:r>
      <w:r w:rsidR="00FC038B">
        <w:rPr>
          <w:sz w:val="24"/>
          <w:szCs w:val="24"/>
        </w:rPr>
        <w:t>o impacto das queimadas</w:t>
      </w:r>
      <w:r w:rsidR="00372F80">
        <w:rPr>
          <w:sz w:val="24"/>
          <w:szCs w:val="24"/>
        </w:rPr>
        <w:t xml:space="preserve"> de 2024 em duas Terras Indígenas no Pará</w:t>
      </w:r>
      <w:r w:rsidR="00D70E94">
        <w:rPr>
          <w:sz w:val="24"/>
          <w:szCs w:val="24"/>
        </w:rPr>
        <w:t xml:space="preserve">, demonstrando o potencial dos </w:t>
      </w:r>
      <w:r w:rsidR="00FA1357" w:rsidRPr="00FA1357">
        <w:rPr>
          <w:sz w:val="24"/>
          <w:szCs w:val="24"/>
        </w:rPr>
        <w:t>índice</w:t>
      </w:r>
      <w:r w:rsidR="00D70E94">
        <w:rPr>
          <w:sz w:val="24"/>
          <w:szCs w:val="24"/>
        </w:rPr>
        <w:t>s</w:t>
      </w:r>
      <w:r w:rsidR="00FA1357" w:rsidRPr="00FA1357">
        <w:rPr>
          <w:sz w:val="24"/>
          <w:szCs w:val="24"/>
        </w:rPr>
        <w:t xml:space="preserve"> espectra</w:t>
      </w:r>
      <w:r w:rsidR="00D70E94">
        <w:rPr>
          <w:sz w:val="24"/>
          <w:szCs w:val="24"/>
        </w:rPr>
        <w:t>is</w:t>
      </w:r>
      <w:r w:rsidR="00FA1357" w:rsidRPr="00FA1357">
        <w:rPr>
          <w:sz w:val="24"/>
          <w:szCs w:val="24"/>
        </w:rPr>
        <w:t xml:space="preserve"> NBR</w:t>
      </w:r>
      <w:r w:rsidR="00D70E94">
        <w:rPr>
          <w:sz w:val="24"/>
          <w:szCs w:val="24"/>
        </w:rPr>
        <w:t xml:space="preserve"> e </w:t>
      </w:r>
      <w:r w:rsidR="00D70E94" w:rsidRPr="00186DCA">
        <w:rPr>
          <w:sz w:val="24"/>
          <w:szCs w:val="24"/>
        </w:rPr>
        <w:t>ΔNBR</w:t>
      </w:r>
      <w:r w:rsidR="00D70E94">
        <w:rPr>
          <w:sz w:val="24"/>
          <w:szCs w:val="24"/>
        </w:rPr>
        <w:t xml:space="preserve"> </w:t>
      </w:r>
      <w:r w:rsidR="00FA1357" w:rsidRPr="00FA1357">
        <w:rPr>
          <w:sz w:val="24"/>
          <w:szCs w:val="24"/>
        </w:rPr>
        <w:t xml:space="preserve">para identificação e quantificação de áreas de vegetação queimadas. No entanto, existem limitações em seu uso relacionadas à presença de corpos hídricos, áreas de solo exposto e nuvens nas imagens analisadas, além de problemas de adaptação a diferentes tipos de vegetação, exigindo análises complementares e ajustes à localidade estudada. A cobertura de nuvens </w:t>
      </w:r>
      <w:r w:rsidR="00607B85">
        <w:rPr>
          <w:sz w:val="24"/>
          <w:szCs w:val="24"/>
        </w:rPr>
        <w:t xml:space="preserve">pode </w:t>
      </w:r>
      <w:r w:rsidR="00FA1357" w:rsidRPr="00FA1357">
        <w:rPr>
          <w:sz w:val="24"/>
          <w:szCs w:val="24"/>
        </w:rPr>
        <w:t>torna</w:t>
      </w:r>
      <w:r w:rsidR="00607B85">
        <w:rPr>
          <w:sz w:val="24"/>
          <w:szCs w:val="24"/>
        </w:rPr>
        <w:t>r</w:t>
      </w:r>
      <w:r w:rsidR="00FA1357" w:rsidRPr="00FA1357">
        <w:rPr>
          <w:sz w:val="24"/>
          <w:szCs w:val="24"/>
        </w:rPr>
        <w:t xml:space="preserve"> a análise de NBR um desafio na região amazônica, visto que o período pós-queimadas coincide com o início do período chuvoso na região, dificultando a aquisição de imagens de satélite.</w:t>
      </w:r>
    </w:p>
    <w:p w14:paraId="4A193CFF" w14:textId="77777777" w:rsidR="00313C7A" w:rsidRDefault="00313C7A">
      <w:pPr>
        <w:widowControl/>
        <w:tabs>
          <w:tab w:val="left" w:pos="1290"/>
        </w:tabs>
        <w:spacing w:after="160" w:line="259" w:lineRule="auto"/>
        <w:jc w:val="both"/>
        <w:rPr>
          <w:b/>
          <w:bCs/>
          <w:sz w:val="24"/>
          <w:szCs w:val="24"/>
        </w:rPr>
      </w:pPr>
    </w:p>
    <w:p w14:paraId="4A193D00" w14:textId="77777777" w:rsidR="00313C7A" w:rsidRPr="00B132C7" w:rsidRDefault="00B059D0">
      <w:pPr>
        <w:widowControl/>
        <w:tabs>
          <w:tab w:val="left" w:pos="1290"/>
        </w:tabs>
        <w:spacing w:after="160" w:line="259" w:lineRule="auto"/>
        <w:jc w:val="both"/>
        <w:rPr>
          <w:color w:val="FF0000"/>
          <w:sz w:val="24"/>
          <w:szCs w:val="24"/>
          <w:lang w:val="en-US"/>
        </w:rPr>
      </w:pPr>
      <w:r w:rsidRPr="00B132C7">
        <w:rPr>
          <w:b/>
          <w:bCs/>
          <w:sz w:val="24"/>
          <w:szCs w:val="24"/>
          <w:lang w:val="en-US"/>
        </w:rPr>
        <w:t>REFERÊNCIAS</w:t>
      </w:r>
    </w:p>
    <w:p w14:paraId="4499B465" w14:textId="77777777" w:rsidR="00745E77" w:rsidRPr="00A36CD2" w:rsidRDefault="00745E77" w:rsidP="00F004DA">
      <w:pPr>
        <w:rPr>
          <w:sz w:val="24"/>
          <w:szCs w:val="24"/>
          <w:lang w:val="en-US"/>
        </w:rPr>
      </w:pPr>
      <w:bookmarkStart w:id="0" w:name="_heading=h.squ3lsgj33d5" w:colFirst="0" w:colLast="0"/>
      <w:bookmarkEnd w:id="0"/>
      <w:r>
        <w:rPr>
          <w:sz w:val="24"/>
          <w:szCs w:val="24"/>
          <w:lang w:val="en-US"/>
        </w:rPr>
        <w:t xml:space="preserve">CANSLER, C. A.; MCKENZIE, D. </w:t>
      </w:r>
      <w:r w:rsidRPr="00A36CD2">
        <w:rPr>
          <w:sz w:val="24"/>
          <w:szCs w:val="24"/>
          <w:lang w:val="en-US"/>
        </w:rPr>
        <w:t>How Robust Are Burn Severity Indices When Applied in</w:t>
      </w:r>
    </w:p>
    <w:p w14:paraId="57AA6CF8" w14:textId="77777777" w:rsidR="00745E77" w:rsidRPr="00070456" w:rsidRDefault="00745E77" w:rsidP="00F004DA">
      <w:pPr>
        <w:rPr>
          <w:sz w:val="24"/>
          <w:szCs w:val="24"/>
        </w:rPr>
      </w:pPr>
      <w:r w:rsidRPr="00A36CD2">
        <w:rPr>
          <w:sz w:val="24"/>
          <w:szCs w:val="24"/>
          <w:lang w:val="en-US"/>
        </w:rPr>
        <w:t>a New Region? Evaluation of Alternate Field-Based and</w:t>
      </w:r>
      <w:r>
        <w:rPr>
          <w:sz w:val="24"/>
          <w:szCs w:val="24"/>
          <w:lang w:val="en-US"/>
        </w:rPr>
        <w:t xml:space="preserve"> </w:t>
      </w:r>
      <w:r w:rsidRPr="00A36CD2">
        <w:rPr>
          <w:sz w:val="24"/>
          <w:szCs w:val="24"/>
          <w:lang w:val="en-US"/>
        </w:rPr>
        <w:t>Remote-Sensing Methods</w:t>
      </w:r>
      <w:r>
        <w:rPr>
          <w:sz w:val="24"/>
          <w:szCs w:val="24"/>
          <w:lang w:val="en-US"/>
        </w:rPr>
        <w:t xml:space="preserve">. </w:t>
      </w:r>
      <w:r w:rsidRPr="00070456">
        <w:rPr>
          <w:b/>
          <w:bCs/>
          <w:sz w:val="24"/>
          <w:szCs w:val="24"/>
        </w:rPr>
        <w:t>Remote Sensing</w:t>
      </w:r>
      <w:r w:rsidRPr="00070456">
        <w:rPr>
          <w:sz w:val="24"/>
          <w:szCs w:val="24"/>
        </w:rPr>
        <w:t>, v. 4, p. 456-483, 2012.</w:t>
      </w:r>
    </w:p>
    <w:p w14:paraId="40233D9C" w14:textId="77777777" w:rsidR="00745E77" w:rsidRPr="00070456" w:rsidRDefault="00745E77" w:rsidP="00F004DA">
      <w:pPr>
        <w:rPr>
          <w:sz w:val="24"/>
          <w:szCs w:val="24"/>
        </w:rPr>
      </w:pPr>
    </w:p>
    <w:p w14:paraId="22FF6982" w14:textId="77777777" w:rsidR="00745E77" w:rsidRPr="00AF4CE5" w:rsidRDefault="00745E77" w:rsidP="00F004DA">
      <w:pPr>
        <w:rPr>
          <w:b/>
          <w:bCs/>
          <w:sz w:val="24"/>
          <w:szCs w:val="24"/>
        </w:rPr>
      </w:pPr>
      <w:r w:rsidRPr="00AF4CE5">
        <w:rPr>
          <w:sz w:val="24"/>
          <w:szCs w:val="24"/>
        </w:rPr>
        <w:t xml:space="preserve">HERNANDEZ, M. R. V. </w:t>
      </w:r>
      <w:r w:rsidRPr="00AF4CE5">
        <w:rPr>
          <w:b/>
          <w:bCs/>
          <w:sz w:val="24"/>
          <w:szCs w:val="24"/>
        </w:rPr>
        <w:t>Resposta espectral da vegetação desidratada e valores de NBR</w:t>
      </w:r>
    </w:p>
    <w:p w14:paraId="3B7F5FEB" w14:textId="77777777" w:rsidR="00745E77" w:rsidRDefault="00745E77" w:rsidP="00F004DA">
      <w:pPr>
        <w:rPr>
          <w:sz w:val="24"/>
          <w:szCs w:val="24"/>
        </w:rPr>
      </w:pPr>
      <w:r w:rsidRPr="00AF4CE5">
        <w:rPr>
          <w:b/>
          <w:bCs/>
          <w:sz w:val="24"/>
          <w:szCs w:val="24"/>
        </w:rPr>
        <w:t>(Normalized Burn Ratio) obtidos via dados MSI Sentinel-2 em regiões tropicais</w:t>
      </w:r>
      <w:r>
        <w:rPr>
          <w:sz w:val="24"/>
          <w:szCs w:val="24"/>
        </w:rPr>
        <w:t>. 2021. Dissertação (Mestrado em Ciência Florestal) – Universidade Federal de Viçosa, Viçosa, 2021.</w:t>
      </w:r>
    </w:p>
    <w:p w14:paraId="139CB3DD" w14:textId="77777777" w:rsidR="001E74E5" w:rsidRPr="00AF4CE5" w:rsidRDefault="001E74E5" w:rsidP="00F004DA">
      <w:pPr>
        <w:rPr>
          <w:sz w:val="24"/>
          <w:szCs w:val="24"/>
        </w:rPr>
      </w:pPr>
    </w:p>
    <w:p w14:paraId="2276E6E0" w14:textId="0B941AE5" w:rsidR="00207A25" w:rsidRPr="00B132C7" w:rsidRDefault="00371B0F" w:rsidP="00F004DA">
      <w:pPr>
        <w:rPr>
          <w:sz w:val="24"/>
          <w:szCs w:val="24"/>
          <w:lang w:val="en-US"/>
        </w:rPr>
      </w:pPr>
      <w:r w:rsidRPr="00371B0F">
        <w:rPr>
          <w:sz w:val="24"/>
          <w:szCs w:val="24"/>
        </w:rPr>
        <w:t>HOFFMANN</w:t>
      </w:r>
      <w:r>
        <w:rPr>
          <w:sz w:val="24"/>
          <w:szCs w:val="24"/>
        </w:rPr>
        <w:t xml:space="preserve">, E. L. </w:t>
      </w:r>
      <w:r w:rsidR="00F047DC" w:rsidRPr="00F047DC">
        <w:rPr>
          <w:sz w:val="24"/>
          <w:szCs w:val="24"/>
        </w:rPr>
        <w:t>Variabilidade das Chuvas no Sudeste da Amazônia paraense, Brasil</w:t>
      </w:r>
      <w:r w:rsidR="00F047DC">
        <w:rPr>
          <w:sz w:val="24"/>
          <w:szCs w:val="24"/>
        </w:rPr>
        <w:t xml:space="preserve">. </w:t>
      </w:r>
      <w:r w:rsidR="00E62085" w:rsidRPr="00B132C7">
        <w:rPr>
          <w:b/>
          <w:bCs/>
          <w:sz w:val="24"/>
          <w:szCs w:val="24"/>
          <w:lang w:val="en-US"/>
        </w:rPr>
        <w:t>Revista Brasileira de Geografia Física</w:t>
      </w:r>
      <w:r w:rsidR="00E62085" w:rsidRPr="00B132C7">
        <w:rPr>
          <w:sz w:val="24"/>
          <w:szCs w:val="24"/>
          <w:lang w:val="en-US"/>
        </w:rPr>
        <w:t>, v. 11, n. 4, p. 1251-1263, 2018.</w:t>
      </w:r>
    </w:p>
    <w:p w14:paraId="208F7CFC" w14:textId="77777777" w:rsidR="00745E77" w:rsidRPr="00B132C7" w:rsidRDefault="00745E77" w:rsidP="00F004DA">
      <w:pPr>
        <w:rPr>
          <w:sz w:val="24"/>
          <w:szCs w:val="24"/>
          <w:lang w:val="en-US"/>
        </w:rPr>
      </w:pPr>
    </w:p>
    <w:p w14:paraId="3BBA9561" w14:textId="77777777" w:rsidR="00745E77" w:rsidRDefault="00745E77" w:rsidP="00F004DA">
      <w:pPr>
        <w:rPr>
          <w:sz w:val="24"/>
          <w:szCs w:val="24"/>
          <w:lang w:val="en-US"/>
        </w:rPr>
      </w:pPr>
      <w:r w:rsidRPr="00AF4CE5">
        <w:rPr>
          <w:sz w:val="24"/>
          <w:szCs w:val="24"/>
          <w:lang w:val="en-US"/>
        </w:rPr>
        <w:t>KEY, C. H.; BENSON, N. C. Measuring and remote sensing of burn severity.</w:t>
      </w:r>
      <w:r w:rsidRPr="00AF4CE5">
        <w:rPr>
          <w:i/>
          <w:iCs/>
          <w:sz w:val="24"/>
          <w:szCs w:val="24"/>
          <w:lang w:val="en-US"/>
        </w:rPr>
        <w:t xml:space="preserve"> In</w:t>
      </w:r>
      <w:r>
        <w:rPr>
          <w:sz w:val="24"/>
          <w:szCs w:val="24"/>
          <w:lang w:val="en-US"/>
        </w:rPr>
        <w:t>:</w:t>
      </w:r>
      <w:r w:rsidRPr="00AF4CE5">
        <w:rPr>
          <w:sz w:val="24"/>
          <w:szCs w:val="24"/>
          <w:lang w:val="en-US"/>
        </w:rPr>
        <w:t xml:space="preserve"> NEUENSCHWANDER</w:t>
      </w:r>
      <w:r>
        <w:rPr>
          <w:sz w:val="24"/>
          <w:szCs w:val="24"/>
          <w:lang w:val="en-US"/>
        </w:rPr>
        <w:t xml:space="preserve">, </w:t>
      </w:r>
      <w:r w:rsidRPr="00AF4CE5">
        <w:rPr>
          <w:sz w:val="24"/>
          <w:szCs w:val="24"/>
          <w:lang w:val="en-US"/>
        </w:rPr>
        <w:t>L. F</w:t>
      </w:r>
      <w:r>
        <w:rPr>
          <w:sz w:val="24"/>
          <w:szCs w:val="24"/>
          <w:lang w:val="en-US"/>
        </w:rPr>
        <w:t>; RYAN,</w:t>
      </w:r>
      <w:r w:rsidRPr="00AF4CE5">
        <w:rPr>
          <w:sz w:val="24"/>
          <w:szCs w:val="24"/>
          <w:lang w:val="en-US"/>
        </w:rPr>
        <w:t xml:space="preserve"> K. C.</w:t>
      </w:r>
      <w:r>
        <w:rPr>
          <w:sz w:val="24"/>
          <w:szCs w:val="24"/>
          <w:lang w:val="en-US"/>
        </w:rPr>
        <w:t xml:space="preserve">; </w:t>
      </w:r>
      <w:r w:rsidRPr="00AF4CE5">
        <w:rPr>
          <w:sz w:val="24"/>
          <w:szCs w:val="24"/>
          <w:lang w:val="en-US"/>
        </w:rPr>
        <w:t>GOLDENBERG</w:t>
      </w:r>
      <w:r>
        <w:rPr>
          <w:sz w:val="24"/>
          <w:szCs w:val="24"/>
          <w:lang w:val="en-US"/>
        </w:rPr>
        <w:t>,</w:t>
      </w:r>
      <w:r w:rsidRPr="00AF4CE5">
        <w:rPr>
          <w:sz w:val="24"/>
          <w:szCs w:val="24"/>
          <w:lang w:val="en-US"/>
        </w:rPr>
        <w:t xml:space="preserve"> G. E. (Ed.)</w:t>
      </w:r>
      <w:r>
        <w:rPr>
          <w:sz w:val="24"/>
          <w:szCs w:val="24"/>
          <w:lang w:val="en-US"/>
        </w:rPr>
        <w:t>.</w:t>
      </w:r>
      <w:r w:rsidRPr="00AF4CE5">
        <w:rPr>
          <w:sz w:val="24"/>
          <w:szCs w:val="24"/>
          <w:lang w:val="en-US"/>
        </w:rPr>
        <w:t xml:space="preserve"> </w:t>
      </w:r>
      <w:r w:rsidRPr="00AF4CE5">
        <w:rPr>
          <w:b/>
          <w:bCs/>
          <w:sz w:val="24"/>
          <w:szCs w:val="24"/>
          <w:lang w:val="en-US"/>
        </w:rPr>
        <w:t>Proceedings of the Joint Fire Science Conference</w:t>
      </w:r>
      <w:r w:rsidRPr="00AF4CE5">
        <w:rPr>
          <w:sz w:val="24"/>
          <w:szCs w:val="24"/>
          <w:lang w:val="en-US"/>
        </w:rPr>
        <w:t xml:space="preserve">. University of Idaho and the International </w:t>
      </w:r>
      <w:r>
        <w:rPr>
          <w:sz w:val="24"/>
          <w:szCs w:val="24"/>
          <w:lang w:val="en-US"/>
        </w:rPr>
        <w:t>A</w:t>
      </w:r>
      <w:r w:rsidRPr="00AF4CE5">
        <w:rPr>
          <w:sz w:val="24"/>
          <w:szCs w:val="24"/>
          <w:lang w:val="en-US"/>
        </w:rPr>
        <w:t>ssociation of</w:t>
      </w:r>
      <w:r>
        <w:rPr>
          <w:sz w:val="24"/>
          <w:szCs w:val="24"/>
          <w:lang w:val="en-US"/>
        </w:rPr>
        <w:t xml:space="preserve"> </w:t>
      </w:r>
      <w:r w:rsidRPr="00AF4CE5">
        <w:rPr>
          <w:sz w:val="24"/>
          <w:szCs w:val="24"/>
          <w:lang w:val="en-US"/>
        </w:rPr>
        <w:t>Wildland Fire 1999.</w:t>
      </w:r>
      <w:r>
        <w:rPr>
          <w:sz w:val="24"/>
          <w:szCs w:val="24"/>
          <w:lang w:val="en-US"/>
        </w:rPr>
        <w:t xml:space="preserve"> 284 p.</w:t>
      </w:r>
    </w:p>
    <w:p w14:paraId="00018F2C" w14:textId="77777777" w:rsidR="00745E77" w:rsidRDefault="00745E77" w:rsidP="00F004DA">
      <w:pPr>
        <w:rPr>
          <w:sz w:val="24"/>
          <w:szCs w:val="24"/>
          <w:lang w:val="en-US"/>
        </w:rPr>
      </w:pPr>
    </w:p>
    <w:p w14:paraId="56DE31CC" w14:textId="77777777" w:rsidR="00745E77" w:rsidRPr="001C668A" w:rsidRDefault="00745E77" w:rsidP="00F004DA">
      <w:pPr>
        <w:rPr>
          <w:sz w:val="24"/>
          <w:szCs w:val="24"/>
          <w:lang w:val="en-US"/>
        </w:rPr>
      </w:pPr>
      <w:r w:rsidRPr="001459BC">
        <w:rPr>
          <w:sz w:val="24"/>
          <w:szCs w:val="24"/>
          <w:lang w:val="en-US"/>
        </w:rPr>
        <w:t>KEY, C. H.; BENSON, N.</w:t>
      </w:r>
      <w:r>
        <w:rPr>
          <w:sz w:val="24"/>
          <w:szCs w:val="24"/>
          <w:lang w:val="en-US"/>
        </w:rPr>
        <w:t xml:space="preserve"> C. </w:t>
      </w:r>
      <w:r w:rsidRPr="00A36CD2">
        <w:rPr>
          <w:sz w:val="24"/>
          <w:szCs w:val="24"/>
          <w:lang w:val="en-US"/>
        </w:rPr>
        <w:t>Landscape Assessment (LA) Sampling and Analysis Methods</w:t>
      </w:r>
      <w:r>
        <w:rPr>
          <w:sz w:val="24"/>
          <w:szCs w:val="24"/>
          <w:lang w:val="en-US"/>
        </w:rPr>
        <w:t xml:space="preserve">. </w:t>
      </w:r>
      <w:r w:rsidRPr="00A36CD2">
        <w:rPr>
          <w:b/>
          <w:bCs/>
          <w:sz w:val="24"/>
          <w:szCs w:val="24"/>
          <w:lang w:val="en-US"/>
        </w:rPr>
        <w:t>FIREMON</w:t>
      </w:r>
      <w:r w:rsidRPr="00A36CD2">
        <w:rPr>
          <w:sz w:val="24"/>
          <w:szCs w:val="24"/>
          <w:lang w:val="en-US"/>
        </w:rPr>
        <w:t>: Fire effects monitoring and inventory system</w:t>
      </w:r>
      <w:r>
        <w:rPr>
          <w:sz w:val="24"/>
          <w:szCs w:val="24"/>
          <w:lang w:val="en-US"/>
        </w:rPr>
        <w:t xml:space="preserve">, </w:t>
      </w:r>
      <w:r w:rsidRPr="00A36CD2">
        <w:rPr>
          <w:sz w:val="24"/>
          <w:szCs w:val="24"/>
          <w:lang w:val="en-US"/>
        </w:rPr>
        <w:t>USDA Forest Service</w:t>
      </w:r>
      <w:r>
        <w:rPr>
          <w:sz w:val="24"/>
          <w:szCs w:val="24"/>
          <w:lang w:val="en-US"/>
        </w:rPr>
        <w:t xml:space="preserve">, </w:t>
      </w:r>
      <w:r w:rsidRPr="00A36CD2">
        <w:rPr>
          <w:sz w:val="24"/>
          <w:szCs w:val="24"/>
          <w:lang w:val="en-US"/>
        </w:rPr>
        <w:t xml:space="preserve">Gen. Tech. </w:t>
      </w:r>
      <w:r w:rsidRPr="001C668A">
        <w:rPr>
          <w:sz w:val="24"/>
          <w:szCs w:val="24"/>
          <w:lang w:val="en-US"/>
        </w:rPr>
        <w:t>Rep., p. 1-55, 2006.</w:t>
      </w:r>
    </w:p>
    <w:p w14:paraId="25293C66" w14:textId="77777777" w:rsidR="00745E77" w:rsidRPr="001C668A" w:rsidRDefault="00745E77" w:rsidP="00F004DA">
      <w:pPr>
        <w:rPr>
          <w:sz w:val="24"/>
          <w:szCs w:val="24"/>
          <w:lang w:val="en-US"/>
        </w:rPr>
      </w:pPr>
    </w:p>
    <w:p w14:paraId="35472ABE" w14:textId="43EF060F" w:rsidR="00963887" w:rsidRPr="00B132C7" w:rsidRDefault="00963887" w:rsidP="00F004DA">
      <w:pPr>
        <w:rPr>
          <w:sz w:val="24"/>
          <w:szCs w:val="24"/>
          <w:lang w:val="pt-BR"/>
        </w:rPr>
      </w:pPr>
      <w:r w:rsidRPr="00AA2AAE">
        <w:rPr>
          <w:sz w:val="24"/>
          <w:szCs w:val="24"/>
          <w:lang w:val="en-US"/>
        </w:rPr>
        <w:t xml:space="preserve">LAPOLA, D. </w:t>
      </w:r>
      <w:r w:rsidR="00AA2AAE" w:rsidRPr="00AA2AAE">
        <w:rPr>
          <w:sz w:val="24"/>
          <w:szCs w:val="24"/>
          <w:lang w:val="en-US"/>
        </w:rPr>
        <w:t xml:space="preserve">M. </w:t>
      </w:r>
      <w:r w:rsidRPr="00AA2AAE">
        <w:rPr>
          <w:sz w:val="24"/>
          <w:szCs w:val="24"/>
          <w:lang w:val="en-US"/>
        </w:rPr>
        <w:t>et al.</w:t>
      </w:r>
      <w:r w:rsidR="00AA2AAE" w:rsidRPr="00AA2AAE">
        <w:rPr>
          <w:sz w:val="24"/>
          <w:szCs w:val="24"/>
          <w:lang w:val="en-US"/>
        </w:rPr>
        <w:t xml:space="preserve"> The drivers and impacts of Amazon</w:t>
      </w:r>
      <w:r w:rsidR="00AA2AAE">
        <w:rPr>
          <w:sz w:val="24"/>
          <w:szCs w:val="24"/>
          <w:lang w:val="en-US"/>
        </w:rPr>
        <w:t xml:space="preserve"> </w:t>
      </w:r>
      <w:r w:rsidR="00AA2AAE" w:rsidRPr="00AA2AAE">
        <w:rPr>
          <w:sz w:val="24"/>
          <w:szCs w:val="24"/>
          <w:lang w:val="en-US"/>
        </w:rPr>
        <w:t>forest degradation</w:t>
      </w:r>
      <w:r w:rsidR="00AA2AAE">
        <w:rPr>
          <w:sz w:val="24"/>
          <w:szCs w:val="24"/>
          <w:lang w:val="en-US"/>
        </w:rPr>
        <w:t>.</w:t>
      </w:r>
      <w:r w:rsidRPr="00AA2AAE">
        <w:rPr>
          <w:sz w:val="24"/>
          <w:szCs w:val="24"/>
          <w:lang w:val="en-US"/>
        </w:rPr>
        <w:t xml:space="preserve"> </w:t>
      </w:r>
      <w:r w:rsidRPr="00B132C7">
        <w:rPr>
          <w:b/>
          <w:bCs/>
          <w:sz w:val="24"/>
          <w:szCs w:val="24"/>
          <w:lang w:val="pt-BR"/>
        </w:rPr>
        <w:t>Science</w:t>
      </w:r>
      <w:r w:rsidR="00AA2AAE" w:rsidRPr="00B132C7">
        <w:rPr>
          <w:sz w:val="24"/>
          <w:szCs w:val="24"/>
          <w:lang w:val="pt-BR"/>
        </w:rPr>
        <w:t>,</w:t>
      </w:r>
      <w:r w:rsidRPr="00B132C7">
        <w:rPr>
          <w:sz w:val="24"/>
          <w:szCs w:val="24"/>
          <w:lang w:val="pt-BR"/>
        </w:rPr>
        <w:t xml:space="preserve"> </w:t>
      </w:r>
      <w:r w:rsidR="00AA2AAE" w:rsidRPr="00B132C7">
        <w:rPr>
          <w:sz w:val="24"/>
          <w:szCs w:val="24"/>
          <w:lang w:val="pt-BR"/>
        </w:rPr>
        <w:t xml:space="preserve">v. </w:t>
      </w:r>
      <w:r w:rsidRPr="00B132C7">
        <w:rPr>
          <w:sz w:val="24"/>
          <w:szCs w:val="24"/>
          <w:lang w:val="pt-BR"/>
        </w:rPr>
        <w:t xml:space="preserve">379, </w:t>
      </w:r>
      <w:r w:rsidR="00AA2AAE" w:rsidRPr="00B132C7">
        <w:rPr>
          <w:sz w:val="24"/>
          <w:szCs w:val="24"/>
          <w:lang w:val="pt-BR"/>
        </w:rPr>
        <w:t xml:space="preserve">n. </w:t>
      </w:r>
      <w:r w:rsidRPr="00B132C7">
        <w:rPr>
          <w:sz w:val="24"/>
          <w:szCs w:val="24"/>
          <w:lang w:val="pt-BR"/>
        </w:rPr>
        <w:t>349</w:t>
      </w:r>
      <w:r w:rsidR="00AA2AAE" w:rsidRPr="00B132C7">
        <w:rPr>
          <w:sz w:val="24"/>
          <w:szCs w:val="24"/>
          <w:lang w:val="pt-BR"/>
        </w:rPr>
        <w:t xml:space="preserve">, </w:t>
      </w:r>
      <w:r w:rsidRPr="00B132C7">
        <w:rPr>
          <w:sz w:val="24"/>
          <w:szCs w:val="24"/>
          <w:lang w:val="pt-BR"/>
        </w:rPr>
        <w:t>2023</w:t>
      </w:r>
      <w:r w:rsidR="00AA2AAE" w:rsidRPr="00B132C7">
        <w:rPr>
          <w:sz w:val="24"/>
          <w:szCs w:val="24"/>
          <w:lang w:val="pt-BR"/>
        </w:rPr>
        <w:t>.</w:t>
      </w:r>
    </w:p>
    <w:p w14:paraId="51416851" w14:textId="77777777" w:rsidR="00963887" w:rsidRPr="00B132C7" w:rsidRDefault="00963887" w:rsidP="00F004DA">
      <w:pPr>
        <w:rPr>
          <w:sz w:val="24"/>
          <w:szCs w:val="24"/>
          <w:lang w:val="pt-BR"/>
        </w:rPr>
      </w:pPr>
    </w:p>
    <w:p w14:paraId="782CAD8E" w14:textId="2B206FA5" w:rsidR="001E74E5" w:rsidRPr="001E74E5" w:rsidRDefault="001E74E5" w:rsidP="00F004DA">
      <w:r>
        <w:rPr>
          <w:sz w:val="24"/>
          <w:szCs w:val="24"/>
        </w:rPr>
        <w:t xml:space="preserve">MAPBIOMAS. </w:t>
      </w:r>
      <w:r w:rsidRPr="00A36CD2">
        <w:rPr>
          <w:b/>
          <w:bCs/>
          <w:sz w:val="24"/>
          <w:szCs w:val="24"/>
        </w:rPr>
        <w:t>RAF 2024</w:t>
      </w:r>
      <w:r w:rsidRPr="009A6F9D">
        <w:rPr>
          <w:sz w:val="24"/>
          <w:szCs w:val="24"/>
        </w:rPr>
        <w:t>: Relatório Anual do Fogo - Resultados da Coleção 4 (1985 a 2024)</w:t>
      </w:r>
      <w:r>
        <w:rPr>
          <w:sz w:val="24"/>
          <w:szCs w:val="24"/>
        </w:rPr>
        <w:t>.</w:t>
      </w:r>
      <w:r w:rsidRPr="009A6F9D">
        <w:rPr>
          <w:sz w:val="24"/>
          <w:szCs w:val="24"/>
        </w:rPr>
        <w:t xml:space="preserve"> São Paulo, MapBiomas, 2025</w:t>
      </w:r>
      <w:r>
        <w:rPr>
          <w:sz w:val="24"/>
          <w:szCs w:val="24"/>
        </w:rPr>
        <w:t>. 72 p.</w:t>
      </w:r>
    </w:p>
    <w:p w14:paraId="7418B808" w14:textId="77777777" w:rsidR="001E74E5" w:rsidRPr="00B132C7" w:rsidRDefault="001E74E5" w:rsidP="00F004DA">
      <w:pPr>
        <w:rPr>
          <w:sz w:val="24"/>
          <w:szCs w:val="24"/>
          <w:lang w:val="pt-BR"/>
        </w:rPr>
      </w:pPr>
    </w:p>
    <w:p w14:paraId="014579B7" w14:textId="063F9B9C" w:rsidR="00745E77" w:rsidRPr="008B0849" w:rsidRDefault="00745E77" w:rsidP="00F004DA">
      <w:pPr>
        <w:rPr>
          <w:sz w:val="24"/>
          <w:szCs w:val="24"/>
          <w:lang w:val="en-US"/>
        </w:rPr>
      </w:pPr>
      <w:r w:rsidRPr="00B132C7">
        <w:rPr>
          <w:sz w:val="24"/>
          <w:szCs w:val="24"/>
          <w:lang w:val="pt-BR"/>
        </w:rPr>
        <w:t xml:space="preserve">PIRAJÁ, R. V. </w:t>
      </w:r>
      <w:r w:rsidRPr="00B132C7">
        <w:rPr>
          <w:i/>
          <w:iCs/>
          <w:sz w:val="24"/>
          <w:szCs w:val="24"/>
          <w:lang w:val="pt-BR"/>
        </w:rPr>
        <w:t>et al</w:t>
      </w:r>
      <w:r w:rsidRPr="00B132C7">
        <w:rPr>
          <w:sz w:val="24"/>
          <w:szCs w:val="24"/>
          <w:lang w:val="pt-BR"/>
        </w:rPr>
        <w:t xml:space="preserve">. </w:t>
      </w:r>
      <w:r w:rsidRPr="001459BC">
        <w:rPr>
          <w:sz w:val="24"/>
          <w:szCs w:val="24"/>
        </w:rPr>
        <w:t xml:space="preserve">O uso dos índices espectrais NBR e </w:t>
      </w:r>
      <w:r w:rsidRPr="001459BC">
        <w:rPr>
          <w:sz w:val="24"/>
          <w:szCs w:val="24"/>
          <w:lang w:val="fr-FR"/>
        </w:rPr>
        <w:t>Δ</w:t>
      </w:r>
      <w:r w:rsidRPr="001459BC">
        <w:rPr>
          <w:sz w:val="24"/>
          <w:szCs w:val="24"/>
        </w:rPr>
        <w:t>NBR empregando dados Sentinel 2 para identificar e delimitar áreas queimadas, utilizando como modelo uma área do Pantanal de Nhecolândia, Mato Grosso do Sul</w:t>
      </w:r>
      <w:r>
        <w:rPr>
          <w:sz w:val="24"/>
          <w:szCs w:val="24"/>
        </w:rPr>
        <w:t xml:space="preserve">. </w:t>
      </w:r>
      <w:r w:rsidRPr="008B0849">
        <w:rPr>
          <w:b/>
          <w:bCs/>
          <w:sz w:val="24"/>
          <w:szCs w:val="24"/>
          <w:lang w:val="en-US"/>
        </w:rPr>
        <w:t>RA’EGA</w:t>
      </w:r>
      <w:r w:rsidRPr="008B0849">
        <w:rPr>
          <w:sz w:val="24"/>
          <w:szCs w:val="24"/>
          <w:lang w:val="en-US"/>
        </w:rPr>
        <w:t>, Curitiba, v.56, p. 24–42, 2023.</w:t>
      </w:r>
    </w:p>
    <w:p w14:paraId="286D8209" w14:textId="77777777" w:rsidR="00C52A4D" w:rsidRPr="008B0849" w:rsidRDefault="00C52A4D" w:rsidP="00F004DA">
      <w:pPr>
        <w:rPr>
          <w:sz w:val="24"/>
          <w:szCs w:val="24"/>
          <w:lang w:val="en-US"/>
        </w:rPr>
      </w:pPr>
    </w:p>
    <w:p w14:paraId="6E95B34F" w14:textId="6F9A292B" w:rsidR="00335053" w:rsidRPr="008B0849" w:rsidRDefault="00335053" w:rsidP="00F004DA">
      <w:pPr>
        <w:rPr>
          <w:sz w:val="24"/>
          <w:szCs w:val="24"/>
          <w:lang w:val="en-US"/>
        </w:rPr>
      </w:pPr>
      <w:r w:rsidRPr="008B0849">
        <w:rPr>
          <w:sz w:val="24"/>
          <w:szCs w:val="24"/>
          <w:lang w:val="en-US"/>
        </w:rPr>
        <w:t xml:space="preserve">RORATO, A. C. </w:t>
      </w:r>
      <w:r w:rsidRPr="008B0849">
        <w:rPr>
          <w:i/>
          <w:iCs/>
          <w:sz w:val="24"/>
          <w:szCs w:val="24"/>
          <w:lang w:val="en-US"/>
        </w:rPr>
        <w:t>et al</w:t>
      </w:r>
      <w:r w:rsidRPr="008B0849">
        <w:rPr>
          <w:sz w:val="24"/>
          <w:szCs w:val="24"/>
          <w:lang w:val="en-US"/>
        </w:rPr>
        <w:t xml:space="preserve">. </w:t>
      </w:r>
      <w:r w:rsidR="001E6AC9" w:rsidRPr="008B0849">
        <w:rPr>
          <w:sz w:val="24"/>
          <w:szCs w:val="24"/>
          <w:lang w:val="en-US"/>
        </w:rPr>
        <w:t xml:space="preserve">Environmental Threats over Amazonian Indigenous Lands. </w:t>
      </w:r>
      <w:r w:rsidR="004B515E" w:rsidRPr="008B0849">
        <w:rPr>
          <w:b/>
          <w:bCs/>
          <w:sz w:val="24"/>
          <w:szCs w:val="24"/>
          <w:lang w:val="en-US"/>
        </w:rPr>
        <w:t>Land</w:t>
      </w:r>
      <w:r w:rsidR="004B515E" w:rsidRPr="008B0849">
        <w:rPr>
          <w:sz w:val="24"/>
          <w:szCs w:val="24"/>
          <w:lang w:val="en-US"/>
        </w:rPr>
        <w:t>, v. 10, n. 267</w:t>
      </w:r>
      <w:r w:rsidR="003D5882" w:rsidRPr="008B0849">
        <w:rPr>
          <w:sz w:val="24"/>
          <w:szCs w:val="24"/>
          <w:lang w:val="en-US"/>
        </w:rPr>
        <w:t>,</w:t>
      </w:r>
      <w:r w:rsidR="004B515E" w:rsidRPr="008B0849">
        <w:rPr>
          <w:sz w:val="24"/>
          <w:szCs w:val="24"/>
          <w:lang w:val="en-US"/>
        </w:rPr>
        <w:t xml:space="preserve"> 2021.</w:t>
      </w:r>
    </w:p>
    <w:p w14:paraId="03DE4FD1" w14:textId="77777777" w:rsidR="00335053" w:rsidRPr="008B0849" w:rsidRDefault="00335053" w:rsidP="00F004DA">
      <w:pPr>
        <w:rPr>
          <w:sz w:val="24"/>
          <w:szCs w:val="24"/>
          <w:lang w:val="en-US"/>
        </w:rPr>
      </w:pPr>
    </w:p>
    <w:p w14:paraId="0B33A8CB" w14:textId="099EF13A" w:rsidR="004C2FCE" w:rsidRPr="00B132C7" w:rsidRDefault="004C2FCE" w:rsidP="00F004DA">
      <w:pPr>
        <w:rPr>
          <w:sz w:val="24"/>
          <w:szCs w:val="24"/>
          <w:lang w:val="pt-BR"/>
        </w:rPr>
      </w:pPr>
      <w:r w:rsidRPr="008B0849">
        <w:rPr>
          <w:sz w:val="24"/>
          <w:szCs w:val="24"/>
          <w:lang w:val="fr-FR"/>
        </w:rPr>
        <w:t xml:space="preserve">SANTOS, A. M. </w:t>
      </w:r>
      <w:r w:rsidRPr="008B0849">
        <w:rPr>
          <w:i/>
          <w:iCs/>
          <w:sz w:val="24"/>
          <w:szCs w:val="24"/>
          <w:lang w:val="fr-FR"/>
        </w:rPr>
        <w:t>et al</w:t>
      </w:r>
      <w:r w:rsidRPr="008B0849">
        <w:rPr>
          <w:sz w:val="24"/>
          <w:szCs w:val="24"/>
          <w:lang w:val="fr-FR"/>
        </w:rPr>
        <w:t xml:space="preserve">. </w:t>
      </w:r>
      <w:r w:rsidR="00154AD6" w:rsidRPr="00154AD6">
        <w:rPr>
          <w:sz w:val="24"/>
          <w:szCs w:val="24"/>
          <w:lang w:val="en-US"/>
        </w:rPr>
        <w:t>Dynamics of active fire data and their relationship with fires in the areas of</w:t>
      </w:r>
      <w:r w:rsidR="00154AD6">
        <w:rPr>
          <w:sz w:val="24"/>
          <w:szCs w:val="24"/>
          <w:lang w:val="en-US"/>
        </w:rPr>
        <w:t xml:space="preserve"> </w:t>
      </w:r>
      <w:r w:rsidR="00154AD6" w:rsidRPr="00154AD6">
        <w:rPr>
          <w:sz w:val="24"/>
          <w:szCs w:val="24"/>
          <w:lang w:val="en-US"/>
        </w:rPr>
        <w:t>regularized indigenous lands in the Southern Amazon</w:t>
      </w:r>
      <w:r w:rsidR="00154AD6">
        <w:rPr>
          <w:sz w:val="24"/>
          <w:szCs w:val="24"/>
          <w:lang w:val="en-US"/>
        </w:rPr>
        <w:t xml:space="preserve">. </w:t>
      </w:r>
      <w:r w:rsidR="00154AD6" w:rsidRPr="00B132C7">
        <w:rPr>
          <w:b/>
          <w:bCs/>
          <w:sz w:val="24"/>
          <w:szCs w:val="24"/>
          <w:lang w:val="pt-BR"/>
        </w:rPr>
        <w:t>Remote Sensing Applications</w:t>
      </w:r>
      <w:r w:rsidR="00154AD6" w:rsidRPr="00B132C7">
        <w:rPr>
          <w:sz w:val="24"/>
          <w:szCs w:val="24"/>
          <w:lang w:val="pt-BR"/>
        </w:rPr>
        <w:t>: Society and Environment, v. 23, 2021.</w:t>
      </w:r>
    </w:p>
    <w:p w14:paraId="69649B2D" w14:textId="77777777" w:rsidR="004C2FCE" w:rsidRPr="00B132C7" w:rsidRDefault="004C2FCE" w:rsidP="00F004DA">
      <w:pPr>
        <w:rPr>
          <w:sz w:val="24"/>
          <w:szCs w:val="24"/>
          <w:lang w:val="pt-BR"/>
        </w:rPr>
      </w:pPr>
    </w:p>
    <w:p w14:paraId="64185B70" w14:textId="6022E651" w:rsidR="00535217" w:rsidRPr="001C668A" w:rsidRDefault="00535217" w:rsidP="00F004DA">
      <w:pPr>
        <w:rPr>
          <w:sz w:val="24"/>
          <w:szCs w:val="24"/>
          <w:lang w:val="pt-BR"/>
        </w:rPr>
      </w:pPr>
      <w:r w:rsidRPr="00857BF9">
        <w:rPr>
          <w:sz w:val="24"/>
          <w:szCs w:val="24"/>
          <w:lang w:val="pt-BR"/>
        </w:rPr>
        <w:t xml:space="preserve">SILVA JÚNIOR, </w:t>
      </w:r>
      <w:r w:rsidR="00857BF9" w:rsidRPr="00857BF9">
        <w:rPr>
          <w:sz w:val="24"/>
          <w:szCs w:val="24"/>
          <w:lang w:val="pt-BR"/>
        </w:rPr>
        <w:t>J. A.; M</w:t>
      </w:r>
      <w:r w:rsidR="00857BF9">
        <w:rPr>
          <w:sz w:val="24"/>
          <w:szCs w:val="24"/>
          <w:lang w:val="pt-BR"/>
        </w:rPr>
        <w:t xml:space="preserve">ORAES, V. S. </w:t>
      </w:r>
      <w:r w:rsidR="00857BF9" w:rsidRPr="00857BF9">
        <w:rPr>
          <w:sz w:val="24"/>
          <w:szCs w:val="24"/>
          <w:lang w:val="pt-BR"/>
        </w:rPr>
        <w:t>Análise de Acurácia para o Mapeamento de</w:t>
      </w:r>
      <w:r w:rsidR="00857BF9">
        <w:rPr>
          <w:sz w:val="24"/>
          <w:szCs w:val="24"/>
          <w:lang w:val="pt-BR"/>
        </w:rPr>
        <w:t xml:space="preserve"> </w:t>
      </w:r>
      <w:r w:rsidR="00857BF9" w:rsidRPr="00857BF9">
        <w:rPr>
          <w:sz w:val="24"/>
          <w:szCs w:val="24"/>
          <w:lang w:val="pt-BR"/>
        </w:rPr>
        <w:t>Incêndios Florestais em Terras Indígenas Brasileiras Utilizando Classificação por Árvore de</w:t>
      </w:r>
      <w:r w:rsidR="00857BF9">
        <w:rPr>
          <w:sz w:val="24"/>
          <w:szCs w:val="24"/>
          <w:lang w:val="pt-BR"/>
        </w:rPr>
        <w:t xml:space="preserve"> </w:t>
      </w:r>
      <w:r w:rsidR="00857BF9" w:rsidRPr="00857BF9">
        <w:rPr>
          <w:sz w:val="24"/>
          <w:szCs w:val="24"/>
          <w:lang w:val="pt-BR"/>
        </w:rPr>
        <w:t>Decisão Baseado em Imagens OLI 0,85 - 11,0μm</w:t>
      </w:r>
      <w:r w:rsidR="00857BF9">
        <w:rPr>
          <w:sz w:val="24"/>
          <w:szCs w:val="24"/>
          <w:lang w:val="pt-BR"/>
        </w:rPr>
        <w:t>.</w:t>
      </w:r>
      <w:r w:rsidR="00DA00D3">
        <w:rPr>
          <w:sz w:val="24"/>
          <w:szCs w:val="24"/>
          <w:lang w:val="pt-BR"/>
        </w:rPr>
        <w:t xml:space="preserve"> </w:t>
      </w:r>
      <w:r w:rsidR="00DA00D3" w:rsidRPr="001C668A">
        <w:rPr>
          <w:b/>
          <w:bCs/>
          <w:sz w:val="24"/>
          <w:szCs w:val="24"/>
          <w:lang w:val="pt-BR"/>
        </w:rPr>
        <w:t>Revista Brasileira de Sensoriamento Remoto</w:t>
      </w:r>
      <w:r w:rsidR="00DA00D3" w:rsidRPr="001C668A">
        <w:rPr>
          <w:sz w:val="24"/>
          <w:szCs w:val="24"/>
          <w:lang w:val="pt-BR"/>
        </w:rPr>
        <w:t>, v.1, n.3. p. 12-28, 2020.</w:t>
      </w:r>
    </w:p>
    <w:p w14:paraId="53F16630" w14:textId="77777777" w:rsidR="00535217" w:rsidRPr="001C668A" w:rsidRDefault="00535217" w:rsidP="00F004DA">
      <w:pPr>
        <w:rPr>
          <w:sz w:val="24"/>
          <w:szCs w:val="24"/>
          <w:lang w:val="pt-BR"/>
        </w:rPr>
      </w:pPr>
    </w:p>
    <w:p w14:paraId="696AF960" w14:textId="724ACEEA" w:rsidR="00A053C7" w:rsidRPr="00205ACA" w:rsidRDefault="00A053C7" w:rsidP="00205ACA">
      <w:pPr>
        <w:rPr>
          <w:sz w:val="24"/>
          <w:szCs w:val="24"/>
          <w:lang w:val="en-US"/>
        </w:rPr>
      </w:pPr>
      <w:r w:rsidRPr="00A053C7">
        <w:rPr>
          <w:sz w:val="24"/>
          <w:szCs w:val="24"/>
          <w:lang w:val="pt-BR"/>
        </w:rPr>
        <w:t xml:space="preserve">SOBRINHO, J. A. </w:t>
      </w:r>
      <w:r w:rsidRPr="00A053C7">
        <w:rPr>
          <w:i/>
          <w:iCs/>
          <w:sz w:val="24"/>
          <w:szCs w:val="24"/>
          <w:lang w:val="pt-BR"/>
        </w:rPr>
        <w:t>et al</w:t>
      </w:r>
      <w:r w:rsidRPr="00A053C7">
        <w:rPr>
          <w:sz w:val="24"/>
          <w:szCs w:val="24"/>
          <w:lang w:val="pt-BR"/>
        </w:rPr>
        <w:t xml:space="preserve">. </w:t>
      </w:r>
      <w:r w:rsidR="00205ACA" w:rsidRPr="00205ACA">
        <w:rPr>
          <w:sz w:val="24"/>
          <w:szCs w:val="24"/>
          <w:lang w:val="en-US"/>
        </w:rPr>
        <w:t>Relationship between Soil Burn Severity in Forest</w:t>
      </w:r>
      <w:r w:rsidR="00205ACA">
        <w:rPr>
          <w:sz w:val="24"/>
          <w:szCs w:val="24"/>
          <w:lang w:val="en-US"/>
        </w:rPr>
        <w:t xml:space="preserve"> </w:t>
      </w:r>
      <w:r w:rsidR="00205ACA" w:rsidRPr="00205ACA">
        <w:rPr>
          <w:sz w:val="24"/>
          <w:szCs w:val="24"/>
          <w:lang w:val="en-US"/>
        </w:rPr>
        <w:t>Fires Measured In Situ and through Spectral</w:t>
      </w:r>
      <w:r w:rsidR="00205ACA">
        <w:rPr>
          <w:sz w:val="24"/>
          <w:szCs w:val="24"/>
          <w:lang w:val="en-US"/>
        </w:rPr>
        <w:t xml:space="preserve"> </w:t>
      </w:r>
      <w:r w:rsidR="00205ACA" w:rsidRPr="00205ACA">
        <w:rPr>
          <w:sz w:val="24"/>
          <w:szCs w:val="24"/>
          <w:lang w:val="en-US"/>
        </w:rPr>
        <w:t>Indices of Remote Detection</w:t>
      </w:r>
      <w:r w:rsidR="00205ACA">
        <w:rPr>
          <w:sz w:val="24"/>
          <w:szCs w:val="24"/>
          <w:lang w:val="en-US"/>
        </w:rPr>
        <w:t xml:space="preserve">. </w:t>
      </w:r>
      <w:r w:rsidR="00E01148" w:rsidRPr="00E01148">
        <w:rPr>
          <w:b/>
          <w:bCs/>
          <w:sz w:val="24"/>
          <w:szCs w:val="24"/>
          <w:lang w:val="en-US"/>
        </w:rPr>
        <w:t>Forests</w:t>
      </w:r>
      <w:r w:rsidR="00E01148">
        <w:rPr>
          <w:sz w:val="24"/>
          <w:szCs w:val="24"/>
          <w:lang w:val="en-US"/>
        </w:rPr>
        <w:t>, v. 10, n. 5,</w:t>
      </w:r>
      <w:r w:rsidR="00E01148" w:rsidRPr="00E01148">
        <w:rPr>
          <w:sz w:val="24"/>
          <w:szCs w:val="24"/>
          <w:lang w:val="en-US"/>
        </w:rPr>
        <w:t xml:space="preserve"> 2019</w:t>
      </w:r>
      <w:r w:rsidR="00E01148">
        <w:rPr>
          <w:sz w:val="24"/>
          <w:szCs w:val="24"/>
          <w:lang w:val="en-US"/>
        </w:rPr>
        <w:t>.</w:t>
      </w:r>
    </w:p>
    <w:p w14:paraId="0A7329D9" w14:textId="77777777" w:rsidR="00A053C7" w:rsidRPr="00205ACA" w:rsidRDefault="00A053C7" w:rsidP="00F004DA">
      <w:pPr>
        <w:rPr>
          <w:sz w:val="24"/>
          <w:szCs w:val="24"/>
          <w:lang w:val="en-US"/>
        </w:rPr>
      </w:pPr>
    </w:p>
    <w:p w14:paraId="1A571B2E" w14:textId="000CBDE9" w:rsidR="00C52A4D" w:rsidRDefault="00C52A4D" w:rsidP="00F004DA">
      <w:pPr>
        <w:rPr>
          <w:sz w:val="24"/>
          <w:szCs w:val="24"/>
          <w:lang w:val="en-US"/>
        </w:rPr>
      </w:pPr>
      <w:r w:rsidRPr="00B132C7">
        <w:rPr>
          <w:sz w:val="24"/>
          <w:szCs w:val="24"/>
          <w:lang w:val="en-US"/>
        </w:rPr>
        <w:t xml:space="preserve">SOUZA </w:t>
      </w:r>
      <w:r w:rsidRPr="00B132C7">
        <w:rPr>
          <w:i/>
          <w:iCs/>
          <w:sz w:val="24"/>
          <w:szCs w:val="24"/>
          <w:lang w:val="en-US"/>
        </w:rPr>
        <w:t>et al</w:t>
      </w:r>
      <w:r w:rsidRPr="00B132C7">
        <w:rPr>
          <w:sz w:val="24"/>
          <w:szCs w:val="24"/>
          <w:lang w:val="en-US"/>
        </w:rPr>
        <w:t xml:space="preserve">. </w:t>
      </w:r>
      <w:r w:rsidRPr="00C52A4D">
        <w:rPr>
          <w:sz w:val="24"/>
          <w:szCs w:val="24"/>
          <w:lang w:val="en-US"/>
        </w:rPr>
        <w:t>Reconstructing Three Decades of Land Use and Land Cover Changes in Brazilian Biomes with Landsat Archive and Earth Engine</w:t>
      </w:r>
      <w:r>
        <w:rPr>
          <w:sz w:val="24"/>
          <w:szCs w:val="24"/>
          <w:lang w:val="en-US"/>
        </w:rPr>
        <w:t>.</w:t>
      </w:r>
      <w:r w:rsidRPr="00C52A4D">
        <w:rPr>
          <w:sz w:val="24"/>
          <w:szCs w:val="24"/>
          <w:lang w:val="en-US"/>
        </w:rPr>
        <w:t xml:space="preserve"> </w:t>
      </w:r>
      <w:r w:rsidRPr="00C52A4D">
        <w:rPr>
          <w:b/>
          <w:bCs/>
          <w:sz w:val="24"/>
          <w:szCs w:val="24"/>
          <w:lang w:val="en-US"/>
        </w:rPr>
        <w:t>Remote Sensing,</w:t>
      </w:r>
      <w:r w:rsidRPr="00C52A4D">
        <w:rPr>
          <w:sz w:val="24"/>
          <w:szCs w:val="24"/>
          <w:lang w:val="en-US"/>
        </w:rPr>
        <w:t xml:space="preserve"> </w:t>
      </w:r>
      <w:r>
        <w:rPr>
          <w:sz w:val="24"/>
          <w:szCs w:val="24"/>
          <w:lang w:val="en-US"/>
        </w:rPr>
        <w:t>v.</w:t>
      </w:r>
      <w:r w:rsidRPr="00C52A4D">
        <w:rPr>
          <w:sz w:val="24"/>
          <w:szCs w:val="24"/>
          <w:lang w:val="en-US"/>
        </w:rPr>
        <w:t xml:space="preserve"> 12, </w:t>
      </w:r>
      <w:r>
        <w:rPr>
          <w:sz w:val="24"/>
          <w:szCs w:val="24"/>
          <w:lang w:val="en-US"/>
        </w:rPr>
        <w:t>n.</w:t>
      </w:r>
      <w:r w:rsidRPr="00C52A4D">
        <w:rPr>
          <w:sz w:val="24"/>
          <w:szCs w:val="24"/>
          <w:lang w:val="en-US"/>
        </w:rPr>
        <w:t xml:space="preserve"> 17</w:t>
      </w:r>
      <w:r>
        <w:rPr>
          <w:sz w:val="24"/>
          <w:szCs w:val="24"/>
          <w:lang w:val="en-US"/>
        </w:rPr>
        <w:t>, 2020.</w:t>
      </w:r>
    </w:p>
    <w:p w14:paraId="6F5CCC19" w14:textId="77777777" w:rsidR="00D92C68" w:rsidRDefault="00D92C68" w:rsidP="00F004DA">
      <w:pPr>
        <w:rPr>
          <w:sz w:val="24"/>
          <w:szCs w:val="24"/>
          <w:lang w:val="en-US"/>
        </w:rPr>
      </w:pPr>
    </w:p>
    <w:p w14:paraId="4797CC52" w14:textId="77777777" w:rsidR="0074400F" w:rsidRPr="0074400F" w:rsidRDefault="00D92C68" w:rsidP="00F004DA">
      <w:pPr>
        <w:rPr>
          <w:sz w:val="24"/>
          <w:szCs w:val="24"/>
          <w:lang w:val="en-US"/>
        </w:rPr>
      </w:pPr>
      <w:r>
        <w:rPr>
          <w:sz w:val="24"/>
          <w:szCs w:val="24"/>
          <w:lang w:val="en-US"/>
        </w:rPr>
        <w:t xml:space="preserve">WALKER, K. </w:t>
      </w:r>
      <w:r w:rsidRPr="00D92C68">
        <w:rPr>
          <w:i/>
          <w:iCs/>
          <w:sz w:val="24"/>
          <w:szCs w:val="24"/>
          <w:lang w:val="en-US"/>
        </w:rPr>
        <w:t>et al</w:t>
      </w:r>
      <w:r>
        <w:rPr>
          <w:sz w:val="24"/>
          <w:szCs w:val="24"/>
          <w:lang w:val="en-US"/>
        </w:rPr>
        <w:t xml:space="preserve">. </w:t>
      </w:r>
      <w:r w:rsidR="0074400F" w:rsidRPr="0074400F">
        <w:rPr>
          <w:sz w:val="24"/>
          <w:szCs w:val="24"/>
          <w:lang w:val="en-US"/>
        </w:rPr>
        <w:t>An analysis of fire dynamics in and around indigenous territories</w:t>
      </w:r>
    </w:p>
    <w:p w14:paraId="3148523D" w14:textId="6682413F" w:rsidR="00496DA4" w:rsidRPr="00450EB4" w:rsidRDefault="0074400F" w:rsidP="00F004DA">
      <w:pPr>
        <w:rPr>
          <w:sz w:val="24"/>
          <w:szCs w:val="24"/>
          <w:lang w:val="en-US"/>
        </w:rPr>
      </w:pPr>
      <w:r w:rsidRPr="0074400F">
        <w:rPr>
          <w:sz w:val="24"/>
          <w:szCs w:val="24"/>
          <w:lang w:val="en-US"/>
        </w:rPr>
        <w:t>and protected areas in a Brazilian agricultural frontier</w:t>
      </w:r>
      <w:r>
        <w:rPr>
          <w:sz w:val="24"/>
          <w:szCs w:val="24"/>
          <w:lang w:val="en-US"/>
        </w:rPr>
        <w:t xml:space="preserve">. </w:t>
      </w:r>
      <w:r w:rsidR="00EE74BD" w:rsidRPr="00450EB4">
        <w:rPr>
          <w:b/>
          <w:bCs/>
          <w:sz w:val="24"/>
          <w:szCs w:val="24"/>
          <w:lang w:val="en-US"/>
        </w:rPr>
        <w:t>Environ</w:t>
      </w:r>
      <w:r w:rsidR="00450EB4" w:rsidRPr="00450EB4">
        <w:rPr>
          <w:b/>
          <w:bCs/>
          <w:sz w:val="24"/>
          <w:szCs w:val="24"/>
          <w:lang w:val="en-US"/>
        </w:rPr>
        <w:t>mental</w:t>
      </w:r>
      <w:r w:rsidR="00EE74BD" w:rsidRPr="00450EB4">
        <w:rPr>
          <w:b/>
          <w:bCs/>
          <w:sz w:val="24"/>
          <w:szCs w:val="24"/>
          <w:lang w:val="en-US"/>
        </w:rPr>
        <w:t xml:space="preserve"> Res</w:t>
      </w:r>
      <w:r w:rsidR="00450EB4" w:rsidRPr="00450EB4">
        <w:rPr>
          <w:b/>
          <w:bCs/>
          <w:sz w:val="24"/>
          <w:szCs w:val="24"/>
          <w:lang w:val="en-US"/>
        </w:rPr>
        <w:t>earch</w:t>
      </w:r>
      <w:r w:rsidR="00EE74BD" w:rsidRPr="00450EB4">
        <w:rPr>
          <w:b/>
          <w:bCs/>
          <w:sz w:val="24"/>
          <w:szCs w:val="24"/>
          <w:lang w:val="en-US"/>
        </w:rPr>
        <w:t xml:space="preserve"> Lett</w:t>
      </w:r>
      <w:r w:rsidR="00450EB4" w:rsidRPr="00450EB4">
        <w:rPr>
          <w:b/>
          <w:bCs/>
          <w:sz w:val="24"/>
          <w:szCs w:val="24"/>
          <w:lang w:val="en-US"/>
        </w:rPr>
        <w:t>ers</w:t>
      </w:r>
      <w:r w:rsidR="00EE74BD" w:rsidRPr="00450EB4">
        <w:rPr>
          <w:sz w:val="24"/>
          <w:szCs w:val="24"/>
          <w:lang w:val="en-US"/>
        </w:rPr>
        <w:t>, v.17, n. 8, 2022.</w:t>
      </w:r>
    </w:p>
    <w:sectPr w:rsidR="00496DA4" w:rsidRPr="00450EB4">
      <w:headerReference w:type="default" r:id="rId11"/>
      <w:footerReference w:type="default" r:id="rId12"/>
      <w:pgSz w:w="11910" w:h="16840"/>
      <w:pgMar w:top="1701" w:right="1134" w:bottom="1134" w:left="1701"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6D74157" w14:textId="77777777" w:rsidR="003B01B9" w:rsidRDefault="003B01B9">
      <w:r>
        <w:separator/>
      </w:r>
    </w:p>
  </w:endnote>
  <w:endnote w:type="continuationSeparator" w:id="0">
    <w:p w14:paraId="5378AF9F" w14:textId="77777777" w:rsidR="003B01B9" w:rsidRDefault="003B01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embedItalic r:id="rId1" w:fontKey="{29C4413F-6972-4460-BB2A-AF92F12FA7C1}"/>
  </w:font>
  <w:font w:name="Calibri">
    <w:panose1 w:val="020F0502020204030204"/>
    <w:charset w:val="00"/>
    <w:family w:val="swiss"/>
    <w:pitch w:val="variable"/>
    <w:sig w:usb0="E4002EFF" w:usb1="C200247B" w:usb2="00000009" w:usb3="00000000" w:csb0="000001FF" w:csb1="00000000"/>
    <w:embedRegular r:id="rId2" w:fontKey="{5E3D65E2-BA6B-429F-BA62-1C1C72EB1D36}"/>
    <w:embedBold r:id="rId3" w:fontKey="{DC6FD6A4-F1C9-479F-9516-59F55475A272}"/>
  </w:font>
  <w:font w:name="Cambria Math">
    <w:panose1 w:val="02040503050406030204"/>
    <w:charset w:val="00"/>
    <w:family w:val="roman"/>
    <w:pitch w:val="variable"/>
    <w:sig w:usb0="E00006FF" w:usb1="420024FF" w:usb2="02000000" w:usb3="00000000" w:csb0="0000019F" w:csb1="00000000"/>
    <w:embedRegular r:id="rId4" w:fontKey="{E549BD63-15DF-407B-9223-A391AF6AE19C}"/>
    <w:embedItalic r:id="rId5" w:fontKey="{327A3F71-F881-4B40-AE48-A76639C70B9D}"/>
  </w:font>
  <w:font w:name="Cambria">
    <w:panose1 w:val="02040503050406030204"/>
    <w:charset w:val="00"/>
    <w:family w:val="roman"/>
    <w:pitch w:val="variable"/>
    <w:sig w:usb0="E00006FF" w:usb1="420024FF" w:usb2="02000000" w:usb3="00000000" w:csb0="0000019F" w:csb1="00000000"/>
    <w:embedRegular r:id="rId6" w:fontKey="{E624C190-CFEE-485E-9952-7C2F7526A33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193D0A" w14:textId="77777777" w:rsidR="00313C7A" w:rsidRDefault="00B059D0">
    <w:pPr>
      <w:pBdr>
        <w:top w:val="nil"/>
        <w:left w:val="nil"/>
        <w:bottom w:val="nil"/>
        <w:right w:val="nil"/>
        <w:between w:val="nil"/>
      </w:pBdr>
      <w:tabs>
        <w:tab w:val="center" w:pos="4252"/>
        <w:tab w:val="right" w:pos="8504"/>
      </w:tabs>
      <w:rPr>
        <w:color w:val="000000"/>
      </w:rPr>
    </w:pPr>
    <w:r>
      <w:rPr>
        <w:noProof/>
      </w:rPr>
      <w:drawing>
        <wp:anchor distT="0" distB="0" distL="114300" distR="114300" simplePos="0" relativeHeight="251658240" behindDoc="0" locked="0" layoutInCell="1" hidden="0" allowOverlap="1" wp14:anchorId="4A193D0D" wp14:editId="4A193D0E">
          <wp:simplePos x="0" y="0"/>
          <wp:positionH relativeFrom="column">
            <wp:posOffset>1</wp:posOffset>
          </wp:positionH>
          <wp:positionV relativeFrom="paragraph">
            <wp:posOffset>6350</wp:posOffset>
          </wp:positionV>
          <wp:extent cx="600075" cy="191770"/>
          <wp:effectExtent l="0" t="0" r="0" b="0"/>
          <wp:wrapSquare wrapText="bothSides" distT="0" distB="0" distL="114300" distR="114300"/>
          <wp:docPr id="171787303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
                  <a:srcRect/>
                  <a:stretch>
                    <a:fillRect/>
                  </a:stretch>
                </pic:blipFill>
                <pic:spPr>
                  <a:xfrm>
                    <a:off x="0" y="0"/>
                    <a:ext cx="600075" cy="191770"/>
                  </a:xfrm>
                  <a:prstGeom prst="rect">
                    <a:avLst/>
                  </a:prstGeom>
                  <a:ln/>
                </pic:spPr>
              </pic:pic>
            </a:graphicData>
          </a:graphic>
        </wp:anchor>
      </w:drawing>
    </w:r>
    <w:r>
      <w:rPr>
        <w:noProof/>
      </w:rPr>
      <w:drawing>
        <wp:anchor distT="0" distB="0" distL="114300" distR="114300" simplePos="0" relativeHeight="251658241" behindDoc="0" locked="0" layoutInCell="1" hidden="0" allowOverlap="1" wp14:anchorId="4A193D0F" wp14:editId="4A193D10">
          <wp:simplePos x="0" y="0"/>
          <wp:positionH relativeFrom="column">
            <wp:posOffset>850900</wp:posOffset>
          </wp:positionH>
          <wp:positionV relativeFrom="paragraph">
            <wp:posOffset>164465</wp:posOffset>
          </wp:positionV>
          <wp:extent cx="1231265" cy="384175"/>
          <wp:effectExtent l="0" t="0" r="0" b="0"/>
          <wp:wrapSquare wrapText="bothSides" distT="0" distB="0" distL="114300" distR="114300"/>
          <wp:docPr id="35953356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
                  <a:srcRect/>
                  <a:stretch>
                    <a:fillRect/>
                  </a:stretch>
                </pic:blipFill>
                <pic:spPr>
                  <a:xfrm>
                    <a:off x="0" y="0"/>
                    <a:ext cx="1231265" cy="384175"/>
                  </a:xfrm>
                  <a:prstGeom prst="rect">
                    <a:avLst/>
                  </a:prstGeom>
                  <a:ln/>
                </pic:spPr>
              </pic:pic>
            </a:graphicData>
          </a:graphic>
        </wp:anchor>
      </w:drawing>
    </w:r>
    <w:r>
      <w:rPr>
        <w:noProof/>
      </w:rPr>
      <w:drawing>
        <wp:anchor distT="0" distB="0" distL="114300" distR="114300" simplePos="0" relativeHeight="251658242" behindDoc="0" locked="0" layoutInCell="1" hidden="0" allowOverlap="1" wp14:anchorId="4A193D11" wp14:editId="4A193D12">
          <wp:simplePos x="0" y="0"/>
          <wp:positionH relativeFrom="column">
            <wp:posOffset>2644140</wp:posOffset>
          </wp:positionH>
          <wp:positionV relativeFrom="paragraph">
            <wp:posOffset>0</wp:posOffset>
          </wp:positionV>
          <wp:extent cx="419100" cy="241935"/>
          <wp:effectExtent l="0" t="0" r="0" b="0"/>
          <wp:wrapSquare wrapText="bothSides" distT="0" distB="0" distL="114300" distR="114300"/>
          <wp:docPr id="106151156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
                  <a:srcRect/>
                  <a:stretch>
                    <a:fillRect/>
                  </a:stretch>
                </pic:blipFill>
                <pic:spPr>
                  <a:xfrm>
                    <a:off x="0" y="0"/>
                    <a:ext cx="419100" cy="241935"/>
                  </a:xfrm>
                  <a:prstGeom prst="rect">
                    <a:avLst/>
                  </a:prstGeom>
                  <a:ln/>
                </pic:spPr>
              </pic:pic>
            </a:graphicData>
          </a:graphic>
        </wp:anchor>
      </w:drawing>
    </w:r>
    <w:r>
      <w:rPr>
        <w:noProof/>
      </w:rPr>
      <w:drawing>
        <wp:anchor distT="0" distB="0" distL="114300" distR="114300" simplePos="0" relativeHeight="251658243" behindDoc="0" locked="0" layoutInCell="1" hidden="0" allowOverlap="1" wp14:anchorId="4A193D13" wp14:editId="4A193D14">
          <wp:simplePos x="0" y="0"/>
          <wp:positionH relativeFrom="column">
            <wp:posOffset>3139440</wp:posOffset>
          </wp:positionH>
          <wp:positionV relativeFrom="paragraph">
            <wp:posOffset>184785</wp:posOffset>
          </wp:positionV>
          <wp:extent cx="542290" cy="384175"/>
          <wp:effectExtent l="0" t="0" r="0" b="0"/>
          <wp:wrapSquare wrapText="bothSides" distT="0" distB="0" distL="114300" distR="114300"/>
          <wp:docPr id="40213369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
                  <a:srcRect/>
                  <a:stretch>
                    <a:fillRect/>
                  </a:stretch>
                </pic:blipFill>
                <pic:spPr>
                  <a:xfrm>
                    <a:off x="0" y="0"/>
                    <a:ext cx="542290" cy="384175"/>
                  </a:xfrm>
                  <a:prstGeom prst="rect">
                    <a:avLst/>
                  </a:prstGeom>
                  <a:ln/>
                </pic:spPr>
              </pic:pic>
            </a:graphicData>
          </a:graphic>
        </wp:anchor>
      </w:drawing>
    </w:r>
    <w:r>
      <w:rPr>
        <w:noProof/>
      </w:rPr>
      <w:drawing>
        <wp:anchor distT="0" distB="0" distL="114300" distR="114300" simplePos="0" relativeHeight="251658244" behindDoc="0" locked="0" layoutInCell="1" hidden="0" allowOverlap="1" wp14:anchorId="4A193D15" wp14:editId="4A193D16">
          <wp:simplePos x="0" y="0"/>
          <wp:positionH relativeFrom="column">
            <wp:posOffset>3910965</wp:posOffset>
          </wp:positionH>
          <wp:positionV relativeFrom="paragraph">
            <wp:posOffset>188595</wp:posOffset>
          </wp:positionV>
          <wp:extent cx="914400" cy="353695"/>
          <wp:effectExtent l="0" t="0" r="0" b="0"/>
          <wp:wrapSquare wrapText="bothSides" distT="0" distB="0" distL="114300" distR="114300"/>
          <wp:docPr id="25585546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
                  <a:srcRect/>
                  <a:stretch>
                    <a:fillRect/>
                  </a:stretch>
                </pic:blipFill>
                <pic:spPr>
                  <a:xfrm>
                    <a:off x="0" y="0"/>
                    <a:ext cx="914400" cy="353695"/>
                  </a:xfrm>
                  <a:prstGeom prst="rect">
                    <a:avLst/>
                  </a:prstGeom>
                  <a:ln/>
                </pic:spPr>
              </pic:pic>
            </a:graphicData>
          </a:graphic>
        </wp:anchor>
      </w:drawing>
    </w:r>
    <w:r>
      <w:rPr>
        <w:noProof/>
      </w:rPr>
      <w:drawing>
        <wp:anchor distT="0" distB="0" distL="114300" distR="114300" simplePos="0" relativeHeight="251658245" behindDoc="0" locked="0" layoutInCell="1" hidden="0" allowOverlap="1" wp14:anchorId="4A193D17" wp14:editId="4A193D18">
          <wp:simplePos x="0" y="0"/>
          <wp:positionH relativeFrom="column">
            <wp:posOffset>5006340</wp:posOffset>
          </wp:positionH>
          <wp:positionV relativeFrom="paragraph">
            <wp:posOffset>194310</wp:posOffset>
          </wp:positionV>
          <wp:extent cx="756285" cy="335280"/>
          <wp:effectExtent l="0" t="0" r="0" b="0"/>
          <wp:wrapSquare wrapText="bothSides" distT="0" distB="0" distL="114300" distR="114300"/>
          <wp:docPr id="58885940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6"/>
                  <a:srcRect/>
                  <a:stretch>
                    <a:fillRect/>
                  </a:stretch>
                </pic:blipFill>
                <pic:spPr>
                  <a:xfrm>
                    <a:off x="0" y="0"/>
                    <a:ext cx="756285" cy="335280"/>
                  </a:xfrm>
                  <a:prstGeom prst="rect">
                    <a:avLst/>
                  </a:prstGeom>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8D477AE" w14:textId="77777777" w:rsidR="003B01B9" w:rsidRDefault="003B01B9">
      <w:r>
        <w:separator/>
      </w:r>
    </w:p>
  </w:footnote>
  <w:footnote w:type="continuationSeparator" w:id="0">
    <w:p w14:paraId="00026673" w14:textId="77777777" w:rsidR="003B01B9" w:rsidRDefault="003B01B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193D09" w14:textId="77777777" w:rsidR="00313C7A" w:rsidRDefault="00B059D0">
    <w:pPr>
      <w:pBdr>
        <w:top w:val="nil"/>
        <w:left w:val="nil"/>
        <w:bottom w:val="nil"/>
        <w:right w:val="nil"/>
        <w:between w:val="nil"/>
      </w:pBdr>
      <w:tabs>
        <w:tab w:val="center" w:pos="4252"/>
        <w:tab w:val="right" w:pos="8504"/>
      </w:tabs>
      <w:jc w:val="center"/>
      <w:rPr>
        <w:color w:val="000000"/>
      </w:rPr>
    </w:pPr>
    <w:r>
      <w:rPr>
        <w:noProof/>
        <w:color w:val="000000"/>
      </w:rPr>
      <w:drawing>
        <wp:inline distT="0" distB="0" distL="0" distR="0" wp14:anchorId="4A193D0B" wp14:editId="416CA4D6">
          <wp:extent cx="3070860" cy="1531620"/>
          <wp:effectExtent l="0" t="0" r="0" b="0"/>
          <wp:docPr id="954937777" name="image7.png" descr="Logotipo, nome da empresa&#10;&#10;O conteúdo gerado por IA pode estar incorreto."/>
          <wp:cNvGraphicFramePr/>
          <a:graphic xmlns:a="http://schemas.openxmlformats.org/drawingml/2006/main">
            <a:graphicData uri="http://schemas.openxmlformats.org/drawingml/2006/picture">
              <pic:pic xmlns:pic="http://schemas.openxmlformats.org/drawingml/2006/picture">
                <pic:nvPicPr>
                  <pic:cNvPr id="0" name="image7.png" descr="Logotipo, nome da empresa&#10;&#10;O conteúdo gerado por IA pode estar incorreto."/>
                  <pic:cNvPicPr preferRelativeResize="0"/>
                </pic:nvPicPr>
                <pic:blipFill>
                  <a:blip r:embed="rId1"/>
                  <a:srcRect l="2865" t="33993" r="-2171" b="26667"/>
                  <a:stretch>
                    <a:fillRect/>
                  </a:stretch>
                </pic:blipFill>
                <pic:spPr>
                  <a:xfrm>
                    <a:off x="0" y="0"/>
                    <a:ext cx="3070860" cy="1531620"/>
                  </a:xfrm>
                  <a:prstGeom prst="rect">
                    <a:avLst/>
                  </a:prstGeom>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13C7A"/>
    <w:rsid w:val="00010776"/>
    <w:rsid w:val="00013265"/>
    <w:rsid w:val="00014A82"/>
    <w:rsid w:val="0002025D"/>
    <w:rsid w:val="000252DC"/>
    <w:rsid w:val="000367C1"/>
    <w:rsid w:val="00047574"/>
    <w:rsid w:val="00074685"/>
    <w:rsid w:val="00074ACF"/>
    <w:rsid w:val="00080BA4"/>
    <w:rsid w:val="00082076"/>
    <w:rsid w:val="00084E5C"/>
    <w:rsid w:val="000929E3"/>
    <w:rsid w:val="000A073D"/>
    <w:rsid w:val="000B45BB"/>
    <w:rsid w:val="000C377E"/>
    <w:rsid w:val="000D044A"/>
    <w:rsid w:val="000D25E8"/>
    <w:rsid w:val="000E0A94"/>
    <w:rsid w:val="000E2FCD"/>
    <w:rsid w:val="000E5136"/>
    <w:rsid w:val="000F4528"/>
    <w:rsid w:val="000F6362"/>
    <w:rsid w:val="0012110A"/>
    <w:rsid w:val="00130F08"/>
    <w:rsid w:val="00131A7C"/>
    <w:rsid w:val="00136093"/>
    <w:rsid w:val="001370FB"/>
    <w:rsid w:val="001373B7"/>
    <w:rsid w:val="001434E2"/>
    <w:rsid w:val="00151A3F"/>
    <w:rsid w:val="00154AD6"/>
    <w:rsid w:val="00175005"/>
    <w:rsid w:val="00186DCA"/>
    <w:rsid w:val="00196120"/>
    <w:rsid w:val="001A075E"/>
    <w:rsid w:val="001A3E12"/>
    <w:rsid w:val="001A58B3"/>
    <w:rsid w:val="001B53A3"/>
    <w:rsid w:val="001B7629"/>
    <w:rsid w:val="001C668A"/>
    <w:rsid w:val="001D3129"/>
    <w:rsid w:val="001D4EEF"/>
    <w:rsid w:val="001E6AC9"/>
    <w:rsid w:val="001E74E5"/>
    <w:rsid w:val="001F5006"/>
    <w:rsid w:val="00202531"/>
    <w:rsid w:val="00203BEA"/>
    <w:rsid w:val="00205ACA"/>
    <w:rsid w:val="00207A25"/>
    <w:rsid w:val="0021233F"/>
    <w:rsid w:val="00230763"/>
    <w:rsid w:val="00231F72"/>
    <w:rsid w:val="00241AA3"/>
    <w:rsid w:val="00242947"/>
    <w:rsid w:val="00250255"/>
    <w:rsid w:val="00261588"/>
    <w:rsid w:val="00262D7C"/>
    <w:rsid w:val="002832A9"/>
    <w:rsid w:val="002859D9"/>
    <w:rsid w:val="002A1B45"/>
    <w:rsid w:val="002A2A00"/>
    <w:rsid w:val="002A2E93"/>
    <w:rsid w:val="002A3B61"/>
    <w:rsid w:val="002A617F"/>
    <w:rsid w:val="002B5366"/>
    <w:rsid w:val="002B661E"/>
    <w:rsid w:val="002B678D"/>
    <w:rsid w:val="002C4801"/>
    <w:rsid w:val="002C5AF1"/>
    <w:rsid w:val="002D17D5"/>
    <w:rsid w:val="002D667B"/>
    <w:rsid w:val="002E7EE2"/>
    <w:rsid w:val="0030358B"/>
    <w:rsid w:val="00305510"/>
    <w:rsid w:val="0031152B"/>
    <w:rsid w:val="00313C7A"/>
    <w:rsid w:val="003155BB"/>
    <w:rsid w:val="00335053"/>
    <w:rsid w:val="00336EE8"/>
    <w:rsid w:val="00351F3F"/>
    <w:rsid w:val="003634CD"/>
    <w:rsid w:val="00371B0F"/>
    <w:rsid w:val="00372F80"/>
    <w:rsid w:val="003746A9"/>
    <w:rsid w:val="00374C01"/>
    <w:rsid w:val="00375E6E"/>
    <w:rsid w:val="00377B27"/>
    <w:rsid w:val="003A75E9"/>
    <w:rsid w:val="003B01B9"/>
    <w:rsid w:val="003C1661"/>
    <w:rsid w:val="003C74F7"/>
    <w:rsid w:val="003D2C8C"/>
    <w:rsid w:val="003D5882"/>
    <w:rsid w:val="003D5AEB"/>
    <w:rsid w:val="003D7DED"/>
    <w:rsid w:val="003E09CB"/>
    <w:rsid w:val="003F26CF"/>
    <w:rsid w:val="003F5EEA"/>
    <w:rsid w:val="003F6889"/>
    <w:rsid w:val="003F7674"/>
    <w:rsid w:val="0040029D"/>
    <w:rsid w:val="00403B3E"/>
    <w:rsid w:val="004077CF"/>
    <w:rsid w:val="0041136E"/>
    <w:rsid w:val="00421AEE"/>
    <w:rsid w:val="00442CB0"/>
    <w:rsid w:val="00445834"/>
    <w:rsid w:val="00450EB4"/>
    <w:rsid w:val="00455C01"/>
    <w:rsid w:val="004561E3"/>
    <w:rsid w:val="00464F11"/>
    <w:rsid w:val="00470586"/>
    <w:rsid w:val="00470A56"/>
    <w:rsid w:val="00471C10"/>
    <w:rsid w:val="004752CB"/>
    <w:rsid w:val="00480D64"/>
    <w:rsid w:val="00492DF9"/>
    <w:rsid w:val="00494926"/>
    <w:rsid w:val="004965EA"/>
    <w:rsid w:val="00496DA4"/>
    <w:rsid w:val="004B2108"/>
    <w:rsid w:val="004B515E"/>
    <w:rsid w:val="004B5CBD"/>
    <w:rsid w:val="004C2FCE"/>
    <w:rsid w:val="004F0F70"/>
    <w:rsid w:val="00505412"/>
    <w:rsid w:val="005058FB"/>
    <w:rsid w:val="0050605E"/>
    <w:rsid w:val="005125E7"/>
    <w:rsid w:val="00514B8F"/>
    <w:rsid w:val="00520676"/>
    <w:rsid w:val="005256DC"/>
    <w:rsid w:val="00525D30"/>
    <w:rsid w:val="00535217"/>
    <w:rsid w:val="00536AED"/>
    <w:rsid w:val="005417EB"/>
    <w:rsid w:val="00541D29"/>
    <w:rsid w:val="00544973"/>
    <w:rsid w:val="00553334"/>
    <w:rsid w:val="00562228"/>
    <w:rsid w:val="005628B0"/>
    <w:rsid w:val="00587316"/>
    <w:rsid w:val="00591B09"/>
    <w:rsid w:val="005A4EE2"/>
    <w:rsid w:val="005B6C4A"/>
    <w:rsid w:val="005B6FD1"/>
    <w:rsid w:val="005C0A32"/>
    <w:rsid w:val="005C5875"/>
    <w:rsid w:val="005D25AA"/>
    <w:rsid w:val="005D367D"/>
    <w:rsid w:val="005E155C"/>
    <w:rsid w:val="005E19AF"/>
    <w:rsid w:val="005F5F2C"/>
    <w:rsid w:val="0060164F"/>
    <w:rsid w:val="006057A6"/>
    <w:rsid w:val="00607B85"/>
    <w:rsid w:val="00646425"/>
    <w:rsid w:val="00670B8F"/>
    <w:rsid w:val="0068017F"/>
    <w:rsid w:val="00681212"/>
    <w:rsid w:val="00693800"/>
    <w:rsid w:val="00693C94"/>
    <w:rsid w:val="006A226D"/>
    <w:rsid w:val="006B7070"/>
    <w:rsid w:val="006C2278"/>
    <w:rsid w:val="006C239E"/>
    <w:rsid w:val="006C41AF"/>
    <w:rsid w:val="006C64F7"/>
    <w:rsid w:val="006C68D1"/>
    <w:rsid w:val="006C7C98"/>
    <w:rsid w:val="006F348F"/>
    <w:rsid w:val="006F4A15"/>
    <w:rsid w:val="007029AD"/>
    <w:rsid w:val="00707595"/>
    <w:rsid w:val="0071216E"/>
    <w:rsid w:val="00720688"/>
    <w:rsid w:val="0074400F"/>
    <w:rsid w:val="00745E77"/>
    <w:rsid w:val="007651E3"/>
    <w:rsid w:val="00766BEF"/>
    <w:rsid w:val="00767EDF"/>
    <w:rsid w:val="00775CB1"/>
    <w:rsid w:val="00780DC5"/>
    <w:rsid w:val="00791A0F"/>
    <w:rsid w:val="0079358F"/>
    <w:rsid w:val="0079485D"/>
    <w:rsid w:val="0079630F"/>
    <w:rsid w:val="007A4A48"/>
    <w:rsid w:val="007B4F74"/>
    <w:rsid w:val="007B7792"/>
    <w:rsid w:val="007C3488"/>
    <w:rsid w:val="007C3CC4"/>
    <w:rsid w:val="007C5811"/>
    <w:rsid w:val="007C6005"/>
    <w:rsid w:val="007D2EF1"/>
    <w:rsid w:val="007F77E5"/>
    <w:rsid w:val="007F7FA6"/>
    <w:rsid w:val="008031F0"/>
    <w:rsid w:val="008168F3"/>
    <w:rsid w:val="008303B8"/>
    <w:rsid w:val="00840CEB"/>
    <w:rsid w:val="00841EA4"/>
    <w:rsid w:val="008461EA"/>
    <w:rsid w:val="00846498"/>
    <w:rsid w:val="0085754B"/>
    <w:rsid w:val="00857BF9"/>
    <w:rsid w:val="008609C7"/>
    <w:rsid w:val="008745E8"/>
    <w:rsid w:val="008760C9"/>
    <w:rsid w:val="00885480"/>
    <w:rsid w:val="00891812"/>
    <w:rsid w:val="008A6014"/>
    <w:rsid w:val="008B0849"/>
    <w:rsid w:val="008C76B4"/>
    <w:rsid w:val="008C7AB9"/>
    <w:rsid w:val="008D1232"/>
    <w:rsid w:val="008E3C83"/>
    <w:rsid w:val="009027B5"/>
    <w:rsid w:val="00904FD3"/>
    <w:rsid w:val="00927FAC"/>
    <w:rsid w:val="009345A8"/>
    <w:rsid w:val="00943521"/>
    <w:rsid w:val="00943C83"/>
    <w:rsid w:val="00960FF2"/>
    <w:rsid w:val="00963887"/>
    <w:rsid w:val="0096402F"/>
    <w:rsid w:val="009641B1"/>
    <w:rsid w:val="00977386"/>
    <w:rsid w:val="00977C0B"/>
    <w:rsid w:val="00983239"/>
    <w:rsid w:val="009B1B7F"/>
    <w:rsid w:val="009C538B"/>
    <w:rsid w:val="009C6339"/>
    <w:rsid w:val="009D474C"/>
    <w:rsid w:val="009D480B"/>
    <w:rsid w:val="009D7C22"/>
    <w:rsid w:val="009E0E01"/>
    <w:rsid w:val="009E320B"/>
    <w:rsid w:val="009F4C7E"/>
    <w:rsid w:val="00A053C7"/>
    <w:rsid w:val="00A05D7E"/>
    <w:rsid w:val="00A13795"/>
    <w:rsid w:val="00A17B08"/>
    <w:rsid w:val="00A20587"/>
    <w:rsid w:val="00A218CE"/>
    <w:rsid w:val="00A42B34"/>
    <w:rsid w:val="00A50EC8"/>
    <w:rsid w:val="00A64D45"/>
    <w:rsid w:val="00A67E45"/>
    <w:rsid w:val="00A7655C"/>
    <w:rsid w:val="00A9443B"/>
    <w:rsid w:val="00AA2AAE"/>
    <w:rsid w:val="00AA6FCF"/>
    <w:rsid w:val="00AB0A40"/>
    <w:rsid w:val="00AB514E"/>
    <w:rsid w:val="00AC4AB2"/>
    <w:rsid w:val="00AC7FAA"/>
    <w:rsid w:val="00AD4F0F"/>
    <w:rsid w:val="00AE371D"/>
    <w:rsid w:val="00AF13C9"/>
    <w:rsid w:val="00B00D5C"/>
    <w:rsid w:val="00B02C99"/>
    <w:rsid w:val="00B059D0"/>
    <w:rsid w:val="00B132C7"/>
    <w:rsid w:val="00B23F3B"/>
    <w:rsid w:val="00B262CB"/>
    <w:rsid w:val="00B26B56"/>
    <w:rsid w:val="00B31606"/>
    <w:rsid w:val="00B31860"/>
    <w:rsid w:val="00B36992"/>
    <w:rsid w:val="00B371BD"/>
    <w:rsid w:val="00B4282D"/>
    <w:rsid w:val="00B45F34"/>
    <w:rsid w:val="00B605A3"/>
    <w:rsid w:val="00B61085"/>
    <w:rsid w:val="00B610B9"/>
    <w:rsid w:val="00B63583"/>
    <w:rsid w:val="00B644B3"/>
    <w:rsid w:val="00B7333C"/>
    <w:rsid w:val="00B93710"/>
    <w:rsid w:val="00B95607"/>
    <w:rsid w:val="00B95A94"/>
    <w:rsid w:val="00BA2291"/>
    <w:rsid w:val="00BA4D61"/>
    <w:rsid w:val="00BB7374"/>
    <w:rsid w:val="00BD5508"/>
    <w:rsid w:val="00BD5DE9"/>
    <w:rsid w:val="00BF0FF0"/>
    <w:rsid w:val="00C13CD0"/>
    <w:rsid w:val="00C14F32"/>
    <w:rsid w:val="00C40182"/>
    <w:rsid w:val="00C52A4D"/>
    <w:rsid w:val="00C57F8F"/>
    <w:rsid w:val="00C62301"/>
    <w:rsid w:val="00C633EC"/>
    <w:rsid w:val="00C64A34"/>
    <w:rsid w:val="00C71E83"/>
    <w:rsid w:val="00C87EE0"/>
    <w:rsid w:val="00C97385"/>
    <w:rsid w:val="00CA31B3"/>
    <w:rsid w:val="00CB6D06"/>
    <w:rsid w:val="00CC1E57"/>
    <w:rsid w:val="00CD225F"/>
    <w:rsid w:val="00CD5C41"/>
    <w:rsid w:val="00CE2F86"/>
    <w:rsid w:val="00D0586B"/>
    <w:rsid w:val="00D07A0D"/>
    <w:rsid w:val="00D07FC3"/>
    <w:rsid w:val="00D10561"/>
    <w:rsid w:val="00D2134A"/>
    <w:rsid w:val="00D25D2B"/>
    <w:rsid w:val="00D2688B"/>
    <w:rsid w:val="00D31732"/>
    <w:rsid w:val="00D40C4B"/>
    <w:rsid w:val="00D4177D"/>
    <w:rsid w:val="00D42DB1"/>
    <w:rsid w:val="00D50093"/>
    <w:rsid w:val="00D5050E"/>
    <w:rsid w:val="00D5251C"/>
    <w:rsid w:val="00D7082C"/>
    <w:rsid w:val="00D70E94"/>
    <w:rsid w:val="00D92C68"/>
    <w:rsid w:val="00DA00D3"/>
    <w:rsid w:val="00DA4A82"/>
    <w:rsid w:val="00DA5B95"/>
    <w:rsid w:val="00DA6BDA"/>
    <w:rsid w:val="00DB2514"/>
    <w:rsid w:val="00DB47B9"/>
    <w:rsid w:val="00DC7C1F"/>
    <w:rsid w:val="00DD1116"/>
    <w:rsid w:val="00DD1F39"/>
    <w:rsid w:val="00DE4590"/>
    <w:rsid w:val="00DF377C"/>
    <w:rsid w:val="00E00050"/>
    <w:rsid w:val="00E01148"/>
    <w:rsid w:val="00E02D61"/>
    <w:rsid w:val="00E102F8"/>
    <w:rsid w:val="00E13399"/>
    <w:rsid w:val="00E1745A"/>
    <w:rsid w:val="00E62085"/>
    <w:rsid w:val="00E64380"/>
    <w:rsid w:val="00E64788"/>
    <w:rsid w:val="00E87D8E"/>
    <w:rsid w:val="00EB224A"/>
    <w:rsid w:val="00EB6037"/>
    <w:rsid w:val="00EE1906"/>
    <w:rsid w:val="00EE2BA1"/>
    <w:rsid w:val="00EE34EB"/>
    <w:rsid w:val="00EE74BD"/>
    <w:rsid w:val="00EE7746"/>
    <w:rsid w:val="00F004DA"/>
    <w:rsid w:val="00F01556"/>
    <w:rsid w:val="00F047DC"/>
    <w:rsid w:val="00F10B31"/>
    <w:rsid w:val="00F13DD6"/>
    <w:rsid w:val="00F163E9"/>
    <w:rsid w:val="00F166D9"/>
    <w:rsid w:val="00F167C6"/>
    <w:rsid w:val="00F425DD"/>
    <w:rsid w:val="00F533E4"/>
    <w:rsid w:val="00F56F04"/>
    <w:rsid w:val="00F63181"/>
    <w:rsid w:val="00F74107"/>
    <w:rsid w:val="00F84F2F"/>
    <w:rsid w:val="00F866B6"/>
    <w:rsid w:val="00F90CDC"/>
    <w:rsid w:val="00FA1357"/>
    <w:rsid w:val="00FA5BE0"/>
    <w:rsid w:val="00FA712F"/>
    <w:rsid w:val="00FC038B"/>
    <w:rsid w:val="00FC3098"/>
    <w:rsid w:val="00FC792A"/>
    <w:rsid w:val="00FD63A6"/>
    <w:rsid w:val="00FE0A87"/>
    <w:rsid w:val="00FE1146"/>
    <w:rsid w:val="00FE3D39"/>
    <w:rsid w:val="00FE795E"/>
    <w:rsid w:val="00FF1EA8"/>
    <w:rsid w:val="00FF35D0"/>
    <w:rsid w:val="00FF69FD"/>
    <w:rsid w:val="00FF767A"/>
    <w:rsid w:val="00FF7AC4"/>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A193C7E"/>
  <w14:defaultImageDpi w14:val="32767"/>
  <w15:docId w15:val="{155BCD0E-B9E7-46DC-8FA3-453BB9A9EA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2"/>
        <w:szCs w:val="22"/>
        <w:lang w:val="pt-PT" w:eastAsia="pt-BR"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45E77"/>
  </w:style>
  <w:style w:type="paragraph" w:styleId="Ttulo1">
    <w:name w:val="heading 1"/>
    <w:basedOn w:val="Normal"/>
    <w:next w:val="Normal"/>
    <w:uiPriority w:val="9"/>
    <w:qFormat/>
    <w:pPr>
      <w:keepNext/>
      <w:keepLines/>
      <w:spacing w:before="480" w:after="120"/>
      <w:outlineLvl w:val="0"/>
    </w:pPr>
    <w:rPr>
      <w:b/>
      <w:bCs/>
      <w:sz w:val="48"/>
      <w:szCs w:val="48"/>
    </w:rPr>
  </w:style>
  <w:style w:type="paragraph" w:styleId="Ttulo2">
    <w:name w:val="heading 2"/>
    <w:basedOn w:val="Normal"/>
    <w:next w:val="Normal"/>
    <w:uiPriority w:val="9"/>
    <w:semiHidden/>
    <w:unhideWhenUsed/>
    <w:qFormat/>
    <w:pPr>
      <w:keepNext/>
      <w:keepLines/>
      <w:spacing w:before="360" w:after="80"/>
      <w:outlineLvl w:val="1"/>
    </w:pPr>
    <w:rPr>
      <w:b/>
      <w:bCs/>
      <w:sz w:val="36"/>
      <w:szCs w:val="36"/>
    </w:rPr>
  </w:style>
  <w:style w:type="paragraph" w:styleId="Ttulo3">
    <w:name w:val="heading 3"/>
    <w:basedOn w:val="Normal"/>
    <w:next w:val="Normal"/>
    <w:uiPriority w:val="9"/>
    <w:semiHidden/>
    <w:unhideWhenUsed/>
    <w:qFormat/>
    <w:pPr>
      <w:keepNext/>
      <w:keepLines/>
      <w:spacing w:before="280" w:after="80"/>
      <w:outlineLvl w:val="2"/>
    </w:pPr>
    <w:rPr>
      <w:b/>
      <w:bCs/>
      <w:sz w:val="28"/>
      <w:szCs w:val="28"/>
    </w:rPr>
  </w:style>
  <w:style w:type="paragraph" w:styleId="Ttulo4">
    <w:name w:val="heading 4"/>
    <w:basedOn w:val="Normal"/>
    <w:next w:val="Normal"/>
    <w:uiPriority w:val="9"/>
    <w:semiHidden/>
    <w:unhideWhenUsed/>
    <w:qFormat/>
    <w:pPr>
      <w:keepNext/>
      <w:keepLines/>
      <w:spacing w:before="240" w:after="40"/>
      <w:outlineLvl w:val="3"/>
    </w:pPr>
    <w:rPr>
      <w:b/>
      <w:bCs/>
      <w:sz w:val="24"/>
      <w:szCs w:val="24"/>
    </w:rPr>
  </w:style>
  <w:style w:type="paragraph" w:styleId="Ttulo5">
    <w:name w:val="heading 5"/>
    <w:basedOn w:val="Normal"/>
    <w:next w:val="Normal"/>
    <w:uiPriority w:val="9"/>
    <w:semiHidden/>
    <w:unhideWhenUsed/>
    <w:qFormat/>
    <w:pPr>
      <w:keepNext/>
      <w:keepLines/>
      <w:spacing w:before="220" w:after="40"/>
      <w:outlineLvl w:val="4"/>
    </w:pPr>
    <w:rPr>
      <w:b/>
      <w:bCs/>
    </w:rPr>
  </w:style>
  <w:style w:type="paragraph" w:styleId="Ttulo6">
    <w:name w:val="heading 6"/>
    <w:basedOn w:val="Normal"/>
    <w:next w:val="Normal"/>
    <w:uiPriority w:val="9"/>
    <w:semiHidden/>
    <w:unhideWhenUsed/>
    <w:qFormat/>
    <w:pPr>
      <w:keepNext/>
      <w:keepLines/>
      <w:spacing w:before="200" w:after="40"/>
      <w:outlineLvl w:val="5"/>
    </w:pPr>
    <w:rPr>
      <w:b/>
      <w:bCs/>
      <w:sz w:val="20"/>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tulo">
    <w:name w:val="Title"/>
    <w:basedOn w:val="Normal"/>
    <w:next w:val="Normal"/>
    <w:uiPriority w:val="10"/>
    <w:qFormat/>
    <w:pPr>
      <w:keepNext/>
      <w:keepLines/>
      <w:spacing w:before="480" w:after="120"/>
    </w:pPr>
    <w:rPr>
      <w:b/>
      <w:bCs/>
      <w:sz w:val="72"/>
      <w:szCs w:val="72"/>
    </w:rPr>
  </w:style>
  <w:style w:type="table" w:customStyle="1" w:styleId="TableNormal0">
    <w:name w:val="Table Normal"/>
    <w:uiPriority w:val="2"/>
    <w:semiHidden/>
    <w:unhideWhenUsed/>
    <w:qFormat/>
    <w:tblPr>
      <w:tblInd w:w="0" w:type="dxa"/>
      <w:tblCellMar>
        <w:top w:w="0" w:type="dxa"/>
        <w:left w:w="0" w:type="dxa"/>
        <w:bottom w:w="0" w:type="dxa"/>
        <w:right w:w="0" w:type="dxa"/>
      </w:tblCellMar>
    </w:tblPr>
  </w:style>
  <w:style w:type="paragraph" w:styleId="Corpodetexto">
    <w:name w:val="Body Text"/>
    <w:basedOn w:val="Normal"/>
    <w:uiPriority w:val="1"/>
    <w:qFormat/>
    <w:rPr>
      <w:sz w:val="24"/>
      <w:szCs w:val="24"/>
    </w:rPr>
  </w:style>
  <w:style w:type="paragraph" w:styleId="PargrafodaLista">
    <w:name w:val="List Paragraph"/>
    <w:basedOn w:val="Normal"/>
    <w:uiPriority w:val="1"/>
    <w:qFormat/>
    <w:pPr>
      <w:spacing w:before="120"/>
      <w:ind w:left="821" w:right="115" w:hanging="360"/>
      <w:jc w:val="both"/>
    </w:pPr>
  </w:style>
  <w:style w:type="paragraph" w:customStyle="1" w:styleId="TableParagraph">
    <w:name w:val="Table Paragraph"/>
    <w:basedOn w:val="Normal"/>
    <w:uiPriority w:val="1"/>
    <w:qFormat/>
  </w:style>
  <w:style w:type="paragraph" w:styleId="Cabealho">
    <w:name w:val="header"/>
    <w:basedOn w:val="Normal"/>
    <w:link w:val="CabealhoChar"/>
    <w:uiPriority w:val="99"/>
    <w:unhideWhenUsed/>
    <w:rsid w:val="005A1575"/>
    <w:pPr>
      <w:tabs>
        <w:tab w:val="center" w:pos="4252"/>
        <w:tab w:val="right" w:pos="8504"/>
      </w:tabs>
    </w:pPr>
  </w:style>
  <w:style w:type="character" w:customStyle="1" w:styleId="CabealhoChar">
    <w:name w:val="Cabeçalho Char"/>
    <w:basedOn w:val="Fontepargpadro"/>
    <w:link w:val="Cabealho"/>
    <w:uiPriority w:val="99"/>
    <w:rsid w:val="005A1575"/>
    <w:rPr>
      <w:rFonts w:ascii="Times New Roman" w:eastAsia="Times New Roman" w:hAnsi="Times New Roman" w:cs="Times New Roman"/>
      <w:lang w:val="pt-PT"/>
    </w:rPr>
  </w:style>
  <w:style w:type="paragraph" w:styleId="Rodap">
    <w:name w:val="footer"/>
    <w:basedOn w:val="Normal"/>
    <w:link w:val="RodapChar"/>
    <w:uiPriority w:val="99"/>
    <w:unhideWhenUsed/>
    <w:rsid w:val="005A1575"/>
    <w:pPr>
      <w:tabs>
        <w:tab w:val="center" w:pos="4252"/>
        <w:tab w:val="right" w:pos="8504"/>
      </w:tabs>
    </w:pPr>
  </w:style>
  <w:style w:type="character" w:customStyle="1" w:styleId="RodapChar">
    <w:name w:val="Rodapé Char"/>
    <w:basedOn w:val="Fontepargpadro"/>
    <w:link w:val="Rodap"/>
    <w:uiPriority w:val="99"/>
    <w:rsid w:val="005A1575"/>
    <w:rPr>
      <w:rFonts w:ascii="Times New Roman" w:eastAsia="Times New Roman" w:hAnsi="Times New Roman" w:cs="Times New Roman"/>
      <w:lang w:val="pt-PT"/>
    </w:rPr>
  </w:style>
  <w:style w:type="paragraph" w:styleId="Subttulo">
    <w:name w:val="Subtitle"/>
    <w:basedOn w:val="Normal"/>
    <w:next w:val="Normal"/>
    <w:uiPriority w:val="11"/>
    <w:qFormat/>
    <w:pPr>
      <w:keepNext/>
      <w:keepLines/>
      <w:spacing w:before="360" w:after="80"/>
    </w:pPr>
    <w:rPr>
      <w:rFonts w:ascii="Georgia" w:eastAsia="Georgia" w:hAnsi="Georgia" w:cs="Georgia"/>
      <w:i/>
      <w:iCs/>
      <w:color w:val="666666"/>
      <w:sz w:val="48"/>
      <w:szCs w:val="48"/>
    </w:rPr>
  </w:style>
  <w:style w:type="table" w:customStyle="1" w:styleId="a">
    <w:basedOn w:val="TableNormal0"/>
    <w:tblPr>
      <w:tblStyleRowBandSize w:val="1"/>
      <w:tblStyleColBandSize w:val="1"/>
      <w:tblCellMar>
        <w:left w:w="115" w:type="dxa"/>
        <w:right w:w="115" w:type="dxa"/>
      </w:tblCellMar>
    </w:tblPr>
  </w:style>
  <w:style w:type="table" w:customStyle="1" w:styleId="a0">
    <w:basedOn w:val="TableNormal0"/>
    <w:tblPr>
      <w:tblStyleRowBandSize w:val="1"/>
      <w:tblStyleColBandSize w:val="1"/>
      <w:tblCellMar>
        <w:left w:w="115" w:type="dxa"/>
        <w:right w:w="115" w:type="dxa"/>
      </w:tblCellMar>
    </w:tblPr>
  </w:style>
  <w:style w:type="table" w:styleId="Tabelacomgrade">
    <w:name w:val="Table Grid"/>
    <w:basedOn w:val="Tabelanormal"/>
    <w:uiPriority w:val="39"/>
    <w:rsid w:val="008C76B4"/>
    <w:pPr>
      <w:widowControl/>
    </w:pPr>
    <w:rPr>
      <w:rFonts w:asciiTheme="minorHAnsi" w:eastAsiaTheme="minorHAnsi" w:hAnsiTheme="minorHAnsi" w:cstheme="minorBidi"/>
      <w:kern w:val="2"/>
      <w:lang w:val="pt-BR"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Fontepargpadro"/>
    <w:uiPriority w:val="99"/>
    <w:unhideWhenUsed/>
    <w:rsid w:val="00D2134A"/>
    <w:rPr>
      <w:color w:val="0000FF" w:themeColor="hyperlink"/>
      <w:u w:val="single"/>
    </w:rPr>
  </w:style>
  <w:style w:type="character" w:styleId="MenoPendente">
    <w:name w:val="Unresolved Mention"/>
    <w:basedOn w:val="Fontepargpadro"/>
    <w:uiPriority w:val="99"/>
    <w:semiHidden/>
    <w:unhideWhenUsed/>
    <w:rsid w:val="00D2134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oter" Target="footer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png"/><Relationship Id="rId1" Type="http://schemas.openxmlformats.org/officeDocument/2006/relationships/image" Target="media/image6.png"/><Relationship Id="rId6" Type="http://schemas.openxmlformats.org/officeDocument/2006/relationships/image" Target="media/image11.png"/><Relationship Id="rId5" Type="http://schemas.openxmlformats.org/officeDocument/2006/relationships/image" Target="media/image10.png"/><Relationship Id="rId4" Type="http://schemas.openxmlformats.org/officeDocument/2006/relationships/image" Target="media/image9.png"/></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cAXQpD7xH3gMkgiIrRhIlSW174g==">CgMxLjAyDmguc3F1M2xzZ2ozM2Q1OAByITExOFZEeENxMVlPMTdFSWNpRjB6a3JTdUVWMXJaT2hXMQ==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10</Pages>
  <Words>2782</Words>
  <Characters>15026</Characters>
  <Application>Microsoft Office Word</Application>
  <DocSecurity>0</DocSecurity>
  <Lines>125</Lines>
  <Paragraphs>35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17773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Lísias Faria</dc:creator>
  <cp:lastModifiedBy>Carlos Daniel de Souza Vizentin</cp:lastModifiedBy>
  <cp:revision>5</cp:revision>
  <cp:lastPrinted>2025-11-27T02:06:00Z</cp:lastPrinted>
  <dcterms:created xsi:type="dcterms:W3CDTF">2025-11-30T13:46:00Z</dcterms:created>
  <dcterms:modified xsi:type="dcterms:W3CDTF">2025-11-30T14:07:00Z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2022-08-23T00:00:00Z</vt:filetime>
  </property>
  <property fmtid="{D5CDD505-2E9C-101B-9397-08002B2CF9AE}" pid="3" name="Creator">
    <vt:lpwstr>Microsoft® Word para Microsoft 365</vt:lpwstr>
  </property>
  <property fmtid="{D5CDD505-2E9C-101B-9397-08002B2CF9AE}" pid="4" name="LastSaved">
    <vt:filetime>2023-08-30T00:00:00Z</vt:filetime>
  </property>
</Properties>
</file>