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ARÉA TEMÁTICA: TAXONOMIA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SUBÁREA TEMÁTICA: Vertebrados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ESTUDO COMPARATIVO DO NEUROCRÂNIO DE TRÊS ESPÉCIES DO GÊNERO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Carcharhinus</w:t>
      </w:r>
      <w:r w:rsidDel="00000000" w:rsidR="00000000" w:rsidRPr="00000000">
        <w:rPr>
          <w:b w:val="1"/>
          <w:sz w:val="20"/>
          <w:szCs w:val="20"/>
          <w:rtl w:val="0"/>
        </w:rPr>
        <w:t xml:space="preserve"> (</w:t>
      </w:r>
      <w:r w:rsidDel="00000000" w:rsidR="00000000" w:rsidRPr="00000000">
        <w:rPr>
          <w:b w:val="1"/>
          <w:sz w:val="20"/>
          <w:szCs w:val="20"/>
          <w:rtl w:val="0"/>
        </w:rPr>
        <w:t xml:space="preserve">Elasmobranchii: Carcharhiniformes: Carcharhinidae)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Jade Medeiros¹, João Paulo Capretz Batista da Silva²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 Universidade Federal da Paraíba, Departamento de Sistemática e Ecologia.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jadeemedeiros@gmail.com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² Universidade Federal da Paraíba, Departamento de Sistemática e Ecologia.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jpzoologia@dse.com.br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tubarões são os principais representantes da </w:t>
      </w:r>
      <w:r w:rsidDel="00000000" w:rsidR="00000000" w:rsidRPr="00000000">
        <w:rPr>
          <w:sz w:val="20"/>
          <w:szCs w:val="20"/>
          <w:rtl w:val="0"/>
        </w:rPr>
        <w:t xml:space="preserve">subclasse</w:t>
      </w:r>
      <w:r w:rsidDel="00000000" w:rsidR="00000000" w:rsidRPr="00000000">
        <w:rPr>
          <w:sz w:val="20"/>
          <w:szCs w:val="20"/>
          <w:rtl w:val="0"/>
        </w:rPr>
        <w:t xml:space="preserve"> Elasmobranchii e podem ser divididos em duas superordens: Galeomorphii e Squalomorphii (</w:t>
      </w:r>
      <w:r w:rsidDel="00000000" w:rsidR="00000000" w:rsidRPr="00000000">
        <w:rPr>
          <w:sz w:val="20"/>
          <w:szCs w:val="20"/>
          <w:rtl w:val="0"/>
        </w:rPr>
        <w:t xml:space="preserve">Compagno, 1973, 1977; Shirai, 1996</w:t>
      </w:r>
      <w:r w:rsidDel="00000000" w:rsidR="00000000" w:rsidRPr="00000000">
        <w:rPr>
          <w:sz w:val="20"/>
          <w:szCs w:val="20"/>
          <w:rtl w:val="0"/>
        </w:rPr>
        <w:t xml:space="preserve">). A superordem Galeomorphii tem sido consistentemente recuperada como monofilética (Shirai, 1996; </w:t>
      </w:r>
      <w:r w:rsidDel="00000000" w:rsidR="00000000" w:rsidRPr="00000000">
        <w:rPr>
          <w:sz w:val="20"/>
          <w:szCs w:val="20"/>
          <w:rtl w:val="0"/>
        </w:rPr>
        <w:t xml:space="preserve">Naylor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al.</w:t>
      </w:r>
      <w:r w:rsidDel="00000000" w:rsidR="00000000" w:rsidRPr="00000000">
        <w:rPr>
          <w:sz w:val="20"/>
          <w:szCs w:val="20"/>
          <w:rtl w:val="0"/>
        </w:rPr>
        <w:t xml:space="preserve">, 2005; 2012</w:t>
      </w:r>
      <w:r w:rsidDel="00000000" w:rsidR="00000000" w:rsidRPr="00000000">
        <w:rPr>
          <w:sz w:val="20"/>
          <w:szCs w:val="20"/>
          <w:rtl w:val="0"/>
        </w:rPr>
        <w:t xml:space="preserve">) e é composta por quatro ordens. A ordem Carcharhiniformes, uma das mais diversas, também tem sido recuperada como monofilética baseada em estudos morfológicos (</w:t>
      </w:r>
      <w:r w:rsidDel="00000000" w:rsidR="00000000" w:rsidRPr="00000000">
        <w:rPr>
          <w:sz w:val="20"/>
          <w:szCs w:val="20"/>
          <w:rtl w:val="0"/>
        </w:rPr>
        <w:t xml:space="preserve">Shirai, 1992</w:t>
      </w:r>
      <w:r w:rsidDel="00000000" w:rsidR="00000000" w:rsidRPr="00000000">
        <w:rPr>
          <w:sz w:val="20"/>
          <w:szCs w:val="20"/>
          <w:rtl w:val="0"/>
        </w:rPr>
        <w:t xml:space="preserve">; 1996) e moleculares </w:t>
      </w:r>
      <w:r w:rsidDel="00000000" w:rsidR="00000000" w:rsidRPr="00000000">
        <w:rPr>
          <w:sz w:val="20"/>
          <w:szCs w:val="20"/>
          <w:rtl w:val="0"/>
        </w:rPr>
        <w:t xml:space="preserve">(Naylor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al.</w:t>
      </w:r>
      <w:r w:rsidDel="00000000" w:rsidR="00000000" w:rsidRPr="00000000">
        <w:rPr>
          <w:sz w:val="20"/>
          <w:szCs w:val="20"/>
          <w:rtl w:val="0"/>
        </w:rPr>
        <w:t xml:space="preserve">, 2005</w:t>
      </w:r>
      <w:r w:rsidDel="00000000" w:rsidR="00000000" w:rsidRPr="00000000">
        <w:rPr>
          <w:sz w:val="20"/>
          <w:szCs w:val="20"/>
          <w:rtl w:val="0"/>
        </w:rPr>
        <w:t xml:space="preserve">; 2012). No entanto,  um de seus gêneros mais diversos, </w:t>
      </w:r>
      <w:r w:rsidDel="00000000" w:rsidR="00000000" w:rsidRPr="00000000">
        <w:rPr>
          <w:i w:val="1"/>
          <w:sz w:val="20"/>
          <w:szCs w:val="20"/>
          <w:rtl w:val="0"/>
        </w:rPr>
        <w:t xml:space="preserve">Carcharhinus</w:t>
      </w:r>
      <w:r w:rsidDel="00000000" w:rsidR="00000000" w:rsidRPr="00000000">
        <w:rPr>
          <w:sz w:val="20"/>
          <w:szCs w:val="20"/>
          <w:rtl w:val="0"/>
        </w:rPr>
        <w:t xml:space="preserve">, é claramente  parafilético (</w:t>
      </w:r>
      <w:r w:rsidDel="00000000" w:rsidR="00000000" w:rsidRPr="00000000">
        <w:rPr>
          <w:sz w:val="20"/>
          <w:szCs w:val="20"/>
          <w:rtl w:val="0"/>
        </w:rPr>
        <w:t xml:space="preserve">Vélez-Zuazo &amp; Agnarsson, 2011</w:t>
      </w:r>
      <w:r w:rsidDel="00000000" w:rsidR="00000000" w:rsidRPr="00000000">
        <w:rPr>
          <w:sz w:val="20"/>
          <w:szCs w:val="20"/>
          <w:rtl w:val="0"/>
        </w:rPr>
        <w:t xml:space="preserve">; Naylor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al.</w:t>
      </w:r>
      <w:r w:rsidDel="00000000" w:rsidR="00000000" w:rsidRPr="00000000">
        <w:rPr>
          <w:sz w:val="20"/>
          <w:szCs w:val="20"/>
          <w:rtl w:val="0"/>
        </w:rPr>
        <w:t xml:space="preserve">, 2012). </w:t>
      </w:r>
      <w:r w:rsidDel="00000000" w:rsidR="00000000" w:rsidRPr="00000000">
        <w:rPr>
          <w:sz w:val="20"/>
          <w:szCs w:val="20"/>
          <w:rtl w:val="0"/>
        </w:rPr>
        <w:t xml:space="preserve">O neurocrânio é o elemento esquelético único da cabeça dos elasmobrânquios, e corresponde a uma fonte valiosa de informações morfológicas e consequentemente filogenéticas. A morfologia craniana de Carcharhinidae é incomum em vários aspectos importantes, mas tem sido pouco documentada, sendo que o neurocrânio de representantes da superordem </w:t>
      </w:r>
      <w:r w:rsidDel="00000000" w:rsidR="00000000" w:rsidRPr="00000000">
        <w:rPr>
          <w:sz w:val="20"/>
          <w:szCs w:val="20"/>
          <w:rtl w:val="0"/>
        </w:rPr>
        <w:t xml:space="preserve">Squalomorph</w:t>
      </w:r>
      <w:r w:rsidDel="00000000" w:rsidR="00000000" w:rsidRPr="00000000">
        <w:rPr>
          <w:sz w:val="20"/>
          <w:szCs w:val="20"/>
          <w:rtl w:val="0"/>
        </w:rPr>
        <w:t xml:space="preserve">i</w:t>
      </w:r>
      <w:r w:rsidDel="00000000" w:rsidR="00000000" w:rsidRPr="00000000">
        <w:rPr>
          <w:sz w:val="20"/>
          <w:szCs w:val="20"/>
          <w:rtl w:val="0"/>
        </w:rPr>
        <w:t xml:space="preserve">i</w:t>
      </w:r>
      <w:r w:rsidDel="00000000" w:rsidR="00000000" w:rsidRPr="00000000">
        <w:rPr>
          <w:sz w:val="20"/>
          <w:szCs w:val="20"/>
          <w:rtl w:val="0"/>
        </w:rPr>
        <w:t xml:space="preserve"> têm recebido maior atenção (</w:t>
      </w:r>
      <w:r w:rsidDel="00000000" w:rsidR="00000000" w:rsidRPr="00000000">
        <w:rPr>
          <w:sz w:val="20"/>
          <w:szCs w:val="20"/>
          <w:rtl w:val="0"/>
        </w:rPr>
        <w:t xml:space="preserve">Maisey, 1980; 2008; Denton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al.</w:t>
      </w:r>
      <w:r w:rsidDel="00000000" w:rsidR="00000000" w:rsidRPr="00000000">
        <w:rPr>
          <w:sz w:val="20"/>
          <w:szCs w:val="20"/>
          <w:rtl w:val="0"/>
        </w:rPr>
        <w:t xml:space="preserve">, 2018</w:t>
      </w:r>
      <w:r w:rsidDel="00000000" w:rsidR="00000000" w:rsidRPr="00000000">
        <w:rPr>
          <w:sz w:val="20"/>
          <w:szCs w:val="20"/>
          <w:rtl w:val="0"/>
        </w:rPr>
        <w:t xml:space="preserve">). Por exemplo, vistas laterais e posteriores do neurocrânio descrevendo e ilustrando as aberturas para os vasos sanguíneos e nervos cranianos são incipientes. Sendo assim, o presente projeto se caracteriza como um estudo piloto do neurocrânio de três espécies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Carcharhinus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i w:val="1"/>
          <w:sz w:val="20"/>
          <w:szCs w:val="20"/>
          <w:rtl w:val="0"/>
        </w:rPr>
        <w:t xml:space="preserve">Carcharhinus galapagensis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Carcharhinus plumbeus</w:t>
      </w:r>
      <w:r w:rsidDel="00000000" w:rsidR="00000000" w:rsidRPr="00000000">
        <w:rPr>
          <w:sz w:val="20"/>
          <w:szCs w:val="20"/>
          <w:rtl w:val="0"/>
        </w:rPr>
        <w:t xml:space="preserve"> e </w:t>
      </w:r>
      <w:r w:rsidDel="00000000" w:rsidR="00000000" w:rsidRPr="00000000">
        <w:rPr>
          <w:i w:val="1"/>
          <w:sz w:val="20"/>
          <w:szCs w:val="20"/>
          <w:rtl w:val="0"/>
        </w:rPr>
        <w:t xml:space="preserve">Carcharhinus limbatus</w:t>
      </w:r>
      <w:r w:rsidDel="00000000" w:rsidR="00000000" w:rsidRPr="00000000">
        <w:rPr>
          <w:sz w:val="20"/>
          <w:szCs w:val="20"/>
          <w:rtl w:val="0"/>
        </w:rPr>
        <w:t xml:space="preserve">) para descrever sua morfologia, numa tentativa de levantar caracteres relacionados a essa estrutura que sejam informativos para a resolução de problemas filogenéticos não apenas entre representantes do gênero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Carcharhinus</w:t>
      </w:r>
      <w:r w:rsidDel="00000000" w:rsidR="00000000" w:rsidRPr="00000000">
        <w:rPr>
          <w:sz w:val="20"/>
          <w:szCs w:val="20"/>
          <w:rtl w:val="0"/>
        </w:rPr>
        <w:t xml:space="preserve">, mas também da família Carcharhinidae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 E MÉTODOS</w:t>
      </w:r>
    </w:p>
    <w:p w:rsidR="00000000" w:rsidDel="00000000" w:rsidP="00000000" w:rsidRDefault="00000000" w:rsidRPr="00000000" w14:paraId="00000012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neurocrânios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galapagensis</w:t>
      </w:r>
      <w:r w:rsidDel="00000000" w:rsidR="00000000" w:rsidRPr="00000000">
        <w:rPr>
          <w:sz w:val="20"/>
          <w:szCs w:val="20"/>
          <w:rtl w:val="0"/>
        </w:rPr>
        <w:t xml:space="preserve"> 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plumbeus</w:t>
      </w:r>
      <w:r w:rsidDel="00000000" w:rsidR="00000000" w:rsidRPr="00000000">
        <w:rPr>
          <w:sz w:val="20"/>
          <w:szCs w:val="20"/>
          <w:rtl w:val="0"/>
        </w:rPr>
        <w:t xml:space="preserve"> foram analisados a partir de imagens de CT-Scan que estavam hospedadas no endereço virtual sharksrays.org. O acesso às imagens foi cedido gentilmente pelo Dr. Gavin Naylor, curador do Museu de História Natural da Universidade da Flórida. Além disso, foi realizada uma dissecção manual utilizando-se bisturi, tesoura de ponta fina e pinças diversas. Toda a pele e musculatura da cabeça de um exemplar jovem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limbatus</w:t>
      </w:r>
      <w:r w:rsidDel="00000000" w:rsidR="00000000" w:rsidRPr="00000000">
        <w:rPr>
          <w:sz w:val="20"/>
          <w:szCs w:val="20"/>
          <w:rtl w:val="0"/>
        </w:rPr>
        <w:t xml:space="preserve"> (UFPB 5931) foram removidas para possibilitar a visualização do seu neurocrânio. Adicionalmente, outro exemplar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C. plumbeus</w:t>
      </w:r>
      <w:r w:rsidDel="00000000" w:rsidR="00000000" w:rsidRPr="00000000">
        <w:rPr>
          <w:sz w:val="20"/>
          <w:szCs w:val="20"/>
          <w:rtl w:val="0"/>
        </w:rPr>
        <w:t xml:space="preserve"> (UFPB 2924) disponível na coleção didática da Universidade Federal da Paraíba (UFPB) foi utilizado quando necessário. Caracteres foram propostos com base na variação observada e incorporados numa matriz. A análise cladística foi realizada no software TNT v. 1.5 (</w:t>
      </w:r>
      <w:r w:rsidDel="00000000" w:rsidR="00000000" w:rsidRPr="00000000">
        <w:rPr>
          <w:sz w:val="20"/>
          <w:szCs w:val="20"/>
          <w:rtl w:val="0"/>
        </w:rPr>
        <w:t xml:space="preserve">Goloboff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al.</w:t>
      </w:r>
      <w:r w:rsidDel="00000000" w:rsidR="00000000" w:rsidRPr="00000000">
        <w:rPr>
          <w:sz w:val="20"/>
          <w:szCs w:val="20"/>
          <w:rtl w:val="0"/>
        </w:rPr>
        <w:t xml:space="preserve">, 2008</w:t>
      </w:r>
      <w:r w:rsidDel="00000000" w:rsidR="00000000" w:rsidRPr="00000000">
        <w:rPr>
          <w:sz w:val="20"/>
          <w:szCs w:val="20"/>
          <w:rtl w:val="0"/>
        </w:rPr>
        <w:t xml:space="preserve">) utilizando 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Rhizoprionodon terraenovae</w:t>
      </w:r>
      <w:r w:rsidDel="00000000" w:rsidR="00000000" w:rsidRPr="00000000">
        <w:rPr>
          <w:sz w:val="20"/>
          <w:szCs w:val="20"/>
          <w:rtl w:val="0"/>
        </w:rPr>
        <w:t xml:space="preserve"> como grupo externo. O número de passos da árvore, assim como seus índices de consistência e retenção foram calculados utilizando o software WINCLADA v. 3.02 (Nixon, 2002). A árvore com os caracteres morfológicos otimizados foi obtida pelo mesmo software.</w:t>
      </w:r>
    </w:p>
    <w:p w:rsidR="00000000" w:rsidDel="00000000" w:rsidP="00000000" w:rsidRDefault="00000000" w:rsidRPr="00000000" w14:paraId="00000013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567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</w:t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Caracteres morfológicos foram levantados a partir da anatomia comparativa do neurocrânio das três espécies de modo a estabelecer as relações de parentesco entre as espécies analisadas. A espécie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R. terraenovae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foi empregada como grupo externo. Os cinco primeiros caracteres estão descritos a seguir: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1- Fenestra no nodo rostral: (0) ausente; (1) presente. Em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R. terraenovae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(grupo externo), uma fenestra no nodo rostral está ausente (0). Uma fenestra rostral está presente nas três espécies de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Carcharhinus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analisadas no presente estudo (1).</w:t>
      </w:r>
    </w:p>
    <w:p w:rsidR="00000000" w:rsidDel="00000000" w:rsidP="00000000" w:rsidRDefault="00000000" w:rsidRPr="00000000" w14:paraId="00000017">
      <w:pPr>
        <w:spacing w:line="240" w:lineRule="auto"/>
        <w:ind w:firstLine="72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2- Posição do forame para a artéria espiracular eferente em relação a fissura orbital: (0) anteroventral; (1) anterior. Em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R. terraenovae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(grupo externo),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 C. plumbeus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e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C. limbatus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o forame para a artéria espiracular eferente é anteroventral em relação a fissura orbital (0). Em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C. galapagensis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essa abertura está posicionada anteriormente à fissura orbital (1).</w:t>
      </w:r>
    </w:p>
    <w:p w:rsidR="00000000" w:rsidDel="00000000" w:rsidP="00000000" w:rsidRDefault="00000000" w:rsidRPr="00000000" w14:paraId="00000018">
      <w:pPr>
        <w:spacing w:line="240" w:lineRule="auto"/>
        <w:ind w:firstLine="72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3-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Recorte mediano na margem posterior da fontanela anterior: (0) ausente; (1) presente. Em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R. terraenovae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(grupo externo) a fontanela anterior ovalada , é desprovida de um recorte mediano (0). Esse recorte é bem definido e está presente nas  três espécies de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Carcharhinus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analisadas (1).</w:t>
      </w:r>
    </w:p>
    <w:p w:rsidR="00000000" w:rsidDel="00000000" w:rsidP="00000000" w:rsidRDefault="00000000" w:rsidRPr="00000000" w14:paraId="00000019">
      <w:pPr>
        <w:spacing w:line="240" w:lineRule="auto"/>
        <w:ind w:firstLine="72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4-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Aberturas pros nervos olfativos (fenestras nasais) (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FN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) em vista dorsal: (0) obliteradas pelo teto craniano; (1) visíveis através da abertura da fontanela anterior. Quando em vista dorsal, as aberturas pros nervos olfativos são facilmente visíveis tanto em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R. terraenovae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(grupo externo) quanto em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C. limbatus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(1). Em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C. galapagensis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e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C. plumbeus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não é possível visualizá-los pela abertura da fontanela anterior (0).</w:t>
      </w:r>
    </w:p>
    <w:p w:rsidR="00000000" w:rsidDel="00000000" w:rsidP="00000000" w:rsidRDefault="00000000" w:rsidRPr="00000000" w14:paraId="0000001A">
      <w:pPr>
        <w:spacing w:line="240" w:lineRule="auto"/>
        <w:ind w:firstLine="72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5- Forames para a artéria carótida interna posicionados: (0) ventrolateralmente; (1) ventralmente. Nas espécies de </w:t>
      </w:r>
      <w:r w:rsidDel="00000000" w:rsidR="00000000" w:rsidRPr="00000000">
        <w:rPr>
          <w:i w:val="1"/>
          <w:color w:val="222222"/>
          <w:sz w:val="20"/>
          <w:szCs w:val="20"/>
          <w:rtl w:val="0"/>
        </w:rPr>
        <w:t xml:space="preserve">Carcharhinus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analisadas, os forames para a artéria carótida interna se situam ventralmente na placa basal, sendo mediais em relação às fenestras suborbitais (1). Em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R. terraenovae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(grupo externo), esses forames estão posicionados ventrolateralmente, imediatamente abaixo do forame do nervo óptico (II) (0).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 matriz com quatro táxons terminais e 11 caracteres do neurocrânio gerou uma única árvore mais parcimoniosa com 11 passos, índice de consistência de 1.0 (IC) e índice de retenção de 1.0 (IR) (Fig. 1). A árvore resultante indica que as três espécies de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Carcharhinus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são sustentadas por cinco sinapomorfias. Dentre estas pode-se destacar a presença de uma fenestra no nodo rostral (caráter 1:1) e a posição ventral dos forames para a artéria carótida interna (caráter 5:1). Adicionalmente,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C. limbatus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forma um grupo irmão de um clado monofilético incluindo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C. plumbeus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e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C. galapagensis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que é sustentado por uma única sinapomorfia: fenestras nasais obliteradas pelo teto craniano em vista dorsal (caráter 4:0).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jc w:val="cente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</w:rPr>
        <w:drawing>
          <wp:inline distB="114300" distT="114300" distL="114300" distR="114300">
            <wp:extent cx="4271963" cy="1781167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1963" cy="17811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72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Figura 1.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Árvore mais parcimoniosa de relações de parentesco entre três espécies do gênero </w:t>
      </w:r>
      <w:r w:rsidDel="00000000" w:rsidR="00000000" w:rsidRPr="00000000">
        <w:rPr>
          <w:i w:val="1"/>
          <w:color w:val="222222"/>
          <w:sz w:val="20"/>
          <w:szCs w:val="20"/>
          <w:rtl w:val="0"/>
        </w:rPr>
        <w:t xml:space="preserve">Carcharhinus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(L= 11, IC= 1.0, IR= 1.0).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72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Na árvore apresentada por Naylor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et al.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(2012), utilizando caracteres moleculares, as três espécies de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Carcharhinus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analisadas no presente estudo apresentam relações de parentesco indefinidas, formando uma tricotomia. Dessa maneira, os caracteres do neurocrânio levantados aqui apresentam significado filogenético, uma vez que ajudam a resolver a relação de parentesco dessas espécies. Entretanto, um estudo muito mais abrangente incluindo outras espécies de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Carcharhinus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e de Carcharhinidae são necessários para corroborar as relações de parentesco recuperadas aqui.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CONCLUSÕES</w:t>
      </w:r>
    </w:p>
    <w:p w:rsidR="00000000" w:rsidDel="00000000" w:rsidP="00000000" w:rsidRDefault="00000000" w:rsidRPr="00000000" w14:paraId="00000024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Existem caracteres que podem ser extraídos da anatomia comparada do neurocrânio e que possuem significado filogenético para estabelecer relações de parentesco entre representantes do gênero </w:t>
      </w:r>
      <w:r w:rsidDel="00000000" w:rsidR="00000000" w:rsidRPr="00000000">
        <w:rPr>
          <w:i w:val="1"/>
          <w:sz w:val="20"/>
          <w:szCs w:val="20"/>
          <w:rtl w:val="0"/>
        </w:rPr>
        <w:t xml:space="preserve">Carcharhinus</w:t>
      </w:r>
      <w:r w:rsidDel="00000000" w:rsidR="00000000" w:rsidRPr="00000000">
        <w:rPr>
          <w:sz w:val="20"/>
          <w:szCs w:val="20"/>
          <w:rtl w:val="0"/>
        </w:rPr>
        <w:t xml:space="preserve">. Isso é exemplificado pelas homologias primárias propostas que foram testadas em uma análise filogenética e confirmadas como </w:t>
      </w:r>
      <w:r w:rsidDel="00000000" w:rsidR="00000000" w:rsidRPr="00000000">
        <w:rPr>
          <w:sz w:val="20"/>
          <w:szCs w:val="20"/>
          <w:rtl w:val="0"/>
        </w:rPr>
        <w:t xml:space="preserve">homologias</w:t>
      </w:r>
      <w:r w:rsidDel="00000000" w:rsidR="00000000" w:rsidRPr="00000000">
        <w:rPr>
          <w:sz w:val="20"/>
          <w:szCs w:val="20"/>
          <w:rtl w:val="0"/>
        </w:rPr>
        <w:t xml:space="preserve"> secundárias ou sinapomorfias para os táxons analisados. No futuro espera-se expandir o número de táxons terminais analisados assim como aumentar o número de caracteres empregados para propor uma filogenia mais abrangente, robusta e que tenha uma representatividade mais significativa de membros da família Carcharhinidae.</w:t>
      </w:r>
    </w:p>
    <w:p w:rsidR="00000000" w:rsidDel="00000000" w:rsidP="00000000" w:rsidRDefault="00000000" w:rsidRPr="00000000" w14:paraId="00000025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 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Compagno, L.J. 1973. Interrelationships of living elasmobranchs. p. 15−61. In: P.H. Greenwood, C. Patterson, R.S. Miles (Eds.). Interrelationships of fishes. Zoological Journal of the Linnean Society, 53. </w:t>
          </w:r>
        </w:sdtContent>
      </w:sdt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Compagno, L.J. 1977. Phyletic relationships of living sharks and rays. American zoologist, 17(2): 303–322.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Denton, J.S.; J.G Maisey; M. Grace; A. Pradel; M.H. Doosey; H.L. Bart Jr &amp; G.J. Naylor. 2018. Cranial morphology in </w:t>
      </w:r>
      <w:r w:rsidDel="00000000" w:rsidR="00000000" w:rsidRPr="00000000">
        <w:rPr>
          <w:i w:val="1"/>
          <w:sz w:val="20"/>
          <w:szCs w:val="20"/>
          <w:rtl w:val="0"/>
        </w:rPr>
        <w:t xml:space="preserve">Mollisquama</w:t>
      </w:r>
      <w:r w:rsidDel="00000000" w:rsidR="00000000" w:rsidRPr="00000000">
        <w:rPr>
          <w:sz w:val="20"/>
          <w:szCs w:val="20"/>
          <w:rtl w:val="0"/>
        </w:rPr>
        <w:t xml:space="preserve"> sp. (Squaliformes; Dalatiidae) and patterns of cranial evolution in dalatiid sharks. Journal of anatomy, 233(1): 15–32.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Goloboff, P.; J. Farris &amp; K. Nixon. 2008. TNT, a free program for phylogenetic analysis. Cladistics, 24: 774–786.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Maisey, J.G. 1980. An evaluation of jaw suspension in sharks. American Museum Novitates, 2706: 1–17.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Maisey, J.G. 2008. The postorbital palatoquadrate articulation in elasmobranchs. Journal of Morphology, 269(8): 1022–1040.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Naylor, G.J.; J.A. Ryburn; O. Fedrigo &amp; J.A. López. 2005. Phylogenetic relationships among the major lineages of modern elasmobranchs. p. 1–22. In: Hamlett WC (Ed.) Reproductive biology and phylogeny of Chondrichthyes (sharks, skates, stingrays and </w:t>
      </w:r>
      <w:r w:rsidDel="00000000" w:rsidR="00000000" w:rsidRPr="00000000">
        <w:rPr>
          <w:sz w:val="20"/>
          <w:szCs w:val="20"/>
          <w:rtl w:val="0"/>
        </w:rPr>
        <w:t xml:space="preserve">chimaeras</w:t>
      </w:r>
      <w:r w:rsidDel="00000000" w:rsidR="00000000" w:rsidRPr="00000000">
        <w:rPr>
          <w:sz w:val="20"/>
          <w:szCs w:val="20"/>
          <w:rtl w:val="0"/>
        </w:rPr>
        <w:t xml:space="preserve">). Enfield: Science Publishers.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Naylor, G.J.; J.N. Caira; K. Jensen; K.A. Rosana; N. Straube &amp; C. Lakner. 2012. Elasmobranch phylogeny: a mitochondrial estimate based on 595 species. p. 31–56. In: J.C. Carrier, J.A. Musick, M.R. Heithaus (Eds.). Biology of sharks and their relatives. Boca Raton: CRC Press, Second edn. 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Shirai, S. 1992. Squalean phylogeny: a new framework of ‘Squaloid’ sharks and related taxa. Sapporo: Hokkaido University Press.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Shirai, S. 1996. Phylogenetic interrelationships of Neoselachians (Chondrichthyes: Euselachii). p. 9–34. In:  M.L.J. Stiassny, L.R. Parenti, G.D. Johnson (Eds.). Interrelationships of fishes. New York: Academic Press.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Vélez-Zuazo, X. &amp; I. Agnarsson 2011. Shark tales: a molecular species-level phylogeny of sharks (Selachimorpha, Chondrichthyes). Molecular Phylogenetics and Evolution 58: 207–217.</w:t>
      </w:r>
    </w:p>
    <w:p w:rsidR="00000000" w:rsidDel="00000000" w:rsidP="00000000" w:rsidRDefault="00000000" w:rsidRPr="00000000" w14:paraId="000000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25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spacing w:before="708" w:line="240" w:lineRule="auto"/>
      <w:jc w:val="both"/>
      <w:rPr/>
    </w:pPr>
    <w:r w:rsidDel="00000000" w:rsidR="00000000" w:rsidRPr="00000000">
      <w:rPr>
        <w:rFonts w:ascii="Calibri" w:cs="Calibri" w:eastAsia="Calibri" w:hAnsi="Calibri"/>
        <w:color w:val="ffffff"/>
      </w:rPr>
      <w:drawing>
        <wp:inline distB="0" distT="0" distL="114300" distR="114300">
          <wp:extent cx="1776095" cy="798195"/>
          <wp:effectExtent b="0" l="0" r="0" t="0"/>
          <wp:docPr descr="Logo_CORR 1" id="6" name="image2.png"/>
          <a:graphic>
            <a:graphicData uri="http://schemas.openxmlformats.org/drawingml/2006/picture">
              <pic:pic>
                <pic:nvPicPr>
                  <pic:cNvPr descr="Logo_CORR 1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ffffff"/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deemedeiros@gmail.com" TargetMode="External"/><Relationship Id="rId8" Type="http://schemas.openxmlformats.org/officeDocument/2006/relationships/hyperlink" Target="mailto:jpzoologia@dse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EtoY6JvBX6FPyAGu5Vy+ahkrg==">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2023-04-12T17:44:00Z</dcterms:created>
  <dc:creator>jesse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