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2500"/>
        </w:tabs>
        <w:spacing w:after="24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3332661" cy="1650309"/>
            <wp:effectExtent b="0" l="0" r="0" t="0"/>
            <wp:docPr id="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26667" l="2865" r="-2171" t="33993"/>
                    <a:stretch>
                      <a:fillRect/>
                    </a:stretch>
                  </pic:blipFill>
                  <pic:spPr>
                    <a:xfrm>
                      <a:off x="0" y="0"/>
                      <a:ext cx="3332661" cy="16503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PERFIL EPIDEMIOLÓGICO DA DENGUE NA REGIÃO METROPOLITANA DE BELÉM: DADOS DE 2020 A 2025</w:t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2500"/>
        </w:tabs>
        <w:spacing w:line="36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2500"/>
        </w:tabs>
        <w:spacing w:line="360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Agata Castor Leal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; Diana dos Santos Souza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 Euza Maria Silva de Araujo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; Júlia Oliveira  Rasselen da Vera Cruz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; Suzi Renny Ferreira de Sousa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sz w:val="24"/>
          <w:szCs w:val="24"/>
          <w:rtl w:val="0"/>
        </w:rPr>
        <w:t xml:space="preserve"> ; Bruno Yudi Shimomaebara Sousa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 ;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Nelson Veiga Gonçalve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7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2500"/>
        </w:tabs>
        <w:spacing w:line="360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 1 </w:t>
      </w:r>
      <w:r w:rsidDel="00000000" w:rsidR="00000000" w:rsidRPr="00000000">
        <w:rPr>
          <w:sz w:val="24"/>
          <w:szCs w:val="24"/>
          <w:rtl w:val="0"/>
        </w:rPr>
        <w:t xml:space="preserve">Graduanda em Fonoaudiologia pela Universidade do Estado do Pará (UEPA)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1agatacastor@gmail.com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Graduanda em Fonoaudiologia pela Universidade do Estado do Pará (UEPA)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 3 </w:t>
      </w:r>
      <w:r w:rsidDel="00000000" w:rsidR="00000000" w:rsidRPr="00000000">
        <w:rPr>
          <w:sz w:val="24"/>
          <w:szCs w:val="24"/>
          <w:rtl w:val="0"/>
        </w:rPr>
        <w:t xml:space="preserve">Graduanda em Fonoaudiologia pela Universidade do Estado do Pará (UEPA)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4 </w:t>
      </w:r>
      <w:r w:rsidDel="00000000" w:rsidR="00000000" w:rsidRPr="00000000">
        <w:rPr>
          <w:sz w:val="24"/>
          <w:szCs w:val="24"/>
          <w:rtl w:val="0"/>
        </w:rPr>
        <w:t xml:space="preserve">Graduanda em Fonoaudiologia pela Universidade do Estado do Pará (UEPA)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5 </w:t>
      </w:r>
      <w:r w:rsidDel="00000000" w:rsidR="00000000" w:rsidRPr="00000000">
        <w:rPr>
          <w:sz w:val="24"/>
          <w:szCs w:val="24"/>
          <w:rtl w:val="0"/>
        </w:rPr>
        <w:t xml:space="preserve">Graduanda em Fonoaudiologia pela Universidade do Estado do Pará (UEPA)</w:t>
      </w:r>
    </w:p>
    <w:p w:rsidR="00000000" w:rsidDel="00000000" w:rsidP="00000000" w:rsidRDefault="00000000" w:rsidRPr="00000000" w14:paraId="0000000C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6 </w:t>
      </w:r>
      <w:r w:rsidDel="00000000" w:rsidR="00000000" w:rsidRPr="00000000">
        <w:rPr>
          <w:sz w:val="24"/>
          <w:szCs w:val="24"/>
          <w:rtl w:val="0"/>
        </w:rPr>
        <w:t xml:space="preserve">Discente do Programa de Pós Graduação em Saúde Coletiva da Amazônia da Universidade Federal do Pará (UFPA)</w:t>
      </w:r>
    </w:p>
    <w:p w:rsidR="00000000" w:rsidDel="00000000" w:rsidP="00000000" w:rsidRDefault="00000000" w:rsidRPr="00000000" w14:paraId="0000000D">
      <w:pPr>
        <w:widowControl w:val="1"/>
        <w:spacing w:line="276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7 </w:t>
      </w:r>
      <w:r w:rsidDel="00000000" w:rsidR="00000000" w:rsidRPr="00000000">
        <w:rPr>
          <w:sz w:val="24"/>
          <w:szCs w:val="24"/>
          <w:rtl w:val="0"/>
        </w:rPr>
        <w:t xml:space="preserve">Doutor em Ciências da Informação pela Universidade de Brasília (UnB),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500"/>
        </w:tabs>
        <w:spacing w:line="360" w:lineRule="auto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2500"/>
        </w:tabs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2500"/>
        </w:tabs>
        <w:spacing w:after="240" w:line="36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dengue é uma arbovirose de grande relevância epidemiológica e possui ampla propagação em áreas urbanas, como na Região Metropolitana de Belém. Na formulação do problema, observou-se a persistência dos obstáculos para caracterizar os padrões epidemiológicos da dengue na Região Metropolitana de Belém. O estudo justifica-se pela necessidade de compreender a evolução temporal e espacial da doença, identificando períodos, faixa etária e sexo de maior vulnerabilidade, a fim de subsidiar estratégias eficazes de vigilância e controle do vetor. O objetivo é identificar os motivos e indicadores da dengue na região, a fim de contribuir com dados para análises mais profundas. Na construção do estudo, os dados utilizados nesta pesquisa foram obtidos a partir do Sistema de Informação de Agravo de Notificação (SINAN), disponibilizado pelo DATASUS do Ministério da Saúde do Brasil. A coleta considerou as notificações de dengue na Região Metropolitana de Belém, abrangendo o período de 2020 a 2025. Foram selecionadas variáveis relacionadas a município de notificação, faixa etária, sexo e evolução do caso. Como resultado os dados revelam aumento progressivo nos casos de dengue na Região Metropolitana de Belém entre 2020 e 2025, evidenciando um comportamento epidêmico que se intensificou ao passar dos anos. Há destaque para o ano 2024, quando houve um crescimento superior a 690% no número de notificações em relação a 2023. No perfil etário, a faixa entre 20 e 39 anos mostrou maior vulnerabilidade durante o período avaliado, reafirmando a predominância da infecção entre pessoas economicamente ativas. Quanto ao sexo, o feminino apresentou maior incidência na maioria dos casos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Os achados, no aspecto geográfico,  mostram que o município de Belém concentrou o maior volume de notificações, reflexo da densidade populacional e de fatores ambientais favoráveis à proliferação do vetor. As cidades de Ananindeua e Marituba também acompanharam o aumento expressivo de notificações, especialmente em 2024. Em relação à evolução dos casos, a maioria evoluiu para cura, com poucos óbitos registrados. Concluindo, apesar do número de notificações, a gravidade dos casos permaneceu relativamente controlada. Ainda assim, o surto observado em 2024 e a manutenção de índices elevados em 2025 reforçam a necessidade  de intensificação das ações de vigilância, educação em saúde e controle vetorial, visando a prevenção de novos surtos e a proteção da população da região metropolitana de Belém.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2500"/>
        </w:tabs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Dengue.  Epidemiologia. Belém.</w:t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2500"/>
        </w:tabs>
        <w:spacing w:after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Área de interesse: </w:t>
      </w:r>
      <w:r w:rsidDel="00000000" w:rsidR="00000000" w:rsidRPr="00000000">
        <w:rPr>
          <w:sz w:val="24"/>
          <w:szCs w:val="24"/>
          <w:rtl w:val="0"/>
        </w:rPr>
        <w:t xml:space="preserve">Ciências Biológicas e da Saúde.</w:t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2500"/>
        </w:tabs>
        <w:spacing w:after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3332661" cy="1650309"/>
            <wp:effectExtent b="0" l="0" r="0" t="0"/>
            <wp:docPr id="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26667" l="2865" r="-2171" t="33993"/>
                    <a:stretch>
                      <a:fillRect/>
                    </a:stretch>
                  </pic:blipFill>
                  <pic:spPr>
                    <a:xfrm>
                      <a:off x="0" y="0"/>
                      <a:ext cx="3332661" cy="16503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701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b="0" l="0" r="0" t="0"/>
          <wp:wrapSquare wrapText="bothSides" distB="0" distT="0" distL="114300" distR="114300"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b="0" l="0" r="0" t="0"/>
          <wp:wrapSquare wrapText="bothSides" distB="0" distT="0" distL="114300" distR="114300"/>
          <wp:docPr id="1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b="0" l="0" r="0" t="0"/>
          <wp:wrapSquare wrapText="bothSides" distB="0" distT="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81733" t="813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b="0" l="0" r="0" t="0"/>
          <wp:wrapSquare wrapText="bothSides" distB="0" distT="0" distL="114300" distR="114300"/>
          <wp:docPr descr="PROPIT - Unifesspa é contemplada com 68 cotas de bolsas da Fapespa para ..." id="6" name="image8.png"/>
          <a:graphic>
            <a:graphicData uri="http://schemas.openxmlformats.org/drawingml/2006/picture">
              <pic:pic>
                <pic:nvPicPr>
                  <pic:cNvPr descr="PROPIT - Unifesspa é contemplada com 68 cotas de bolsas da Fapespa para ..." id="0" name="image8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b="0" l="0" r="0" t="0"/>
          <wp:wrapSquare wrapText="bothSides" distB="0" distT="0" distL="114300" distR="11430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b="0" l="0" r="0" t="0"/>
          <wp:wrapSquare wrapText="bothSides" distB="0" distT="0" distL="114300" distR="114300"/>
          <wp:docPr id="9" name="image9.png"/>
          <a:graphic>
            <a:graphicData uri="http://schemas.openxmlformats.org/drawingml/2006/picture">
              <pic:pic>
                <pic:nvPicPr>
                  <pic:cNvPr id="0" name="image9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-222881</wp:posOffset>
          </wp:positionH>
          <wp:positionV relativeFrom="paragraph">
            <wp:posOffset>9973945</wp:posOffset>
          </wp:positionV>
          <wp:extent cx="762000" cy="245745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7"/>
                  <a:srcRect b="19098" l="50749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b="0" l="0" r="0" t="0"/>
          <wp:wrapSquare wrapText="bothSides" distB="0" distT="0" distL="114300" distR="114300"/>
          <wp:docPr id="2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b="0" l="0" r="0" t="0"/>
          <wp:wrapSquare wrapText="bothSides" distB="0" distT="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9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hyperlink" Target="mailto:1agatacastor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8.png"/><Relationship Id="rId9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9.png"/><Relationship Id="rId7" Type="http://schemas.openxmlformats.org/officeDocument/2006/relationships/image" Target="media/image1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