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C9458" w14:textId="3E6F794A" w:rsidR="00F65A4D" w:rsidRPr="008D442C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8D442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42C" w:rsidRPr="008D442C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ASSOCIAÇÃO DO USO CONTÍNUO DE </w:t>
      </w:r>
      <w:r w:rsidR="00AD1B3F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INIBIDORES DA BOMBA DE PRÓTONS </w:t>
      </w:r>
      <w:r w:rsidR="008D442C" w:rsidRPr="008D442C">
        <w:rPr>
          <w:rStyle w:val="oypena"/>
          <w:rFonts w:eastAsiaTheme="majorEastAsia"/>
          <w:b/>
          <w:bCs/>
          <w:color w:val="000000"/>
          <w:sz w:val="28"/>
          <w:szCs w:val="28"/>
        </w:rPr>
        <w:t>COM DEMÊNCIA</w:t>
      </w:r>
    </w:p>
    <w:p w14:paraId="1878059F" w14:textId="5477E155" w:rsidR="0095199E" w:rsidRDefault="008D442C" w:rsidP="008D442C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Luiz Felipe Elias de Queiroz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61216F">
          <w:rPr>
            <w:rStyle w:val="Hyperlink"/>
            <w:rFonts w:eastAsiaTheme="majorEastAsia"/>
            <w:sz w:val="20"/>
            <w:szCs w:val="20"/>
          </w:rPr>
          <w:t>luizfelipe10.12@outlook.com</w:t>
        </w:r>
      </w:hyperlink>
      <w:hyperlink r:id="rId8" w:history="1"/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023.365.621-97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5D58B807" w:rsidR="000B7CCC" w:rsidRDefault="008D442C" w:rsidP="008D442C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Ana Carolina Gomes Siqueira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9" w:history="1">
        <w:r w:rsidRPr="0061216F">
          <w:rPr>
            <w:rStyle w:val="Hyperlink"/>
            <w:rFonts w:eastAsiaTheme="majorEastAsia"/>
            <w:sz w:val="20"/>
            <w:szCs w:val="20"/>
          </w:rPr>
          <w:t>anacarolinasiqueirag@gmail.com</w:t>
        </w:r>
      </w:hyperlink>
      <w:hyperlink r:id="rId10" w:history="1"/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CPF (025.818.701-84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7004A4C1" w14:textId="0839AA64" w:rsidR="008D442C" w:rsidRDefault="00D477BC" w:rsidP="00D477BC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Beatriz Oliveira Magalhães Ayres</w:t>
      </w:r>
      <w:r w:rsidR="008D442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8D442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Pr="0061216F">
          <w:rPr>
            <w:rStyle w:val="Hyperlink"/>
            <w:rFonts w:eastAsiaTheme="majorEastAsia"/>
            <w:sz w:val="20"/>
            <w:szCs w:val="20"/>
          </w:rPr>
          <w:t>bomayres15@gmail.com</w:t>
        </w:r>
      </w:hyperlink>
      <w:hyperlink r:id="rId12" w:history="1"/>
      <w:r w:rsidR="008D442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CPF (705.059.541-17</w:t>
      </w:r>
      <w:r w:rsidR="008D442C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48C2C271" w:rsidR="00C2307E" w:rsidRPr="0051004E" w:rsidRDefault="00364214" w:rsidP="0051004E">
      <w:pPr>
        <w:pStyle w:val="cvgsua"/>
        <w:spacing w:before="0" w:beforeAutospacing="0"/>
        <w:jc w:val="center"/>
        <w:rPr>
          <w:rStyle w:val="oypena"/>
          <w:rFonts w:eastAsiaTheme="majorEastAsia"/>
          <w:sz w:val="20"/>
          <w:szCs w:val="20"/>
        </w:rPr>
      </w:pPr>
      <w:r w:rsidRPr="00364214">
        <w:rPr>
          <w:rStyle w:val="oypena"/>
          <w:rFonts w:eastAsiaTheme="majorEastAsia"/>
          <w:color w:val="000000"/>
          <w:sz w:val="20"/>
          <w:szCs w:val="20"/>
        </w:rPr>
        <w:t>Karla Cristina Naves de Carvalho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3" w:history="1">
        <w:r w:rsidR="0051004E" w:rsidRPr="0061216F">
          <w:rPr>
            <w:rStyle w:val="Hyperlink"/>
            <w:rFonts w:eastAsiaTheme="majorEastAsia"/>
            <w:sz w:val="20"/>
            <w:szCs w:val="20"/>
          </w:rPr>
          <w:t>medkarcri@yahoo.com.br</w:t>
        </w:r>
      </w:hyperlink>
      <w:r w:rsidR="0051004E">
        <w:rPr>
          <w:rStyle w:val="oypena"/>
          <w:rFonts w:eastAsiaTheme="majorEastAsia"/>
          <w:color w:val="000000"/>
          <w:sz w:val="20"/>
          <w:szCs w:val="20"/>
        </w:rPr>
        <w:t>, CPF (888.767.301-25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2DC42161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AD1B3F">
        <w:rPr>
          <w:rStyle w:val="oypena"/>
          <w:rFonts w:eastAsiaTheme="majorEastAsia"/>
          <w:color w:val="000000"/>
        </w:rPr>
        <w:t xml:space="preserve"> Os inibidores de bomba de prótons (IBP) são um</w:t>
      </w:r>
      <w:bookmarkStart w:id="0" w:name="_GoBack"/>
      <w:bookmarkEnd w:id="0"/>
      <w:r w:rsidR="00AD1B3F">
        <w:rPr>
          <w:rStyle w:val="oypena"/>
          <w:rFonts w:eastAsiaTheme="majorEastAsia"/>
          <w:color w:val="000000"/>
        </w:rPr>
        <w:t xml:space="preserve">a classe de fármacos, os quais atuam inibindo a atividade da enzima K+/H+ </w:t>
      </w:r>
      <w:proofErr w:type="spellStart"/>
      <w:r w:rsidR="00AD1B3F">
        <w:rPr>
          <w:rStyle w:val="oypena"/>
          <w:rFonts w:eastAsiaTheme="majorEastAsia"/>
          <w:color w:val="000000"/>
        </w:rPr>
        <w:t>ATPase</w:t>
      </w:r>
      <w:proofErr w:type="spellEnd"/>
      <w:r w:rsidR="00AD1B3F">
        <w:rPr>
          <w:rStyle w:val="oypena"/>
          <w:rFonts w:eastAsiaTheme="majorEastAsia"/>
          <w:color w:val="000000"/>
        </w:rPr>
        <w:t xml:space="preserve"> nas células parietais do estômago, que são responsáveis por produzir o ácido clorídrico, dessa forma, ao inibir essa enzima acaba por aumentar o pH estomacal por causa da diminuição da produção do ácido. Por out</w:t>
      </w:r>
      <w:r w:rsidR="00DC20DD">
        <w:rPr>
          <w:rStyle w:val="oypena"/>
          <w:rFonts w:eastAsiaTheme="majorEastAsia"/>
          <w:color w:val="000000"/>
        </w:rPr>
        <w:t xml:space="preserve">ro lado a demência é uma condição de </w:t>
      </w:r>
      <w:r w:rsidR="006F2541">
        <w:rPr>
          <w:rStyle w:val="oypena"/>
          <w:rFonts w:eastAsiaTheme="majorEastAsia"/>
          <w:color w:val="000000"/>
        </w:rPr>
        <w:t>declínio das condições cognitivas, que apresenta diversos fatores de risco</w:t>
      </w:r>
      <w:r w:rsidR="00DC20DD">
        <w:rPr>
          <w:rStyle w:val="oypena"/>
          <w:rFonts w:eastAsiaTheme="majorEastAsia"/>
          <w:color w:val="000000"/>
        </w:rPr>
        <w:t>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>:</w:t>
      </w:r>
      <w:r w:rsidR="00565712">
        <w:rPr>
          <w:rStyle w:val="oypena"/>
          <w:rFonts w:eastAsiaTheme="majorEastAsia"/>
          <w:color w:val="000000"/>
        </w:rPr>
        <w:t xml:space="preserve"> Avaliar a associação</w:t>
      </w:r>
      <w:r w:rsidR="00DC20DD">
        <w:rPr>
          <w:rStyle w:val="oypena"/>
          <w:rFonts w:eastAsiaTheme="majorEastAsia"/>
          <w:color w:val="000000"/>
        </w:rPr>
        <w:t xml:space="preserve"> da</w:t>
      </w:r>
      <w:r w:rsidR="00921226">
        <w:rPr>
          <w:rStyle w:val="oypena"/>
          <w:rFonts w:eastAsiaTheme="majorEastAsia"/>
          <w:color w:val="000000"/>
        </w:rPr>
        <w:t xml:space="preserve"> incidência de demência </w:t>
      </w:r>
      <w:r w:rsidR="00921226">
        <w:rPr>
          <w:rStyle w:val="oypena"/>
          <w:rFonts w:eastAsiaTheme="majorEastAsia"/>
          <w:color w:val="000000"/>
        </w:rPr>
        <w:t>nas pessoas que fazem</w:t>
      </w:r>
      <w:r w:rsidR="00565712">
        <w:rPr>
          <w:rStyle w:val="oypena"/>
          <w:rFonts w:eastAsiaTheme="majorEastAsia"/>
          <w:color w:val="000000"/>
        </w:rPr>
        <w:t xml:space="preserve"> uso contínuo de</w:t>
      </w:r>
      <w:r w:rsidR="006F2541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6F2541">
        <w:rPr>
          <w:rStyle w:val="oypena"/>
          <w:rFonts w:eastAsiaTheme="majorEastAsia"/>
          <w:color w:val="000000"/>
        </w:rPr>
        <w:t>IBPs</w:t>
      </w:r>
      <w:proofErr w:type="spellEnd"/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477BC" w:rsidRPr="00D477BC">
        <w:rPr>
          <w:rFonts w:eastAsiaTheme="majorEastAsia"/>
          <w:color w:val="000000"/>
        </w:rPr>
        <w:t>Configura-se como uma revisão integrativa de literatura, feita com estudos originais, os quais foram selecionados aquele</w:t>
      </w:r>
      <w:r w:rsidR="00DC20DD">
        <w:rPr>
          <w:rFonts w:eastAsiaTheme="majorEastAsia"/>
          <w:color w:val="000000"/>
        </w:rPr>
        <w:t>s publicados entre 2016</w:t>
      </w:r>
      <w:r w:rsidR="00364214">
        <w:rPr>
          <w:rFonts w:eastAsiaTheme="majorEastAsia"/>
          <w:color w:val="000000"/>
        </w:rPr>
        <w:t xml:space="preserve"> até 2023</w:t>
      </w:r>
      <w:r w:rsidR="00D477BC" w:rsidRPr="00D477BC">
        <w:rPr>
          <w:rFonts w:eastAsiaTheme="majorEastAsia"/>
          <w:color w:val="000000"/>
        </w:rPr>
        <w:t xml:space="preserve">. Foi realizado uma busca nas bases de dados </w:t>
      </w:r>
      <w:proofErr w:type="spellStart"/>
      <w:r w:rsidR="00D477BC" w:rsidRPr="00D477BC">
        <w:rPr>
          <w:rFonts w:eastAsiaTheme="majorEastAsia"/>
          <w:color w:val="000000"/>
        </w:rPr>
        <w:t>PubMed</w:t>
      </w:r>
      <w:proofErr w:type="spellEnd"/>
      <w:r w:rsidR="00D477BC" w:rsidRPr="00D477BC">
        <w:rPr>
          <w:rFonts w:eastAsiaTheme="majorEastAsia"/>
          <w:color w:val="000000"/>
        </w:rPr>
        <w:t xml:space="preserve"> (</w:t>
      </w:r>
      <w:proofErr w:type="spellStart"/>
      <w:r w:rsidR="00D477BC" w:rsidRPr="00D477BC">
        <w:rPr>
          <w:rFonts w:eastAsiaTheme="majorEastAsia"/>
          <w:color w:val="000000"/>
        </w:rPr>
        <w:t>Public</w:t>
      </w:r>
      <w:proofErr w:type="spellEnd"/>
      <w:r w:rsidR="00D477BC" w:rsidRPr="00D477BC">
        <w:rPr>
          <w:rFonts w:eastAsiaTheme="majorEastAsia"/>
          <w:color w:val="000000"/>
        </w:rPr>
        <w:t xml:space="preserve"> </w:t>
      </w:r>
      <w:proofErr w:type="spellStart"/>
      <w:r w:rsidR="00D477BC" w:rsidRPr="00D477BC">
        <w:rPr>
          <w:rFonts w:eastAsiaTheme="majorEastAsia"/>
          <w:color w:val="000000"/>
        </w:rPr>
        <w:t>Medline</w:t>
      </w:r>
      <w:proofErr w:type="spellEnd"/>
      <w:r w:rsidR="008D472C">
        <w:rPr>
          <w:rFonts w:eastAsiaTheme="majorEastAsia"/>
          <w:color w:val="000000"/>
        </w:rPr>
        <w:t xml:space="preserve">) </w:t>
      </w:r>
      <w:r w:rsidR="00D477BC" w:rsidRPr="00D477BC">
        <w:rPr>
          <w:rFonts w:eastAsiaTheme="majorEastAsia"/>
          <w:color w:val="000000"/>
        </w:rPr>
        <w:t>e BVS (Biblioteca Virtual em Saúde)</w:t>
      </w:r>
      <w:r w:rsidR="008D472C">
        <w:rPr>
          <w:rFonts w:eastAsiaTheme="majorEastAsia"/>
          <w:color w:val="000000"/>
        </w:rPr>
        <w:t xml:space="preserve"> resultando em</w:t>
      </w:r>
      <w:r w:rsidR="00DC20DD">
        <w:rPr>
          <w:rFonts w:eastAsiaTheme="majorEastAsia"/>
          <w:color w:val="000000"/>
        </w:rPr>
        <w:t xml:space="preserve"> 248 artigos no total</w:t>
      </w:r>
      <w:r w:rsidR="008D472C">
        <w:rPr>
          <w:rFonts w:eastAsiaTheme="majorEastAsia"/>
          <w:color w:val="000000"/>
        </w:rPr>
        <w:t>,</w:t>
      </w:r>
      <w:r w:rsidR="00DC20DD">
        <w:rPr>
          <w:rFonts w:eastAsiaTheme="majorEastAsia"/>
          <w:color w:val="000000"/>
        </w:rPr>
        <w:t xml:space="preserve"> que foram encontrados</w:t>
      </w:r>
      <w:r w:rsidR="00D477BC" w:rsidRPr="00D477BC">
        <w:rPr>
          <w:rFonts w:eastAsiaTheme="majorEastAsia"/>
          <w:color w:val="000000"/>
        </w:rPr>
        <w:t xml:space="preserve"> utilizando </w:t>
      </w:r>
      <w:r w:rsidR="00D477BC">
        <w:rPr>
          <w:rFonts w:eastAsiaTheme="majorEastAsia"/>
          <w:color w:val="000000"/>
        </w:rPr>
        <w:t>o</w:t>
      </w:r>
      <w:r w:rsidR="00D477BC" w:rsidRPr="00D477BC">
        <w:rPr>
          <w:rFonts w:eastAsiaTheme="majorEastAsia"/>
          <w:color w:val="000000"/>
        </w:rPr>
        <w:t xml:space="preserve"> o</w:t>
      </w:r>
      <w:r w:rsidR="00D477BC">
        <w:rPr>
          <w:rFonts w:eastAsiaTheme="majorEastAsia"/>
          <w:color w:val="000000"/>
        </w:rPr>
        <w:t xml:space="preserve">perador </w:t>
      </w:r>
      <w:proofErr w:type="spellStart"/>
      <w:r w:rsidR="00D477BC">
        <w:rPr>
          <w:rFonts w:eastAsiaTheme="majorEastAsia"/>
          <w:color w:val="000000"/>
        </w:rPr>
        <w:t>boleanos</w:t>
      </w:r>
      <w:proofErr w:type="spellEnd"/>
      <w:r w:rsidR="00DC20DD">
        <w:rPr>
          <w:rFonts w:eastAsiaTheme="majorEastAsia"/>
          <w:color w:val="000000"/>
        </w:rPr>
        <w:t xml:space="preserve"> </w:t>
      </w:r>
      <w:r w:rsidR="00D477BC">
        <w:rPr>
          <w:rFonts w:eastAsiaTheme="majorEastAsia"/>
          <w:color w:val="000000"/>
        </w:rPr>
        <w:t>“</w:t>
      </w:r>
      <w:proofErr w:type="spellStart"/>
      <w:r w:rsidR="00D477BC">
        <w:rPr>
          <w:rFonts w:eastAsiaTheme="majorEastAsia"/>
          <w:color w:val="000000"/>
        </w:rPr>
        <w:t>and</w:t>
      </w:r>
      <w:proofErr w:type="spellEnd"/>
      <w:r w:rsidR="00D477BC">
        <w:rPr>
          <w:rFonts w:eastAsiaTheme="majorEastAsia"/>
          <w:color w:val="000000"/>
        </w:rPr>
        <w:t>”</w:t>
      </w:r>
      <w:r w:rsidR="00D477BC" w:rsidRPr="00D477BC">
        <w:rPr>
          <w:rFonts w:eastAsiaTheme="majorEastAsia"/>
          <w:color w:val="000000"/>
        </w:rPr>
        <w:t>, valendo da utilização dos Descritores em Ciência da Saúde (</w:t>
      </w:r>
      <w:proofErr w:type="spellStart"/>
      <w:r w:rsidR="00D477BC" w:rsidRPr="00D477BC">
        <w:rPr>
          <w:rFonts w:eastAsiaTheme="majorEastAsia"/>
          <w:color w:val="000000"/>
        </w:rPr>
        <w:t>DeCS</w:t>
      </w:r>
      <w:proofErr w:type="spellEnd"/>
      <w:r w:rsidR="00D477BC" w:rsidRPr="00D477BC">
        <w:rPr>
          <w:rFonts w:eastAsiaTheme="majorEastAsia"/>
          <w:color w:val="000000"/>
        </w:rPr>
        <w:t>) “</w:t>
      </w:r>
      <w:r w:rsidR="00DC20DD">
        <w:rPr>
          <w:rFonts w:eastAsiaTheme="majorEastAsia"/>
          <w:color w:val="000000"/>
        </w:rPr>
        <w:t>inibidor da bomba de prótons</w:t>
      </w:r>
      <w:r w:rsidR="00D477BC">
        <w:rPr>
          <w:rFonts w:eastAsiaTheme="majorEastAsia"/>
          <w:color w:val="000000"/>
        </w:rPr>
        <w:t>” e “demência</w:t>
      </w:r>
      <w:r w:rsidR="00D477BC" w:rsidRPr="00D477BC">
        <w:rPr>
          <w:rFonts w:eastAsiaTheme="majorEastAsia"/>
          <w:color w:val="000000"/>
        </w:rPr>
        <w:t xml:space="preserve">”, excluindo aqueles estudos que apresentaram </w:t>
      </w:r>
      <w:r w:rsidR="00D477BC">
        <w:rPr>
          <w:rFonts w:eastAsiaTheme="majorEastAsia"/>
          <w:color w:val="000000"/>
        </w:rPr>
        <w:t xml:space="preserve">animais </w:t>
      </w:r>
      <w:r w:rsidR="00D477BC" w:rsidRPr="00D477BC">
        <w:rPr>
          <w:rFonts w:eastAsiaTheme="majorEastAsia"/>
          <w:color w:val="000000"/>
        </w:rPr>
        <w:t>como</w:t>
      </w:r>
      <w:r w:rsidR="00D477BC">
        <w:rPr>
          <w:rFonts w:eastAsiaTheme="majorEastAsia"/>
          <w:color w:val="000000"/>
        </w:rPr>
        <w:t xml:space="preserve"> amostragem, relatos de caso</w:t>
      </w:r>
      <w:r w:rsidR="00D477BC" w:rsidRPr="00D477BC">
        <w:rPr>
          <w:rFonts w:eastAsiaTheme="majorEastAsia"/>
          <w:color w:val="000000"/>
        </w:rPr>
        <w:t>, aqueles que não estavam no período descrito ou que não se relacionavam com o objetivo.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C20DD">
        <w:rPr>
          <w:rStyle w:val="oypena"/>
          <w:rFonts w:eastAsiaTheme="majorEastAsia"/>
          <w:color w:val="000000"/>
        </w:rPr>
        <w:t>Dentr</w:t>
      </w:r>
      <w:r w:rsidR="006F2541">
        <w:rPr>
          <w:rStyle w:val="oypena"/>
          <w:rFonts w:eastAsiaTheme="majorEastAsia"/>
          <w:color w:val="000000"/>
        </w:rPr>
        <w:t xml:space="preserve">e os resultados encontrados, vale ressaltar a discordância entre os estudos, sendo que da mesma forma que o uso </w:t>
      </w:r>
      <w:r w:rsidR="0061298A">
        <w:rPr>
          <w:rStyle w:val="oypena"/>
          <w:rFonts w:eastAsiaTheme="majorEastAsia"/>
          <w:color w:val="000000"/>
        </w:rPr>
        <w:t xml:space="preserve">contínuo </w:t>
      </w:r>
      <w:r w:rsidR="006F2541">
        <w:rPr>
          <w:rStyle w:val="oypena"/>
          <w:rFonts w:eastAsiaTheme="majorEastAsia"/>
          <w:color w:val="000000"/>
        </w:rPr>
        <w:t xml:space="preserve">dos </w:t>
      </w:r>
      <w:proofErr w:type="spellStart"/>
      <w:r w:rsidR="006F2541">
        <w:rPr>
          <w:rStyle w:val="oypena"/>
          <w:rFonts w:eastAsiaTheme="majorEastAsia"/>
          <w:color w:val="000000"/>
        </w:rPr>
        <w:t>IBPs</w:t>
      </w:r>
      <w:proofErr w:type="spellEnd"/>
      <w:r w:rsidR="0061298A">
        <w:rPr>
          <w:rStyle w:val="oypena"/>
          <w:rFonts w:eastAsiaTheme="majorEastAsia"/>
          <w:color w:val="000000"/>
        </w:rPr>
        <w:t xml:space="preserve"> por mais de 7 anos</w:t>
      </w:r>
      <w:r w:rsidR="006F2541">
        <w:rPr>
          <w:rStyle w:val="oypena"/>
          <w:rFonts w:eastAsiaTheme="majorEastAsia"/>
          <w:color w:val="000000"/>
        </w:rPr>
        <w:t xml:space="preserve"> foi associado com um aumento de casos de demência e </w:t>
      </w:r>
      <w:r w:rsidR="0061298A">
        <w:rPr>
          <w:rStyle w:val="oypena"/>
          <w:rFonts w:eastAsiaTheme="majorEastAsia"/>
          <w:color w:val="000000"/>
        </w:rPr>
        <w:t xml:space="preserve">outras doenças como Alzheimer, outro estudo acompanhou por 6 anos e não obteve uma diferença significativa entre os usuários de </w:t>
      </w:r>
      <w:proofErr w:type="spellStart"/>
      <w:r w:rsidR="0061298A">
        <w:rPr>
          <w:rStyle w:val="oypena"/>
          <w:rFonts w:eastAsiaTheme="majorEastAsia"/>
          <w:color w:val="000000"/>
        </w:rPr>
        <w:t>IBPs</w:t>
      </w:r>
      <w:proofErr w:type="spellEnd"/>
      <w:r w:rsidR="0061298A">
        <w:rPr>
          <w:rStyle w:val="oypena"/>
          <w:rFonts w:eastAsiaTheme="majorEastAsia"/>
          <w:color w:val="000000"/>
        </w:rPr>
        <w:t xml:space="preserve"> e aqueles que não faziam uso.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9D116D">
        <w:rPr>
          <w:rStyle w:val="oypena"/>
          <w:rFonts w:eastAsiaTheme="majorEastAsia"/>
          <w:color w:val="000000"/>
        </w:rPr>
        <w:t>Através da discordância dos artigos, não se pode afirmar uma maior inc</w:t>
      </w:r>
      <w:r w:rsidR="00364214">
        <w:rPr>
          <w:rStyle w:val="oypena"/>
          <w:rFonts w:eastAsiaTheme="majorEastAsia"/>
          <w:color w:val="000000"/>
        </w:rPr>
        <w:t xml:space="preserve">idência de demência causada pelo uso contínuo de </w:t>
      </w:r>
      <w:proofErr w:type="spellStart"/>
      <w:r w:rsidR="00364214">
        <w:rPr>
          <w:rStyle w:val="oypena"/>
          <w:rFonts w:eastAsiaTheme="majorEastAsia"/>
          <w:color w:val="000000"/>
        </w:rPr>
        <w:t>IBPs</w:t>
      </w:r>
      <w:proofErr w:type="spellEnd"/>
      <w:r w:rsidR="00364214">
        <w:rPr>
          <w:rStyle w:val="oypena"/>
          <w:rFonts w:eastAsiaTheme="majorEastAsia"/>
          <w:color w:val="000000"/>
        </w:rPr>
        <w:t xml:space="preserve"> e pode estar relacionado com outros fatores de risco, além da geração do fármaco e do tempo de uso. 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62287DE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="006F254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15065D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Demência; </w:t>
      </w:r>
      <w:r w:rsidR="006F254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Inibidor da bomb</w:t>
      </w:r>
      <w:r w:rsidR="002E650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 de prótons; Uso contínuo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1A5E0331" w:rsidR="0086151B" w:rsidRPr="005474FB" w:rsidRDefault="00364214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214">
        <w:rPr>
          <w:rFonts w:ascii="Times New Roman" w:hAnsi="Times New Roman" w:cs="Times New Roman"/>
          <w:sz w:val="24"/>
          <w:szCs w:val="24"/>
        </w:rPr>
        <w:t xml:space="preserve">GOMM, W. et al.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Proton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Pump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Inhibitors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. JAMA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Neurology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. 73, n. 4, p. 410, 1 abr. 2016</w:t>
      </w:r>
      <w:r w:rsidR="00542A09" w:rsidRPr="005474FB">
        <w:rPr>
          <w:rFonts w:ascii="Times New Roman" w:hAnsi="Times New Roman" w:cs="Times New Roman"/>
          <w:sz w:val="24"/>
          <w:szCs w:val="24"/>
        </w:rPr>
        <w:t>;</w:t>
      </w:r>
    </w:p>
    <w:p w14:paraId="720C8C83" w14:textId="606DD878" w:rsidR="006A4FD9" w:rsidRPr="005474FB" w:rsidRDefault="00364214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214">
        <w:rPr>
          <w:rFonts w:ascii="Times New Roman" w:hAnsi="Times New Roman" w:cs="Times New Roman"/>
          <w:sz w:val="24"/>
          <w:szCs w:val="24"/>
        </w:rPr>
        <w:t xml:space="preserve">MEHTA, R. S. et al.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Proton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Pump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Inhibitor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Incident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Decline in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Gastroenterology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>, v. 165,</w:t>
      </w:r>
      <w:r>
        <w:rPr>
          <w:rFonts w:ascii="Times New Roman" w:hAnsi="Times New Roman" w:cs="Times New Roman"/>
          <w:sz w:val="24"/>
          <w:szCs w:val="24"/>
        </w:rPr>
        <w:t xml:space="preserve"> n. 3, p. 564-572.e1, set. 2023</w:t>
      </w:r>
      <w:r w:rsidR="00542A09" w:rsidRPr="005474FB">
        <w:rPr>
          <w:rFonts w:ascii="Times New Roman" w:hAnsi="Times New Roman" w:cs="Times New Roman"/>
          <w:sz w:val="24"/>
          <w:szCs w:val="24"/>
        </w:rPr>
        <w:t>;</w:t>
      </w:r>
    </w:p>
    <w:p w14:paraId="4F8C92A3" w14:textId="417B07FF" w:rsidR="006A4FD9" w:rsidRPr="005474FB" w:rsidRDefault="00364214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214">
        <w:rPr>
          <w:rFonts w:ascii="Times New Roman" w:hAnsi="Times New Roman" w:cs="Times New Roman"/>
          <w:sz w:val="24"/>
          <w:szCs w:val="24"/>
        </w:rPr>
        <w:t xml:space="preserve">NELSAN POURHADI et al.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Proton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pump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inhibitors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nationwide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population‐based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Alzheimer’s</w:t>
      </w:r>
      <w:proofErr w:type="spellEnd"/>
      <w:r w:rsidRPr="0036421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64214">
        <w:rPr>
          <w:rFonts w:ascii="Times New Roman" w:hAnsi="Times New Roman" w:cs="Times New Roman"/>
          <w:sz w:val="24"/>
          <w:szCs w:val="24"/>
        </w:rPr>
        <w:t>Dem</w:t>
      </w:r>
      <w:r>
        <w:rPr>
          <w:rFonts w:ascii="Times New Roman" w:hAnsi="Times New Roman" w:cs="Times New Roman"/>
          <w:sz w:val="24"/>
          <w:szCs w:val="24"/>
        </w:rPr>
        <w:t>entia</w:t>
      </w:r>
      <w:proofErr w:type="spellEnd"/>
      <w:r>
        <w:rPr>
          <w:rFonts w:ascii="Times New Roman" w:hAnsi="Times New Roman" w:cs="Times New Roman"/>
          <w:sz w:val="24"/>
          <w:szCs w:val="24"/>
        </w:rPr>
        <w:t>, v. 20, n. 2, 5 out. 2023</w:t>
      </w:r>
      <w:r w:rsidR="00542A09" w:rsidRPr="005474FB">
        <w:rPr>
          <w:rFonts w:ascii="Times New Roman" w:hAnsi="Times New Roman" w:cs="Times New Roman"/>
          <w:sz w:val="24"/>
          <w:szCs w:val="24"/>
        </w:rPr>
        <w:t>;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08FF2" w14:textId="77777777" w:rsidR="00987122" w:rsidRDefault="00987122" w:rsidP="00F65A4D">
      <w:pPr>
        <w:spacing w:after="0" w:line="240" w:lineRule="auto"/>
      </w:pPr>
      <w:r>
        <w:separator/>
      </w:r>
    </w:p>
  </w:endnote>
  <w:endnote w:type="continuationSeparator" w:id="0">
    <w:p w14:paraId="0A3AA078" w14:textId="77777777" w:rsidR="00987122" w:rsidRDefault="00987122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9A4F1" w14:textId="77777777" w:rsidR="00987122" w:rsidRDefault="00987122" w:rsidP="00F65A4D">
      <w:pPr>
        <w:spacing w:after="0" w:line="240" w:lineRule="auto"/>
      </w:pPr>
      <w:r>
        <w:separator/>
      </w:r>
    </w:p>
  </w:footnote>
  <w:footnote w:type="continuationSeparator" w:id="0">
    <w:p w14:paraId="3F8A9CAB" w14:textId="77777777" w:rsidR="00987122" w:rsidRDefault="00987122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3237A"/>
    <w:rsid w:val="00040610"/>
    <w:rsid w:val="00050D27"/>
    <w:rsid w:val="00055156"/>
    <w:rsid w:val="000B7CCC"/>
    <w:rsid w:val="000E1963"/>
    <w:rsid w:val="0015065D"/>
    <w:rsid w:val="001C18DA"/>
    <w:rsid w:val="00217E1A"/>
    <w:rsid w:val="0025714E"/>
    <w:rsid w:val="0029122E"/>
    <w:rsid w:val="002B0246"/>
    <w:rsid w:val="002E6509"/>
    <w:rsid w:val="00364214"/>
    <w:rsid w:val="003A1923"/>
    <w:rsid w:val="004409FC"/>
    <w:rsid w:val="004428B6"/>
    <w:rsid w:val="004737CC"/>
    <w:rsid w:val="0049426E"/>
    <w:rsid w:val="004F4DD4"/>
    <w:rsid w:val="0051004E"/>
    <w:rsid w:val="005121D3"/>
    <w:rsid w:val="00542A09"/>
    <w:rsid w:val="005474FB"/>
    <w:rsid w:val="00563162"/>
    <w:rsid w:val="00564F2F"/>
    <w:rsid w:val="00565712"/>
    <w:rsid w:val="005C547E"/>
    <w:rsid w:val="0061298A"/>
    <w:rsid w:val="006A4FD9"/>
    <w:rsid w:val="006B6404"/>
    <w:rsid w:val="006F2541"/>
    <w:rsid w:val="0084760F"/>
    <w:rsid w:val="0086151B"/>
    <w:rsid w:val="008B7D47"/>
    <w:rsid w:val="008D442C"/>
    <w:rsid w:val="008D472C"/>
    <w:rsid w:val="009020E3"/>
    <w:rsid w:val="00921226"/>
    <w:rsid w:val="0095199E"/>
    <w:rsid w:val="00987122"/>
    <w:rsid w:val="009D116D"/>
    <w:rsid w:val="00A0680A"/>
    <w:rsid w:val="00A33748"/>
    <w:rsid w:val="00A841FE"/>
    <w:rsid w:val="00AB6577"/>
    <w:rsid w:val="00AD1B3F"/>
    <w:rsid w:val="00AE1048"/>
    <w:rsid w:val="00B273E8"/>
    <w:rsid w:val="00BB3DB0"/>
    <w:rsid w:val="00BD6FBA"/>
    <w:rsid w:val="00BE4B82"/>
    <w:rsid w:val="00C2307E"/>
    <w:rsid w:val="00C53C6C"/>
    <w:rsid w:val="00D477BC"/>
    <w:rsid w:val="00DC20DD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gmail.com" TargetMode="External"/><Relationship Id="rId13" Type="http://schemas.openxmlformats.org/officeDocument/2006/relationships/hyperlink" Target="mailto:medkarcri@yahoo.com.br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uizfelipe10.12@outlook.com" TargetMode="External"/><Relationship Id="rId12" Type="http://schemas.openxmlformats.org/officeDocument/2006/relationships/hyperlink" Target="mailto:e-mail@gmail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bomayres15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e-mail@g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anacarolinasiqueirag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DELL</cp:lastModifiedBy>
  <cp:revision>5</cp:revision>
  <dcterms:created xsi:type="dcterms:W3CDTF">2024-08-01T11:56:00Z</dcterms:created>
  <dcterms:modified xsi:type="dcterms:W3CDTF">2024-08-02T18:53:00Z</dcterms:modified>
</cp:coreProperties>
</file>