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53470" w14:textId="271E2EEA" w:rsidR="00BD681A" w:rsidRDefault="002222BD" w:rsidP="00A56042">
      <w:pPr>
        <w:spacing w:line="240" w:lineRule="auto"/>
        <w:contextualSpacing w:val="0"/>
        <w:jc w:val="center"/>
        <w:rPr>
          <w:sz w:val="24"/>
          <w:szCs w:val="24"/>
        </w:rPr>
      </w:pPr>
      <w:r w:rsidRPr="00104012">
        <w:rPr>
          <w:sz w:val="24"/>
          <w:szCs w:val="24"/>
        </w:rPr>
        <w:t xml:space="preserve">Avaliação sobre os serviços de alimentação na cidade de Fortaleza (CE) afim de obter conhecimento acerca do grau de instrução dos funcionários em relação à presença ou ausência de </w:t>
      </w:r>
      <w:r w:rsidR="00104012">
        <w:rPr>
          <w:sz w:val="24"/>
          <w:szCs w:val="24"/>
        </w:rPr>
        <w:t>glúten nos alimentos fornecidos</w:t>
      </w:r>
    </w:p>
    <w:p w14:paraId="3A16E27F" w14:textId="77777777" w:rsidR="009D4AE7" w:rsidRPr="00104012" w:rsidRDefault="009D4AE7" w:rsidP="00A56042">
      <w:pPr>
        <w:spacing w:line="240" w:lineRule="auto"/>
        <w:contextualSpacing w:val="0"/>
        <w:jc w:val="center"/>
        <w:rPr>
          <w:color w:val="FF0000"/>
          <w:sz w:val="24"/>
          <w:szCs w:val="24"/>
        </w:rPr>
      </w:pPr>
    </w:p>
    <w:p w14:paraId="75698028" w14:textId="1AFBE2BA" w:rsidR="00BD681A" w:rsidRPr="00104012" w:rsidRDefault="00A11CC8" w:rsidP="00A56042">
      <w:pPr>
        <w:spacing w:line="240" w:lineRule="auto"/>
        <w:contextualSpacing w:val="0"/>
        <w:jc w:val="center"/>
        <w:rPr>
          <w:rFonts w:eastAsia="Times New Roman"/>
        </w:rPr>
      </w:pPr>
      <w:r w:rsidRPr="00104012">
        <w:rPr>
          <w:rFonts w:eastAsia="Times New Roman"/>
        </w:rPr>
        <w:t>Ilana das Neves Barbosa</w:t>
      </w:r>
      <w:r w:rsidR="000E3CB6" w:rsidRPr="00104012">
        <w:rPr>
          <w:rFonts w:eastAsia="Times New Roman"/>
          <w:vertAlign w:val="superscript"/>
        </w:rPr>
        <w:t>1</w:t>
      </w:r>
      <w:r w:rsidR="002222BD" w:rsidRPr="00104012">
        <w:rPr>
          <w:rFonts w:eastAsia="Times New Roman"/>
        </w:rPr>
        <w:t xml:space="preserve">, </w:t>
      </w:r>
      <w:r w:rsidRPr="00104012">
        <w:rPr>
          <w:rFonts w:eastAsia="Times New Roman"/>
        </w:rPr>
        <w:t>Lucas Braga Rodrigues</w:t>
      </w:r>
      <w:r w:rsidR="000E3CB6" w:rsidRPr="00104012">
        <w:rPr>
          <w:rFonts w:eastAsia="Times New Roman"/>
          <w:vertAlign w:val="superscript"/>
        </w:rPr>
        <w:t>2</w:t>
      </w:r>
    </w:p>
    <w:p w14:paraId="6B6665B5" w14:textId="77777777" w:rsidR="00BD681A" w:rsidRPr="00104012" w:rsidRDefault="000E3CB6" w:rsidP="00A56042">
      <w:pPr>
        <w:spacing w:line="240" w:lineRule="auto"/>
        <w:contextualSpacing w:val="0"/>
        <w:jc w:val="center"/>
        <w:rPr>
          <w:rFonts w:eastAsia="Times New Roman"/>
          <w:highlight w:val="white"/>
          <w:vertAlign w:val="superscript"/>
        </w:rPr>
      </w:pPr>
      <w:r w:rsidRPr="00104012">
        <w:rPr>
          <w:rFonts w:eastAsia="Times New Roman"/>
          <w:highlight w:val="white"/>
          <w:vertAlign w:val="superscript"/>
        </w:rPr>
        <w:t xml:space="preserve"> </w:t>
      </w:r>
    </w:p>
    <w:p w14:paraId="158ED036" w14:textId="430A5BE0" w:rsidR="00A11CC8" w:rsidRPr="00104012" w:rsidRDefault="000E3CB6" w:rsidP="004371B4">
      <w:pPr>
        <w:spacing w:line="240" w:lineRule="auto"/>
        <w:contextualSpacing w:val="0"/>
        <w:jc w:val="both"/>
        <w:rPr>
          <w:rFonts w:eastAsia="Times New Roman"/>
          <w:highlight w:val="white"/>
        </w:rPr>
      </w:pPr>
      <w:r w:rsidRPr="00104012">
        <w:rPr>
          <w:rFonts w:eastAsia="Times New Roman"/>
          <w:highlight w:val="white"/>
          <w:vertAlign w:val="superscript"/>
        </w:rPr>
        <w:t>1</w:t>
      </w:r>
      <w:r w:rsidR="002F7C82" w:rsidRPr="00104012">
        <w:rPr>
          <w:rFonts w:eastAsia="Times New Roman"/>
          <w:highlight w:val="white"/>
        </w:rPr>
        <w:t>Curso de Gastronomia, Instituto de Cultura e Arte, Universidade Federal do Ceará</w:t>
      </w:r>
      <w:r w:rsidR="0026030C" w:rsidRPr="00104012">
        <w:rPr>
          <w:rFonts w:eastAsia="Times New Roman"/>
          <w:highlight w:val="white"/>
        </w:rPr>
        <w:t xml:space="preserve">, </w:t>
      </w:r>
      <w:r w:rsidR="00104012" w:rsidRPr="00104012">
        <w:rPr>
          <w:rFonts w:eastAsia="Times New Roman"/>
          <w:highlight w:val="white"/>
        </w:rPr>
        <w:t>e-mail</w:t>
      </w:r>
      <w:r w:rsidR="0026030C" w:rsidRPr="00104012">
        <w:rPr>
          <w:rFonts w:eastAsia="Times New Roman"/>
          <w:highlight w:val="white"/>
        </w:rPr>
        <w:t>:</w:t>
      </w:r>
      <w:r w:rsidR="00A11CC8" w:rsidRPr="00104012">
        <w:rPr>
          <w:rFonts w:eastAsia="Times New Roman"/>
          <w:highlight w:val="white"/>
        </w:rPr>
        <w:t xml:space="preserve"> </w:t>
      </w:r>
      <w:hyperlink r:id="rId5" w:history="1">
        <w:r w:rsidR="00104012" w:rsidRPr="00D61335">
          <w:rPr>
            <w:rStyle w:val="Hyperlink"/>
            <w:rFonts w:eastAsia="Times New Roman"/>
            <w:highlight w:val="white"/>
          </w:rPr>
          <w:t>ilananevess_@hotmail.com</w:t>
        </w:r>
      </w:hyperlink>
      <w:r w:rsidR="00104012">
        <w:rPr>
          <w:rFonts w:eastAsia="Times New Roman"/>
          <w:highlight w:val="white"/>
        </w:rPr>
        <w:t xml:space="preserve"> </w:t>
      </w:r>
    </w:p>
    <w:p w14:paraId="2F4792F3" w14:textId="04DDAA4F" w:rsidR="00BD681A" w:rsidRPr="00104012" w:rsidRDefault="000E3CB6" w:rsidP="004371B4">
      <w:pPr>
        <w:spacing w:line="240" w:lineRule="auto"/>
        <w:contextualSpacing w:val="0"/>
        <w:jc w:val="both"/>
        <w:rPr>
          <w:rFonts w:eastAsia="Times New Roman"/>
          <w:highlight w:val="white"/>
        </w:rPr>
      </w:pPr>
      <w:r w:rsidRPr="00104012">
        <w:rPr>
          <w:rFonts w:eastAsia="Times New Roman"/>
          <w:highlight w:val="white"/>
          <w:vertAlign w:val="superscript"/>
        </w:rPr>
        <w:t>2</w:t>
      </w:r>
      <w:r w:rsidRPr="00104012">
        <w:rPr>
          <w:rFonts w:eastAsia="Times New Roman"/>
          <w:highlight w:val="white"/>
        </w:rPr>
        <w:t>Curso de Gastronomia, Instituto de Cultura e Arte, Universidade Federal do Ceará</w:t>
      </w:r>
    </w:p>
    <w:p w14:paraId="67DD3B4F" w14:textId="77777777" w:rsidR="00BD681A" w:rsidRPr="009D4AE7" w:rsidRDefault="000E3CB6" w:rsidP="004371B4">
      <w:pPr>
        <w:spacing w:line="240" w:lineRule="auto"/>
        <w:ind w:right="-40"/>
        <w:contextualSpacing w:val="0"/>
        <w:rPr>
          <w:rFonts w:eastAsia="Times New Roman"/>
          <w:highlight w:val="white"/>
        </w:rPr>
      </w:pPr>
      <w:r w:rsidRPr="00104012">
        <w:rPr>
          <w:rFonts w:eastAsia="Times New Roman"/>
          <w:highlight w:val="white"/>
        </w:rPr>
        <w:t xml:space="preserve"> </w:t>
      </w:r>
    </w:p>
    <w:p w14:paraId="049B35E0" w14:textId="38B7EB35" w:rsidR="00BD681A" w:rsidRPr="00104012" w:rsidRDefault="000E3CB6" w:rsidP="004371B4">
      <w:pPr>
        <w:spacing w:line="240" w:lineRule="auto"/>
        <w:contextualSpacing w:val="0"/>
        <w:rPr>
          <w:rFonts w:eastAsia="Times New Roman"/>
        </w:rPr>
      </w:pPr>
      <w:r w:rsidRPr="00104012">
        <w:rPr>
          <w:rFonts w:eastAsia="Times New Roman"/>
          <w:i/>
        </w:rPr>
        <w:t xml:space="preserve"> </w:t>
      </w:r>
      <w:r w:rsidR="00FE3FD5" w:rsidRPr="00104012">
        <w:rPr>
          <w:rFonts w:eastAsia="Times New Roman"/>
          <w:b/>
        </w:rPr>
        <w:t>Palavras-chave</w:t>
      </w:r>
      <w:r w:rsidRPr="00104012">
        <w:rPr>
          <w:rFonts w:eastAsia="Times New Roman"/>
          <w:b/>
        </w:rPr>
        <w:t>:</w:t>
      </w:r>
      <w:r w:rsidR="00FE3FD5" w:rsidRPr="00104012">
        <w:t xml:space="preserve"> </w:t>
      </w:r>
      <w:r w:rsidR="00A11CC8" w:rsidRPr="00104012">
        <w:t xml:space="preserve">serviços de </w:t>
      </w:r>
      <w:r w:rsidR="00FE3FD5" w:rsidRPr="00104012">
        <w:t>alimentação</w:t>
      </w:r>
      <w:r w:rsidR="00FE3FD5" w:rsidRPr="00104012">
        <w:rPr>
          <w:rFonts w:eastAsia="Times New Roman"/>
        </w:rPr>
        <w:t>, glúten, doença celíaca</w:t>
      </w:r>
      <w:r w:rsidRPr="00104012">
        <w:rPr>
          <w:rFonts w:eastAsia="Times New Roman"/>
        </w:rPr>
        <w:t>.</w:t>
      </w:r>
    </w:p>
    <w:p w14:paraId="516E8F4A" w14:textId="77777777" w:rsidR="00BD681A" w:rsidRPr="00104012" w:rsidRDefault="00BD681A" w:rsidP="004371B4">
      <w:pPr>
        <w:spacing w:line="240" w:lineRule="auto"/>
        <w:contextualSpacing w:val="0"/>
        <w:rPr>
          <w:rFonts w:eastAsia="Times New Roman"/>
        </w:rPr>
      </w:pPr>
    </w:p>
    <w:p w14:paraId="197BFD93" w14:textId="77777777" w:rsidR="00BD681A" w:rsidRPr="00104012" w:rsidRDefault="00BD681A" w:rsidP="004371B4">
      <w:pPr>
        <w:spacing w:line="240" w:lineRule="auto"/>
        <w:contextualSpacing w:val="0"/>
        <w:rPr>
          <w:rFonts w:eastAsia="Times New Roman"/>
        </w:rPr>
        <w:sectPr w:rsidR="00BD681A" w:rsidRPr="00104012">
          <w:pgSz w:w="11909" w:h="16834"/>
          <w:pgMar w:top="1440" w:right="1440" w:bottom="1440" w:left="1440" w:header="0" w:footer="720" w:gutter="0"/>
          <w:pgNumType w:start="1"/>
          <w:cols w:space="720"/>
        </w:sectPr>
      </w:pPr>
    </w:p>
    <w:p w14:paraId="44BBB543" w14:textId="77777777" w:rsidR="00BD681A" w:rsidRPr="00104012" w:rsidRDefault="000E3CB6" w:rsidP="004371B4">
      <w:pPr>
        <w:spacing w:line="240" w:lineRule="auto"/>
        <w:contextualSpacing w:val="0"/>
        <w:rPr>
          <w:rFonts w:eastAsia="Times New Roman"/>
          <w:b/>
          <w:sz w:val="16"/>
          <w:szCs w:val="16"/>
        </w:rPr>
      </w:pPr>
      <w:r w:rsidRPr="00104012">
        <w:rPr>
          <w:rFonts w:eastAsia="Times New Roman"/>
          <w:b/>
          <w:sz w:val="16"/>
          <w:szCs w:val="16"/>
        </w:rPr>
        <w:t>INTRODUÇÃO</w:t>
      </w:r>
      <w:bookmarkStart w:id="0" w:name="_GoBack"/>
      <w:bookmarkEnd w:id="0"/>
    </w:p>
    <w:p w14:paraId="49066717" w14:textId="77777777" w:rsidR="006B0C13" w:rsidRPr="00104012" w:rsidRDefault="006B0C13" w:rsidP="00166542">
      <w:pPr>
        <w:spacing w:line="240" w:lineRule="auto"/>
        <w:contextualSpacing w:val="0"/>
        <w:rPr>
          <w:rFonts w:eastAsia="Times New Roman"/>
          <w:b/>
          <w:sz w:val="16"/>
          <w:szCs w:val="16"/>
        </w:rPr>
      </w:pPr>
    </w:p>
    <w:p w14:paraId="2DB0BF79" w14:textId="77777777" w:rsidR="00A56042" w:rsidRDefault="00CA242B" w:rsidP="00166542">
      <w:pPr>
        <w:spacing w:line="240" w:lineRule="auto"/>
        <w:ind w:left="-17" w:firstLine="851"/>
        <w:jc w:val="both"/>
        <w:rPr>
          <w:sz w:val="16"/>
          <w:vertAlign w:val="superscript"/>
        </w:rPr>
      </w:pPr>
      <w:r w:rsidRPr="00104012">
        <w:rPr>
          <w:sz w:val="16"/>
        </w:rPr>
        <w:t>A Doença Celíaca (DC) é uma doença autoimune desencadeada pela ingestão de cereais que contêm glúten por indivíduos geneticamente predispostos. Além do consumo do glúten e da suscetibilidade genética, é também necessária a presença de fatores imunológicos e ambientais para que a doença se expresse</w:t>
      </w:r>
      <w:r w:rsidR="00741BA0" w:rsidRPr="00104012">
        <w:rPr>
          <w:sz w:val="16"/>
          <w:vertAlign w:val="superscript"/>
        </w:rPr>
        <w:t xml:space="preserve"> </w:t>
      </w:r>
      <w:r w:rsidR="00741BA0" w:rsidRPr="00104012">
        <w:rPr>
          <w:sz w:val="16"/>
        </w:rPr>
        <w:t xml:space="preserve">(1). </w:t>
      </w:r>
      <w:r w:rsidR="004D55AA" w:rsidRPr="00104012">
        <w:rPr>
          <w:sz w:val="16"/>
        </w:rPr>
        <w:t>M</w:t>
      </w:r>
      <w:r w:rsidRPr="00104012">
        <w:rPr>
          <w:sz w:val="16"/>
        </w:rPr>
        <w:t>undialmente é considerada problema de saúde pública devido à sua prevalência, à frequente associação com morbidade variável e não específica e à probabilidade de aparecimento de complicações graves, principalmente osteoporose e doenças m</w:t>
      </w:r>
      <w:r w:rsidR="00741BA0" w:rsidRPr="00104012">
        <w:rPr>
          <w:sz w:val="16"/>
        </w:rPr>
        <w:t>alignas do trato gastroentérico (2).</w:t>
      </w:r>
    </w:p>
    <w:p w14:paraId="56F9F69B" w14:textId="70AE4864" w:rsidR="00CA242B" w:rsidRPr="00104012" w:rsidRDefault="00CA242B" w:rsidP="00166542">
      <w:pPr>
        <w:spacing w:line="240" w:lineRule="auto"/>
        <w:ind w:left="-17" w:firstLine="851"/>
        <w:jc w:val="both"/>
        <w:rPr>
          <w:sz w:val="16"/>
          <w:vertAlign w:val="superscript"/>
        </w:rPr>
      </w:pPr>
      <w:r w:rsidRPr="00104012">
        <w:rPr>
          <w:sz w:val="16"/>
        </w:rPr>
        <w:t xml:space="preserve">O tratamento desta doença que por muitos é desconhecida, é fundamentalmente dietético, basicamente consistindo na dieta onde se exclui o glúten de toda e </w:t>
      </w:r>
      <w:r w:rsidR="00741BA0" w:rsidRPr="00104012">
        <w:rPr>
          <w:sz w:val="16"/>
        </w:rPr>
        <w:t>qualquer refeição cotidiana do c</w:t>
      </w:r>
      <w:r w:rsidRPr="00104012">
        <w:rPr>
          <w:sz w:val="16"/>
        </w:rPr>
        <w:t>elíaco, desta forma seguindo-se uma alimentação muitas vezes rigorosa, regulada e equilibrada onde se requer atenção constantemente. O glúten, presente nos cereais trigo, centeio, cevada e aveia, deve ser substituído pelo milho, arroz, batata e mandioca, sendo considerados alimentos permitidos os grãos, gorduras, óleos e azeites, legumes, hortaliças, frutas, ovos, carnes e leite, lembrando sempre que a dieta deverá atender às necessidades nutricionais de ac</w:t>
      </w:r>
      <w:r w:rsidR="00741BA0" w:rsidRPr="00104012">
        <w:rPr>
          <w:sz w:val="16"/>
        </w:rPr>
        <w:t>ordo com a idade do indivíduo (3).</w:t>
      </w:r>
      <w:r w:rsidR="00FE3FD5" w:rsidRPr="00104012">
        <w:rPr>
          <w:sz w:val="16"/>
          <w:vertAlign w:val="superscript"/>
        </w:rPr>
        <w:t xml:space="preserve"> </w:t>
      </w:r>
      <w:r w:rsidRPr="00104012">
        <w:rPr>
          <w:sz w:val="16"/>
        </w:rPr>
        <w:t xml:space="preserve">Vale evocar também o fato de que muitos confundem “alergia” e “intolerância”, o que é um equívoco, pois há diferença entre os dois termos. </w:t>
      </w:r>
      <w:r w:rsidR="002222BD" w:rsidRPr="00104012">
        <w:rPr>
          <w:sz w:val="16"/>
        </w:rPr>
        <w:t>Alergia a</w:t>
      </w:r>
      <w:r w:rsidR="004D55AA" w:rsidRPr="00104012">
        <w:rPr>
          <w:sz w:val="16"/>
        </w:rPr>
        <w:t xml:space="preserve">limentar </w:t>
      </w:r>
      <w:r w:rsidRPr="00104012">
        <w:rPr>
          <w:sz w:val="16"/>
        </w:rPr>
        <w:t>é uma reação de saúde adversa que ocorre quando o sistema imunológico reconhece erradamente um alimento como uma entidade agressora ao organismo. A fração desse alimento que é responsável pela reação alérgica denomina-se alergênico. Já uma intolerância alimentar caracteriza-se por uma reação adversa, reprodutível, que ocorre após a exposição a um determinado alimento, mas que ao contrário da alergia alimentar nã</w:t>
      </w:r>
      <w:r w:rsidR="00741BA0" w:rsidRPr="00104012">
        <w:rPr>
          <w:sz w:val="16"/>
        </w:rPr>
        <w:t>o envolve o sistema imunológico (4).</w:t>
      </w:r>
    </w:p>
    <w:p w14:paraId="22A884D3" w14:textId="328CDDCA" w:rsidR="00B81AB0" w:rsidRPr="00104012" w:rsidRDefault="00FE3FD5" w:rsidP="00166542">
      <w:pPr>
        <w:spacing w:line="240" w:lineRule="auto"/>
        <w:ind w:firstLine="851"/>
        <w:jc w:val="both"/>
        <w:rPr>
          <w:rFonts w:eastAsia="Times New Roman"/>
          <w:b/>
          <w:sz w:val="16"/>
          <w:szCs w:val="16"/>
        </w:rPr>
      </w:pPr>
      <w:r w:rsidRPr="00104012">
        <w:rPr>
          <w:sz w:val="16"/>
        </w:rPr>
        <w:t>Portanto, a</w:t>
      </w:r>
      <w:r w:rsidR="002222BD" w:rsidRPr="00104012">
        <w:rPr>
          <w:sz w:val="16"/>
        </w:rPr>
        <w:t xml:space="preserve"> presente pesquisa avaliou de forma objetiva o quanto funcionários atende</w:t>
      </w:r>
      <w:r w:rsidR="005B0601">
        <w:rPr>
          <w:sz w:val="16"/>
        </w:rPr>
        <w:t>ntes de serviços de alimentação</w:t>
      </w:r>
      <w:r w:rsidRPr="00104012">
        <w:rPr>
          <w:sz w:val="16"/>
        </w:rPr>
        <w:t xml:space="preserve"> de três</w:t>
      </w:r>
      <w:r w:rsidR="002222BD" w:rsidRPr="00104012">
        <w:rPr>
          <w:sz w:val="16"/>
        </w:rPr>
        <w:t xml:space="preserve"> diferentes </w:t>
      </w:r>
      <w:r w:rsidRPr="00104012">
        <w:rPr>
          <w:sz w:val="16"/>
        </w:rPr>
        <w:t>shoppings da cidade de Fortaleza (CE)</w:t>
      </w:r>
      <w:r w:rsidR="002222BD" w:rsidRPr="00104012">
        <w:rPr>
          <w:sz w:val="16"/>
        </w:rPr>
        <w:t xml:space="preserve">, </w:t>
      </w:r>
      <w:r w:rsidRPr="00104012">
        <w:rPr>
          <w:sz w:val="16"/>
        </w:rPr>
        <w:t>compreendiam</w:t>
      </w:r>
      <w:r w:rsidR="002222BD" w:rsidRPr="00104012">
        <w:rPr>
          <w:sz w:val="16"/>
        </w:rPr>
        <w:t xml:space="preserve"> acerca da doença celíaca, assim como também da presença ou ausência de glúten nos alimentos, visto que o público consumidor tem tornando-se cada vez mais exigente não só em questões sensoriais, mas também cada vez mais atentos e voltado a importância aos constituintes presentes em sua refeição, para que fatores como estes não possam vir a tornar-se poste</w:t>
      </w:r>
      <w:r w:rsidR="003C6A31" w:rsidRPr="00104012">
        <w:rPr>
          <w:sz w:val="16"/>
        </w:rPr>
        <w:t>riormente um problema de saúde.</w:t>
      </w:r>
    </w:p>
    <w:p w14:paraId="373493E2" w14:textId="77777777" w:rsidR="002222BD" w:rsidRPr="00104012" w:rsidRDefault="002222BD" w:rsidP="00166542">
      <w:pPr>
        <w:spacing w:line="240" w:lineRule="auto"/>
        <w:ind w:left="-15"/>
        <w:jc w:val="both"/>
        <w:rPr>
          <w:sz w:val="16"/>
          <w:vertAlign w:val="superscript"/>
        </w:rPr>
      </w:pPr>
    </w:p>
    <w:p w14:paraId="42DAADF1" w14:textId="77777777" w:rsidR="00BD681A" w:rsidRPr="00104012" w:rsidRDefault="000E3CB6" w:rsidP="00166542">
      <w:pPr>
        <w:spacing w:line="240" w:lineRule="auto"/>
        <w:contextualSpacing w:val="0"/>
        <w:rPr>
          <w:rFonts w:eastAsia="Times New Roman"/>
          <w:b/>
          <w:sz w:val="16"/>
          <w:szCs w:val="16"/>
        </w:rPr>
      </w:pPr>
      <w:r w:rsidRPr="00104012">
        <w:rPr>
          <w:rFonts w:eastAsia="Times New Roman"/>
          <w:b/>
          <w:sz w:val="16"/>
          <w:szCs w:val="16"/>
        </w:rPr>
        <w:t>MATERIAIS E MÉTODOS</w:t>
      </w:r>
    </w:p>
    <w:p w14:paraId="5A4FD45C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 xml:space="preserve"> </w:t>
      </w:r>
    </w:p>
    <w:p w14:paraId="15C3084E" w14:textId="47127AEA" w:rsidR="00BD681A" w:rsidRPr="00104012" w:rsidRDefault="00E7572B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Inicialmente foi real</w:t>
      </w:r>
      <w:r w:rsidR="00C77935" w:rsidRPr="00104012">
        <w:rPr>
          <w:rFonts w:eastAsia="Times New Roman"/>
          <w:sz w:val="16"/>
          <w:szCs w:val="16"/>
        </w:rPr>
        <w:t>izad</w:t>
      </w:r>
      <w:r w:rsidR="00E86ED6" w:rsidRPr="00104012">
        <w:rPr>
          <w:rFonts w:eastAsia="Times New Roman"/>
          <w:sz w:val="16"/>
          <w:szCs w:val="16"/>
        </w:rPr>
        <w:t>a uma pesquisa bibliográfica em livros, artigos e materiais já publicados</w:t>
      </w:r>
      <w:r w:rsidR="00C77935" w:rsidRPr="00104012">
        <w:rPr>
          <w:rFonts w:eastAsia="Times New Roman"/>
          <w:sz w:val="16"/>
          <w:szCs w:val="16"/>
        </w:rPr>
        <w:t xml:space="preserve"> p</w:t>
      </w:r>
      <w:r w:rsidRPr="00104012">
        <w:rPr>
          <w:rFonts w:eastAsia="Times New Roman"/>
          <w:sz w:val="16"/>
          <w:szCs w:val="16"/>
        </w:rPr>
        <w:t>ara o referencial teórico do trabalho a</w:t>
      </w:r>
      <w:r w:rsidR="00E86ED6" w:rsidRPr="00104012">
        <w:rPr>
          <w:rFonts w:eastAsia="Times New Roman"/>
          <w:sz w:val="16"/>
          <w:szCs w:val="16"/>
        </w:rPr>
        <w:t xml:space="preserve">fim de contextualiza-lo (5). </w:t>
      </w:r>
      <w:r w:rsidR="004A2240" w:rsidRPr="00104012">
        <w:rPr>
          <w:rFonts w:eastAsia="Times New Roman"/>
          <w:sz w:val="16"/>
          <w:szCs w:val="16"/>
        </w:rPr>
        <w:t>Em um segundo momento</w:t>
      </w:r>
      <w:r w:rsidRPr="00104012">
        <w:rPr>
          <w:rFonts w:eastAsia="Times New Roman"/>
          <w:sz w:val="16"/>
          <w:szCs w:val="16"/>
        </w:rPr>
        <w:t xml:space="preserve">, delineou-se quais tipos de estabelecimento seriam o foco dos questionários, sendo eles as categorias tidas como: redes de </w:t>
      </w:r>
      <w:proofErr w:type="spellStart"/>
      <w:r w:rsidRPr="00104012">
        <w:rPr>
          <w:rFonts w:eastAsia="Times New Roman"/>
          <w:i/>
          <w:sz w:val="16"/>
          <w:szCs w:val="16"/>
        </w:rPr>
        <w:t>fast</w:t>
      </w:r>
      <w:proofErr w:type="spellEnd"/>
      <w:r w:rsidRPr="00104012">
        <w:rPr>
          <w:rFonts w:eastAsia="Times New Roman"/>
          <w:i/>
          <w:sz w:val="16"/>
          <w:szCs w:val="16"/>
        </w:rPr>
        <w:t>-food</w:t>
      </w:r>
      <w:r w:rsidRPr="00104012">
        <w:rPr>
          <w:rFonts w:eastAsia="Times New Roman"/>
          <w:sz w:val="16"/>
          <w:szCs w:val="16"/>
        </w:rPr>
        <w:t xml:space="preserve">, </w:t>
      </w:r>
      <w:r w:rsidR="00FE3FD5" w:rsidRPr="00104012">
        <w:rPr>
          <w:rFonts w:eastAsia="Times New Roman"/>
          <w:sz w:val="16"/>
          <w:szCs w:val="16"/>
        </w:rPr>
        <w:t>quiosques</w:t>
      </w:r>
      <w:r w:rsidR="005B0601">
        <w:rPr>
          <w:rFonts w:eastAsia="Times New Roman"/>
          <w:sz w:val="16"/>
          <w:szCs w:val="16"/>
        </w:rPr>
        <w:t xml:space="preserve"> </w:t>
      </w:r>
      <w:r w:rsidR="00D45165" w:rsidRPr="00104012">
        <w:rPr>
          <w:rFonts w:eastAsia="Times New Roman"/>
          <w:sz w:val="16"/>
          <w:szCs w:val="16"/>
        </w:rPr>
        <w:t>e</w:t>
      </w:r>
      <w:r w:rsidR="00FE3FD5" w:rsidRPr="00104012">
        <w:rPr>
          <w:rFonts w:eastAsia="Times New Roman"/>
          <w:sz w:val="16"/>
          <w:szCs w:val="16"/>
        </w:rPr>
        <w:t xml:space="preserve"> </w:t>
      </w:r>
      <w:r w:rsidR="00FE3FD5" w:rsidRPr="00104012">
        <w:rPr>
          <w:rFonts w:eastAsia="Times New Roman"/>
          <w:i/>
          <w:sz w:val="16"/>
          <w:szCs w:val="16"/>
        </w:rPr>
        <w:t>self-</w:t>
      </w:r>
      <w:proofErr w:type="spellStart"/>
      <w:r w:rsidR="00FE3FD5" w:rsidRPr="00104012">
        <w:rPr>
          <w:rFonts w:eastAsia="Times New Roman"/>
          <w:i/>
          <w:sz w:val="16"/>
          <w:szCs w:val="16"/>
        </w:rPr>
        <w:t>service</w:t>
      </w:r>
      <w:r w:rsidR="0026030C" w:rsidRPr="00104012">
        <w:rPr>
          <w:rFonts w:eastAsia="Times New Roman"/>
          <w:i/>
          <w:sz w:val="16"/>
          <w:szCs w:val="16"/>
        </w:rPr>
        <w:t>s</w:t>
      </w:r>
      <w:proofErr w:type="spellEnd"/>
      <w:r w:rsidR="00D45165" w:rsidRPr="00104012">
        <w:rPr>
          <w:rFonts w:eastAsia="Times New Roman"/>
          <w:sz w:val="16"/>
          <w:szCs w:val="16"/>
        </w:rPr>
        <w:t xml:space="preserve">. Sendo realizadas </w:t>
      </w:r>
      <w:r w:rsidRPr="00104012">
        <w:rPr>
          <w:rFonts w:eastAsia="Times New Roman"/>
          <w:sz w:val="16"/>
          <w:szCs w:val="16"/>
        </w:rPr>
        <w:t>em três shoppings diferentes da cidade de Fortaleza (CE)</w:t>
      </w:r>
      <w:r w:rsidR="00D45165" w:rsidRPr="00104012">
        <w:rPr>
          <w:rFonts w:eastAsia="Times New Roman"/>
          <w:sz w:val="16"/>
          <w:szCs w:val="16"/>
        </w:rPr>
        <w:t xml:space="preserve">, totalizando em 10 respostas. </w:t>
      </w:r>
      <w:r w:rsidR="004A2240" w:rsidRPr="00104012">
        <w:rPr>
          <w:rFonts w:eastAsia="Times New Roman"/>
          <w:sz w:val="16"/>
          <w:szCs w:val="16"/>
        </w:rPr>
        <w:t>U</w:t>
      </w:r>
      <w:r w:rsidR="000337A0" w:rsidRPr="00104012">
        <w:rPr>
          <w:rFonts w:eastAsia="Times New Roman"/>
          <w:sz w:val="16"/>
          <w:szCs w:val="16"/>
        </w:rPr>
        <w:t xml:space="preserve">tilizou-se para a formulação das perguntas e respostas </w:t>
      </w:r>
      <w:r w:rsidR="008C3CF2">
        <w:rPr>
          <w:rFonts w:eastAsia="Times New Roman"/>
          <w:sz w:val="16"/>
          <w:szCs w:val="16"/>
        </w:rPr>
        <w:t xml:space="preserve">a plataforma Google Formulários. </w:t>
      </w:r>
      <w:r w:rsidR="000337A0" w:rsidRPr="00104012">
        <w:rPr>
          <w:rFonts w:eastAsia="Times New Roman"/>
          <w:sz w:val="16"/>
          <w:szCs w:val="16"/>
        </w:rPr>
        <w:t xml:space="preserve">O questionário de forma </w:t>
      </w:r>
      <w:r w:rsidR="000337A0" w:rsidRPr="00104012">
        <w:rPr>
          <w:rFonts w:eastAsia="Times New Roman"/>
          <w:i/>
          <w:sz w:val="16"/>
          <w:szCs w:val="16"/>
        </w:rPr>
        <w:t>online</w:t>
      </w:r>
      <w:r w:rsidR="000337A0" w:rsidRPr="00104012">
        <w:rPr>
          <w:rFonts w:eastAsia="Times New Roman"/>
          <w:sz w:val="16"/>
          <w:szCs w:val="16"/>
        </w:rPr>
        <w:t xml:space="preserve"> conteve 8 perguntas objetivas, com perguntas obrigatórias </w:t>
      </w:r>
      <w:r w:rsidR="0026030C" w:rsidRPr="00104012">
        <w:rPr>
          <w:rFonts w:eastAsia="Times New Roman"/>
          <w:sz w:val="16"/>
          <w:szCs w:val="16"/>
        </w:rPr>
        <w:t>e não obrigatórias, além d</w:t>
      </w:r>
      <w:r w:rsidR="00A56042">
        <w:rPr>
          <w:rFonts w:eastAsia="Times New Roman"/>
          <w:sz w:val="16"/>
          <w:szCs w:val="16"/>
        </w:rPr>
        <w:t xml:space="preserve">o TCLE – Termo de Consentimento Livre e Esclarecido - </w:t>
      </w:r>
      <w:r w:rsidR="005B0601">
        <w:rPr>
          <w:rFonts w:eastAsia="Times New Roman"/>
          <w:sz w:val="16"/>
          <w:szCs w:val="16"/>
        </w:rPr>
        <w:t xml:space="preserve"> </w:t>
      </w:r>
      <w:r w:rsidR="000337A0" w:rsidRPr="00104012">
        <w:rPr>
          <w:rFonts w:eastAsia="Times New Roman"/>
          <w:sz w:val="16"/>
          <w:szCs w:val="16"/>
        </w:rPr>
        <w:t xml:space="preserve">de forma anônima, visto que houve a preocupação em </w:t>
      </w:r>
      <w:r w:rsidR="0026030C" w:rsidRPr="00104012">
        <w:rPr>
          <w:rFonts w:eastAsia="Times New Roman"/>
          <w:sz w:val="16"/>
          <w:szCs w:val="16"/>
        </w:rPr>
        <w:t xml:space="preserve">assegurar os entrevistados que sua identidade </w:t>
      </w:r>
      <w:r w:rsidR="000337A0" w:rsidRPr="00104012">
        <w:rPr>
          <w:rFonts w:eastAsia="Times New Roman"/>
          <w:sz w:val="16"/>
          <w:szCs w:val="16"/>
        </w:rPr>
        <w:t xml:space="preserve">ou </w:t>
      </w:r>
      <w:r w:rsidR="0026030C" w:rsidRPr="00104012">
        <w:rPr>
          <w:rFonts w:eastAsia="Times New Roman"/>
          <w:sz w:val="16"/>
          <w:szCs w:val="16"/>
        </w:rPr>
        <w:t xml:space="preserve">o nome do </w:t>
      </w:r>
      <w:r w:rsidR="000337A0" w:rsidRPr="00104012">
        <w:rPr>
          <w:rFonts w:eastAsia="Times New Roman"/>
          <w:sz w:val="16"/>
          <w:szCs w:val="16"/>
        </w:rPr>
        <w:t>estabelecimento não seria divulgado. As respostas foram coletadas em um período</w:t>
      </w:r>
      <w:r w:rsidR="008F0C96" w:rsidRPr="00104012">
        <w:rPr>
          <w:rFonts w:eastAsia="Times New Roman"/>
          <w:sz w:val="16"/>
          <w:szCs w:val="16"/>
        </w:rPr>
        <w:t xml:space="preserve"> de dois dias</w:t>
      </w:r>
      <w:r w:rsidR="00D45165" w:rsidRPr="00104012">
        <w:rPr>
          <w:rFonts w:eastAsia="Times New Roman"/>
          <w:sz w:val="16"/>
          <w:szCs w:val="16"/>
        </w:rPr>
        <w:t xml:space="preserve"> e as </w:t>
      </w:r>
      <w:r w:rsidR="004A2240" w:rsidRPr="00104012">
        <w:rPr>
          <w:rFonts w:eastAsia="Times New Roman"/>
          <w:sz w:val="16"/>
          <w:szCs w:val="16"/>
        </w:rPr>
        <w:t>informações</w:t>
      </w:r>
      <w:r w:rsidR="000337A0" w:rsidRPr="00104012">
        <w:rPr>
          <w:rFonts w:eastAsia="Times New Roman"/>
          <w:sz w:val="16"/>
          <w:szCs w:val="16"/>
        </w:rPr>
        <w:t xml:space="preserve"> foram analisados através do </w:t>
      </w:r>
      <w:r w:rsidR="004A2240" w:rsidRPr="00104012">
        <w:rPr>
          <w:rFonts w:eastAsia="Times New Roman"/>
          <w:sz w:val="16"/>
          <w:szCs w:val="16"/>
        </w:rPr>
        <w:t xml:space="preserve">Programa </w:t>
      </w:r>
      <w:r w:rsidR="008F0C96" w:rsidRPr="00104012">
        <w:rPr>
          <w:rFonts w:eastAsia="Times New Roman"/>
          <w:sz w:val="16"/>
          <w:szCs w:val="16"/>
        </w:rPr>
        <w:t>Planilhas do Google.</w:t>
      </w:r>
    </w:p>
    <w:p w14:paraId="762242F8" w14:textId="77777777" w:rsidR="000337A0" w:rsidRPr="00104012" w:rsidRDefault="000337A0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</w:p>
    <w:p w14:paraId="1B700B7F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b/>
          <w:sz w:val="16"/>
          <w:szCs w:val="16"/>
        </w:rPr>
      </w:pPr>
      <w:r w:rsidRPr="00104012">
        <w:rPr>
          <w:rFonts w:eastAsia="Times New Roman"/>
          <w:b/>
          <w:sz w:val="16"/>
          <w:szCs w:val="16"/>
        </w:rPr>
        <w:t>RESULTADOS E DISCUSSÃO</w:t>
      </w:r>
    </w:p>
    <w:p w14:paraId="3475D417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 xml:space="preserve"> </w:t>
      </w:r>
    </w:p>
    <w:p w14:paraId="27563EBD" w14:textId="23644FD2" w:rsidR="00BD681A" w:rsidRPr="00104012" w:rsidRDefault="005F6A2A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A primeira e segu</w:t>
      </w:r>
      <w:r w:rsidR="00184A28" w:rsidRPr="00104012">
        <w:rPr>
          <w:rFonts w:eastAsia="Times New Roman"/>
          <w:sz w:val="16"/>
          <w:szCs w:val="16"/>
        </w:rPr>
        <w:t xml:space="preserve">nda pergunta do questionário foi elaborada com o intuito de saber a quanto tempo os entrevistados estavam no ramo de serviços de alimentação, de forma geral e no atual. </w:t>
      </w:r>
    </w:p>
    <w:p w14:paraId="54FDBFFA" w14:textId="77777777" w:rsidR="008C3CF2" w:rsidRDefault="008C3CF2" w:rsidP="00166542">
      <w:pPr>
        <w:spacing w:line="240" w:lineRule="auto"/>
        <w:contextualSpacing w:val="0"/>
        <w:rPr>
          <w:rFonts w:eastAsia="Times New Roman"/>
          <w:i/>
          <w:sz w:val="16"/>
          <w:szCs w:val="16"/>
        </w:rPr>
      </w:pPr>
    </w:p>
    <w:p w14:paraId="63060D9B" w14:textId="4B242F3C" w:rsidR="00BD681A" w:rsidRPr="00104012" w:rsidRDefault="00F96BE6" w:rsidP="00166542">
      <w:pPr>
        <w:spacing w:line="240" w:lineRule="auto"/>
        <w:contextualSpacing w:val="0"/>
        <w:rPr>
          <w:rFonts w:eastAsia="Times New Roman"/>
          <w:i/>
          <w:sz w:val="16"/>
          <w:szCs w:val="16"/>
        </w:rPr>
      </w:pPr>
      <w:r w:rsidRPr="00104012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D74FE4D" wp14:editId="61CDD2A8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2647950" cy="1257300"/>
            <wp:effectExtent l="0" t="0" r="0" b="0"/>
            <wp:wrapSquare wrapText="bothSides" distT="114300" distB="114300" distL="114300" distR="114300"/>
            <wp:docPr id="6" name="image13.png" descr="Gráfico de respostas do Formulários Google. Título da pergunta: Há quanto tempo trabalha no estabelecimento atual?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Gráfico de respostas do Formulários Google. Título da pergunta: Há quanto tempo trabalha no estabelecimento atual?. Número de respostas: 10 respostas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A28" w:rsidRPr="00104012">
        <w:rPr>
          <w:rFonts w:eastAsia="Times New Roman"/>
          <w:i/>
          <w:sz w:val="16"/>
          <w:szCs w:val="16"/>
        </w:rPr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1. Percentual do tempo de trabalho no estabelecimento atual</w:t>
      </w:r>
    </w:p>
    <w:p w14:paraId="5A56E848" w14:textId="77777777" w:rsidR="00F96BE6" w:rsidRPr="00104012" w:rsidRDefault="00F96BE6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Sobre estarem no estabelecimento atual, 70% dos entrevistados responderam estar a menos de um ano, e 30% destes a mais de um ano (Figura 1).</w:t>
      </w:r>
    </w:p>
    <w:p w14:paraId="3FD3A1FB" w14:textId="77777777" w:rsidR="00184A28" w:rsidRPr="00104012" w:rsidRDefault="00184A28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</w:p>
    <w:p w14:paraId="5D0CA05B" w14:textId="464ADF1C" w:rsidR="00BD681A" w:rsidRPr="00104012" w:rsidRDefault="00184A28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i/>
          <w:sz w:val="16"/>
          <w:szCs w:val="16"/>
        </w:rPr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2. Percentual do tempo de trabalho em serviços de alimentação de forma geral</w:t>
      </w:r>
    </w:p>
    <w:p w14:paraId="48709D1F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noProof/>
          <w:sz w:val="16"/>
          <w:szCs w:val="16"/>
        </w:rPr>
        <w:drawing>
          <wp:inline distT="114300" distB="114300" distL="114300" distR="114300" wp14:anchorId="7F081CB0" wp14:editId="75417A9B">
            <wp:extent cx="2638425" cy="1219200"/>
            <wp:effectExtent l="0" t="0" r="0" b="0"/>
            <wp:docPr id="3" name="image10.png" descr="Gráfico de respostas do Formulários Google. Título da pergunta: Há quanto tempo possui experiência na área de serviços de alimentação?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áfico de respostas do Formulários Google. Título da pergunta: Há quanto tempo possui experiência na área de serviços de alimentação?. Número de respostas: 10 respostas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507F2D" w14:textId="77777777" w:rsidR="00F96BE6" w:rsidRPr="00104012" w:rsidRDefault="00F96BE6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Em relação a trabalharem em serviços de alimentação no geral, os resultados variam. A maioria de 40% dos entrevistados, está na faixa de seis meses a um ano no ramo alimentício (Figura 2)</w:t>
      </w:r>
    </w:p>
    <w:p w14:paraId="62DE2F54" w14:textId="77777777" w:rsidR="00F96BE6" w:rsidRPr="00104012" w:rsidRDefault="00F96BE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</w:p>
    <w:p w14:paraId="3282C922" w14:textId="10BD2BD2" w:rsidR="00BD681A" w:rsidRPr="00104012" w:rsidRDefault="002E5971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i/>
          <w:sz w:val="16"/>
          <w:szCs w:val="16"/>
        </w:rPr>
        <w:lastRenderedPageBreak/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3. Percentual do conhecimento dos entrevistados acerca da doença celíaca</w:t>
      </w:r>
    </w:p>
    <w:p w14:paraId="5E6AECB3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noProof/>
          <w:sz w:val="16"/>
          <w:szCs w:val="16"/>
        </w:rPr>
        <w:drawing>
          <wp:inline distT="114300" distB="114300" distL="114300" distR="114300" wp14:anchorId="6C097116" wp14:editId="41443EAC">
            <wp:extent cx="2638425" cy="1219200"/>
            <wp:effectExtent l="0" t="0" r="0" b="0"/>
            <wp:docPr id="1" name="image7.png" descr="Gráfico de respostas do Formulários Google. Título da pergunta: Você sabe o que é doença celíaca? 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ráfico de respostas do Formulários Google. Título da pergunta: Você sabe o que é doença celíaca? . Número de respostas: 10 resposta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BC0607" w14:textId="77777777" w:rsidR="00F96BE6" w:rsidRPr="00104012" w:rsidRDefault="00F96BE6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 xml:space="preserve">Quando questionados sobre a doença celíaca, 80% dos entrevistados responderam que conheciam a respeito, enquanto 20% não (Figura 3). </w:t>
      </w:r>
    </w:p>
    <w:p w14:paraId="020075ED" w14:textId="77777777" w:rsidR="00F96BE6" w:rsidRPr="00104012" w:rsidRDefault="00F96BE6" w:rsidP="00166542">
      <w:pPr>
        <w:spacing w:line="240" w:lineRule="auto"/>
        <w:contextualSpacing w:val="0"/>
        <w:jc w:val="both"/>
        <w:rPr>
          <w:rFonts w:eastAsia="Times New Roman"/>
          <w:i/>
          <w:sz w:val="16"/>
          <w:szCs w:val="16"/>
        </w:rPr>
      </w:pPr>
    </w:p>
    <w:p w14:paraId="045CE6A8" w14:textId="0CBB0561" w:rsidR="00BD681A" w:rsidRPr="00104012" w:rsidRDefault="002E5971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i/>
          <w:sz w:val="16"/>
          <w:szCs w:val="16"/>
        </w:rPr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4. Percentual </w:t>
      </w:r>
      <w:r w:rsidR="000337A0" w:rsidRPr="00104012">
        <w:rPr>
          <w:rFonts w:eastAsia="Times New Roman"/>
          <w:i/>
          <w:sz w:val="16"/>
          <w:szCs w:val="16"/>
        </w:rPr>
        <w:t>dos conhecimentos</w:t>
      </w:r>
      <w:r w:rsidR="000E3CB6" w:rsidRPr="00104012">
        <w:rPr>
          <w:rFonts w:eastAsia="Times New Roman"/>
          <w:i/>
          <w:sz w:val="16"/>
          <w:szCs w:val="16"/>
        </w:rPr>
        <w:t xml:space="preserve"> dos entrevistados em relação aos alimentos que contém ou não o glúten</w:t>
      </w:r>
    </w:p>
    <w:p w14:paraId="7B097B2B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noProof/>
          <w:sz w:val="16"/>
          <w:szCs w:val="16"/>
        </w:rPr>
        <w:drawing>
          <wp:inline distT="114300" distB="114300" distL="114300" distR="114300" wp14:anchorId="722512B0" wp14:editId="134AF1B6">
            <wp:extent cx="2638425" cy="1320800"/>
            <wp:effectExtent l="0" t="0" r="0" b="0"/>
            <wp:docPr id="4" name="image11.png" descr="Gráfico de respostas do Formulários Google. Título da pergunta: Qual seu conhecimento acerca de quais alimentos contém presença ou ausência de glúten?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Gráfico de respostas do Formulários Google. Título da pergunta: Qual seu conhecimento acerca de quais alimentos contém presença ou ausência de glúten?. Número de respostas: 10 respostas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C70D0B" w14:textId="1ACF1B3E" w:rsidR="00BD681A" w:rsidRPr="00104012" w:rsidRDefault="00D76944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 xml:space="preserve">Concomitantemente que 80% dos entrevistados tinha conhecimento acerca da doença celíaca (Figura 3), quando questionados sobre o conhecimento sobre os alimentos que contem ou não glúten, 70% </w:t>
      </w:r>
      <w:r w:rsidR="00EE46C5" w:rsidRPr="00104012">
        <w:rPr>
          <w:rFonts w:eastAsia="Times New Roman"/>
          <w:sz w:val="16"/>
          <w:szCs w:val="16"/>
        </w:rPr>
        <w:t>definiu como “razoável”, 10% como “ótimo” e 10% respondeu “nenhum” (Figura 4)</w:t>
      </w:r>
      <w:r w:rsidR="007464D7" w:rsidRPr="00104012">
        <w:rPr>
          <w:rFonts w:eastAsia="Times New Roman"/>
          <w:sz w:val="16"/>
          <w:szCs w:val="16"/>
        </w:rPr>
        <w:t xml:space="preserve">. Em uma próxima pergunta semelhante, questionou-se ao funcionário/atendente rem relação aos alimentos que eram fornecidos no local de trabalho, se estes continham glúten, 80% respondeu “sim”, 30% declarou </w:t>
      </w:r>
      <w:r w:rsidR="006F4A96" w:rsidRPr="00104012">
        <w:rPr>
          <w:rFonts w:eastAsia="Times New Roman"/>
          <w:sz w:val="16"/>
          <w:szCs w:val="16"/>
        </w:rPr>
        <w:t>não saber responder (Figura 5).</w:t>
      </w:r>
    </w:p>
    <w:p w14:paraId="79B3E4C1" w14:textId="77777777" w:rsidR="00D76944" w:rsidRPr="00104012" w:rsidRDefault="00D76944" w:rsidP="00166542">
      <w:pPr>
        <w:spacing w:line="240" w:lineRule="auto"/>
        <w:contextualSpacing w:val="0"/>
        <w:rPr>
          <w:rFonts w:eastAsia="Times New Roman"/>
          <w:sz w:val="16"/>
          <w:szCs w:val="16"/>
        </w:rPr>
      </w:pPr>
    </w:p>
    <w:p w14:paraId="304C328B" w14:textId="54F53530" w:rsidR="00BD681A" w:rsidRPr="00104012" w:rsidRDefault="002E5971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i/>
          <w:sz w:val="16"/>
          <w:szCs w:val="16"/>
        </w:rPr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5. Percentual da avaliação dos entrevistados que sabiam ou não se no estabelecimento atual produziam alimentos com glúten</w:t>
      </w:r>
    </w:p>
    <w:p w14:paraId="763BC646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noProof/>
          <w:sz w:val="16"/>
          <w:szCs w:val="16"/>
        </w:rPr>
        <w:drawing>
          <wp:inline distT="114300" distB="114300" distL="114300" distR="114300" wp14:anchorId="3D278BB0" wp14:editId="3126BE19">
            <wp:extent cx="2638425" cy="1219200"/>
            <wp:effectExtent l="0" t="0" r="0" b="0"/>
            <wp:docPr id="5" name="image12.png" descr="Gráfico de respostas do Formulários Google. Título da pergunta: No estabelecimento onde trabalha, servem alimentos com glúten? 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Gráfico de respostas do Formulários Google. Título da pergunta: No estabelecimento onde trabalha, servem alimentos com glúten? . Número de respostas: 10 respostas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6936D3" w14:textId="33F3377A" w:rsidR="00BD681A" w:rsidRPr="00104012" w:rsidRDefault="002E5971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i/>
          <w:sz w:val="16"/>
          <w:szCs w:val="16"/>
        </w:rPr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6. Percentual em relação à instrução ou treinamento recebido </w:t>
      </w:r>
    </w:p>
    <w:p w14:paraId="2269045C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noProof/>
          <w:sz w:val="16"/>
          <w:szCs w:val="16"/>
        </w:rPr>
        <w:drawing>
          <wp:inline distT="114300" distB="114300" distL="114300" distR="114300" wp14:anchorId="365792C9" wp14:editId="58A6EA5B">
            <wp:extent cx="2638425" cy="1320800"/>
            <wp:effectExtent l="0" t="0" r="0" b="0"/>
            <wp:docPr id="2" name="image9.png" descr="Gráfico de respostas do Formulários Google. Título da pergunta: Se sim, receberam orientação ou instrução de modo prévio relacionadas ao glúten?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ráfico de respostas do Formulários Google. Título da pergunta: Se sim, receberam orientação ou instrução de modo prévio relacionadas ao glúten?. Número de respostas: 10 respostas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DD275" w14:textId="18EF5303" w:rsidR="001E268E" w:rsidRPr="00104012" w:rsidRDefault="001E268E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As últimas perguntas são voltadas ao treinamento sobre o assunto da presente pesquisa. Quando questionados se receberem uma instrução prévia, 60% respondeu que “não” os ou</w:t>
      </w:r>
      <w:r w:rsidR="00FB2280" w:rsidRPr="00104012">
        <w:rPr>
          <w:rFonts w:eastAsia="Times New Roman"/>
          <w:sz w:val="16"/>
          <w:szCs w:val="16"/>
        </w:rPr>
        <w:t>tros 40% afirmaram ter recebido (Figura 6).</w:t>
      </w:r>
    </w:p>
    <w:p w14:paraId="1D557197" w14:textId="50BEAAC8" w:rsidR="0047380A" w:rsidRPr="00104012" w:rsidRDefault="0047380A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Aqui, foi possível observar uma contradição por parte de alguns dos funcionários, pelo fato de que na pergunta 3 (Gráfico 3), 80% disse não saber o que era a doença celíaca, já nesta pergunta, as respostas foram mais equilibradas, mostrando que boa parte rec</w:t>
      </w:r>
      <w:r w:rsidR="008C3CF2">
        <w:rPr>
          <w:rFonts w:eastAsia="Times New Roman"/>
          <w:sz w:val="16"/>
          <w:szCs w:val="16"/>
        </w:rPr>
        <w:t>ebeu treinamento ou instrução. É</w:t>
      </w:r>
      <w:r w:rsidRPr="00104012">
        <w:rPr>
          <w:rFonts w:eastAsia="Times New Roman"/>
          <w:sz w:val="16"/>
          <w:szCs w:val="16"/>
        </w:rPr>
        <w:t xml:space="preserve"> importante validar a suposição de que, se realmente tiverem recebido o treinamento ou instruções prévias acerca do glúten, este não foi dado de modo eficiente, tendo como base o fato de que a doença celíaca está diretamente relacionada a alimentos com glúten. </w:t>
      </w:r>
    </w:p>
    <w:p w14:paraId="4D18049F" w14:textId="77777777" w:rsidR="0047380A" w:rsidRPr="00104012" w:rsidRDefault="0047380A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</w:p>
    <w:p w14:paraId="31D910BE" w14:textId="6673F5D8" w:rsidR="00BD681A" w:rsidRPr="00104012" w:rsidRDefault="002E5971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i/>
          <w:sz w:val="16"/>
          <w:szCs w:val="16"/>
        </w:rPr>
        <w:t>Gráfico</w:t>
      </w:r>
      <w:r w:rsidR="000E3CB6" w:rsidRPr="00104012">
        <w:rPr>
          <w:rFonts w:eastAsia="Times New Roman"/>
          <w:i/>
          <w:sz w:val="16"/>
          <w:szCs w:val="16"/>
        </w:rPr>
        <w:t xml:space="preserve"> 7. Percentual sobre a importância do treinamento em relação ao assunto abordado</w:t>
      </w:r>
    </w:p>
    <w:p w14:paraId="39C4961F" w14:textId="77777777" w:rsidR="00FB2280" w:rsidRPr="00104012" w:rsidRDefault="00FB2280" w:rsidP="00166542">
      <w:pPr>
        <w:spacing w:line="240" w:lineRule="auto"/>
        <w:contextualSpacing w:val="0"/>
        <w:rPr>
          <w:rFonts w:eastAsia="Times New Roman"/>
          <w:sz w:val="16"/>
          <w:szCs w:val="16"/>
        </w:rPr>
      </w:pPr>
    </w:p>
    <w:p w14:paraId="6F834AFD" w14:textId="77777777" w:rsidR="00BD681A" w:rsidRPr="00104012" w:rsidRDefault="000E3CB6" w:rsidP="00166542">
      <w:pPr>
        <w:spacing w:line="240" w:lineRule="auto"/>
        <w:contextualSpacing w:val="0"/>
        <w:rPr>
          <w:rFonts w:eastAsia="Times New Roman"/>
          <w:sz w:val="16"/>
          <w:szCs w:val="16"/>
        </w:rPr>
      </w:pPr>
      <w:r w:rsidRPr="00104012">
        <w:rPr>
          <w:rFonts w:eastAsia="Times New Roman"/>
          <w:noProof/>
          <w:sz w:val="16"/>
          <w:szCs w:val="16"/>
        </w:rPr>
        <w:drawing>
          <wp:inline distT="114300" distB="114300" distL="114300" distR="114300" wp14:anchorId="16798DE3" wp14:editId="5044F55C">
            <wp:extent cx="2638425" cy="1320800"/>
            <wp:effectExtent l="0" t="0" r="0" b="0"/>
            <wp:docPr id="7" name="image14.png" descr="Gráfico de respostas do Formulários Google. Título da pergunta: Caso não tiver recebido, em sua opinião, seria importante um treinamento envolvendo conhecimentos acerca do glúten? . Número de respostas: 1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Gráfico de respostas do Formulários Google. Título da pergunta: Caso não tiver recebido, em sua opinião, seria importante um treinamento envolvendo conhecimentos acerca do glúten? . Número de respostas: 10 respostas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04012">
        <w:rPr>
          <w:rFonts w:eastAsia="Times New Roman"/>
          <w:sz w:val="16"/>
          <w:szCs w:val="16"/>
        </w:rPr>
        <w:t xml:space="preserve"> </w:t>
      </w:r>
    </w:p>
    <w:p w14:paraId="0AFDE562" w14:textId="68AD6D9F" w:rsidR="00C947F3" w:rsidRPr="00104012" w:rsidRDefault="00C947F3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>Sobre a importância de um treinamento prévio acerca do glúten</w:t>
      </w:r>
      <w:r w:rsidR="00DF3E28" w:rsidRPr="00104012">
        <w:rPr>
          <w:rFonts w:eastAsia="Times New Roman"/>
          <w:sz w:val="16"/>
          <w:szCs w:val="16"/>
        </w:rPr>
        <w:t>, 70% que “sim”, seria importante um treinamento para quem desconhece o assunto. 30% dos funcionários afirmaram terem recebido algum treinamento acerca do glúten.</w:t>
      </w:r>
    </w:p>
    <w:p w14:paraId="49558B76" w14:textId="77777777" w:rsidR="00C947F3" w:rsidRPr="00104012" w:rsidRDefault="00C947F3" w:rsidP="00166542">
      <w:pPr>
        <w:spacing w:line="240" w:lineRule="auto"/>
        <w:contextualSpacing w:val="0"/>
        <w:jc w:val="both"/>
        <w:rPr>
          <w:rFonts w:eastAsia="Times New Roman"/>
          <w:b/>
          <w:sz w:val="16"/>
          <w:szCs w:val="16"/>
        </w:rPr>
      </w:pPr>
    </w:p>
    <w:p w14:paraId="1AE0C66C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b/>
          <w:sz w:val="16"/>
          <w:szCs w:val="16"/>
        </w:rPr>
      </w:pPr>
      <w:r w:rsidRPr="00104012">
        <w:rPr>
          <w:rFonts w:eastAsia="Times New Roman"/>
          <w:b/>
          <w:sz w:val="16"/>
          <w:szCs w:val="16"/>
        </w:rPr>
        <w:t>CONCLUSÃO</w:t>
      </w:r>
    </w:p>
    <w:p w14:paraId="19849753" w14:textId="77777777" w:rsidR="008404FA" w:rsidRDefault="008404FA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</w:p>
    <w:p w14:paraId="3C28D01C" w14:textId="478B36C8" w:rsidR="00BD681A" w:rsidRPr="00104012" w:rsidRDefault="00681EBB" w:rsidP="00166542">
      <w:pPr>
        <w:spacing w:line="240" w:lineRule="auto"/>
        <w:ind w:firstLine="851"/>
        <w:contextualSpacing w:val="0"/>
        <w:jc w:val="both"/>
        <w:rPr>
          <w:rFonts w:eastAsia="Times New Roman"/>
          <w:sz w:val="16"/>
          <w:szCs w:val="16"/>
        </w:rPr>
      </w:pPr>
      <w:r w:rsidRPr="00104012">
        <w:rPr>
          <w:rFonts w:eastAsia="Times New Roman"/>
          <w:sz w:val="16"/>
          <w:szCs w:val="16"/>
        </w:rPr>
        <w:t xml:space="preserve">Após análise do conjunto de resultados discutidos acima, </w:t>
      </w:r>
      <w:r w:rsidR="00BA0A69" w:rsidRPr="00104012">
        <w:rPr>
          <w:rFonts w:eastAsia="Times New Roman"/>
          <w:sz w:val="16"/>
          <w:szCs w:val="16"/>
        </w:rPr>
        <w:t>vê-se</w:t>
      </w:r>
      <w:r w:rsidRPr="00104012">
        <w:rPr>
          <w:rFonts w:eastAsia="Times New Roman"/>
          <w:sz w:val="16"/>
          <w:szCs w:val="16"/>
        </w:rPr>
        <w:t xml:space="preserve"> a nítida necessidade de um melhor preparo dos serviços de alimentação, por meio de treinamentos que não sejam superficiais e que ocorram per</w:t>
      </w:r>
      <w:r w:rsidR="0047380A" w:rsidRPr="00104012">
        <w:rPr>
          <w:rFonts w:eastAsia="Times New Roman"/>
          <w:sz w:val="16"/>
          <w:szCs w:val="16"/>
        </w:rPr>
        <w:t>iodicamente e, se caso já ocorra, então que seja de modo ainda mais eficiente e completo,</w:t>
      </w:r>
      <w:r w:rsidRPr="00104012">
        <w:rPr>
          <w:rFonts w:eastAsia="Times New Roman"/>
          <w:sz w:val="16"/>
          <w:szCs w:val="16"/>
        </w:rPr>
        <w:t xml:space="preserve"> visto que, para muitos celíacos, basta apenas uma informação errada acerca dos constituintes do preparo que está sendo servido</w:t>
      </w:r>
      <w:r w:rsidR="00C66629" w:rsidRPr="00104012">
        <w:rPr>
          <w:rFonts w:eastAsia="Times New Roman"/>
          <w:sz w:val="16"/>
          <w:szCs w:val="16"/>
        </w:rPr>
        <w:t xml:space="preserve"> para que se acarrete consequências negativas. Assim como em muitos S.A há a cobrança pelo treinamento acerca de boas práticas, também é valido se ter o cuidado e conhecimento na parte que co</w:t>
      </w:r>
      <w:r w:rsidR="003C6A31" w:rsidRPr="00104012">
        <w:rPr>
          <w:rFonts w:eastAsia="Times New Roman"/>
          <w:sz w:val="16"/>
          <w:szCs w:val="16"/>
        </w:rPr>
        <w:t>mpete às restrições alimentares. Para a gastronomia, os resultados chamam para uma reflexão em relação aos S.A., onde esse tipo de discussão acontece, porém de forma superficial ou com interesse voltado apenas para o comercial. Tal assunto precisa ser melhor dialogado entre as partes que estão envolvidas, já que envolve</w:t>
      </w:r>
      <w:r w:rsidR="00B34CEA" w:rsidRPr="00104012">
        <w:rPr>
          <w:rFonts w:eastAsia="Times New Roman"/>
          <w:sz w:val="16"/>
          <w:szCs w:val="16"/>
        </w:rPr>
        <w:t xml:space="preserve"> tanto</w:t>
      </w:r>
      <w:r w:rsidR="003C6A31" w:rsidRPr="00104012">
        <w:rPr>
          <w:rFonts w:eastAsia="Times New Roman"/>
          <w:sz w:val="16"/>
          <w:szCs w:val="16"/>
        </w:rPr>
        <w:t xml:space="preserve"> manipu</w:t>
      </w:r>
      <w:r w:rsidR="00B34CEA" w:rsidRPr="00104012">
        <w:rPr>
          <w:rFonts w:eastAsia="Times New Roman"/>
          <w:sz w:val="16"/>
          <w:szCs w:val="16"/>
        </w:rPr>
        <w:t>ladores de alimentos em geral quanto quem está consumindo.</w:t>
      </w:r>
    </w:p>
    <w:p w14:paraId="078D7AA7" w14:textId="767EF519" w:rsidR="00BD681A" w:rsidRPr="00104012" w:rsidRDefault="00BD681A" w:rsidP="00166542">
      <w:pPr>
        <w:spacing w:line="240" w:lineRule="auto"/>
        <w:contextualSpacing w:val="0"/>
        <w:jc w:val="both"/>
        <w:rPr>
          <w:rFonts w:eastAsia="Times New Roman"/>
          <w:sz w:val="16"/>
          <w:szCs w:val="16"/>
        </w:rPr>
      </w:pPr>
    </w:p>
    <w:p w14:paraId="0A39CEB2" w14:textId="77777777" w:rsidR="00BD681A" w:rsidRPr="00104012" w:rsidRDefault="000E3CB6" w:rsidP="00166542">
      <w:pPr>
        <w:spacing w:line="240" w:lineRule="auto"/>
        <w:contextualSpacing w:val="0"/>
        <w:jc w:val="both"/>
        <w:rPr>
          <w:rFonts w:eastAsia="Times New Roman"/>
          <w:b/>
          <w:sz w:val="16"/>
          <w:szCs w:val="16"/>
        </w:rPr>
      </w:pPr>
      <w:r w:rsidRPr="00104012">
        <w:rPr>
          <w:rFonts w:eastAsia="Times New Roman"/>
          <w:b/>
          <w:sz w:val="16"/>
          <w:szCs w:val="16"/>
        </w:rPr>
        <w:t>REFERÊNCIAS</w:t>
      </w:r>
    </w:p>
    <w:p w14:paraId="5F9FFFE9" w14:textId="2C255C71" w:rsidR="000B79D5" w:rsidRPr="00104012" w:rsidRDefault="00D76944" w:rsidP="00166542">
      <w:pPr>
        <w:pStyle w:val="PargrafodaLista"/>
        <w:numPr>
          <w:ilvl w:val="0"/>
          <w:numId w:val="2"/>
        </w:numPr>
        <w:spacing w:before="269" w:after="83" w:line="240" w:lineRule="auto"/>
        <w:contextualSpacing w:val="0"/>
        <w:jc w:val="both"/>
        <w:rPr>
          <w:sz w:val="16"/>
          <w:szCs w:val="16"/>
        </w:rPr>
      </w:pPr>
      <w:r w:rsidRPr="00104012">
        <w:rPr>
          <w:sz w:val="16"/>
          <w:szCs w:val="16"/>
        </w:rPr>
        <w:t>S</w:t>
      </w:r>
      <w:r w:rsidR="00FA4286" w:rsidRPr="00104012">
        <w:rPr>
          <w:sz w:val="16"/>
          <w:szCs w:val="16"/>
        </w:rPr>
        <w:t>DEPANIAN</w:t>
      </w:r>
      <w:r w:rsidR="009A0B2A" w:rsidRPr="00104012">
        <w:rPr>
          <w:sz w:val="16"/>
          <w:szCs w:val="16"/>
        </w:rPr>
        <w:t xml:space="preserve"> VL, Morais MB, Fagundes-Neto U. </w:t>
      </w:r>
      <w:r w:rsidR="000B79D5" w:rsidRPr="00104012">
        <w:rPr>
          <w:b/>
          <w:sz w:val="16"/>
          <w:szCs w:val="16"/>
        </w:rPr>
        <w:t>Doença celíaca: a evolução dos conhecimentos desde sua centenária descrição original até os dias atuais</w:t>
      </w:r>
      <w:r w:rsidR="00A11CC8" w:rsidRPr="00104012">
        <w:rPr>
          <w:sz w:val="16"/>
          <w:szCs w:val="16"/>
        </w:rPr>
        <w:t xml:space="preserve">. </w:t>
      </w:r>
      <w:proofErr w:type="spellStart"/>
      <w:r w:rsidR="00A11CC8" w:rsidRPr="00104012">
        <w:rPr>
          <w:sz w:val="16"/>
          <w:szCs w:val="16"/>
        </w:rPr>
        <w:t>Arq</w:t>
      </w:r>
      <w:proofErr w:type="spellEnd"/>
      <w:r w:rsidR="00A11CC8" w:rsidRPr="00104012">
        <w:rPr>
          <w:sz w:val="16"/>
          <w:szCs w:val="16"/>
        </w:rPr>
        <w:t xml:space="preserve"> </w:t>
      </w:r>
      <w:proofErr w:type="spellStart"/>
      <w:r w:rsidR="00A11CC8" w:rsidRPr="00104012">
        <w:rPr>
          <w:sz w:val="16"/>
          <w:szCs w:val="16"/>
        </w:rPr>
        <w:t>Gastroenterol</w:t>
      </w:r>
      <w:proofErr w:type="spellEnd"/>
      <w:r w:rsidR="00A11CC8" w:rsidRPr="00104012">
        <w:rPr>
          <w:sz w:val="16"/>
          <w:szCs w:val="16"/>
        </w:rPr>
        <w:t>. 1999.</w:t>
      </w:r>
    </w:p>
    <w:p w14:paraId="18297952" w14:textId="30581DE3" w:rsidR="000B79D5" w:rsidRPr="00104012" w:rsidRDefault="00687858" w:rsidP="00166542">
      <w:pPr>
        <w:pStyle w:val="PargrafodaLista"/>
        <w:numPr>
          <w:ilvl w:val="0"/>
          <w:numId w:val="2"/>
        </w:numPr>
        <w:spacing w:after="83" w:line="240" w:lineRule="auto"/>
        <w:contextualSpacing w:val="0"/>
        <w:jc w:val="both"/>
        <w:rPr>
          <w:sz w:val="16"/>
          <w:szCs w:val="16"/>
        </w:rPr>
      </w:pPr>
      <w:r w:rsidRPr="00104012">
        <w:rPr>
          <w:sz w:val="16"/>
          <w:szCs w:val="16"/>
        </w:rPr>
        <w:t>PRATESI</w:t>
      </w:r>
      <w:r w:rsidR="000B79D5" w:rsidRPr="00104012">
        <w:rPr>
          <w:sz w:val="16"/>
          <w:szCs w:val="16"/>
        </w:rPr>
        <w:t xml:space="preserve"> R, </w:t>
      </w:r>
      <w:proofErr w:type="spellStart"/>
      <w:r w:rsidR="000B79D5" w:rsidRPr="00104012">
        <w:rPr>
          <w:sz w:val="16"/>
          <w:szCs w:val="16"/>
        </w:rPr>
        <w:t>Gandolfi</w:t>
      </w:r>
      <w:proofErr w:type="spellEnd"/>
      <w:r w:rsidR="000B79D5" w:rsidRPr="00104012">
        <w:rPr>
          <w:sz w:val="16"/>
          <w:szCs w:val="16"/>
        </w:rPr>
        <w:t xml:space="preserve"> L. </w:t>
      </w:r>
      <w:r w:rsidR="000B79D5" w:rsidRPr="00104012">
        <w:rPr>
          <w:b/>
          <w:sz w:val="16"/>
          <w:szCs w:val="16"/>
        </w:rPr>
        <w:t>Doença celíaca: a afecção</w:t>
      </w:r>
      <w:r w:rsidR="009A0B2A" w:rsidRPr="00104012">
        <w:rPr>
          <w:b/>
          <w:sz w:val="16"/>
          <w:szCs w:val="16"/>
        </w:rPr>
        <w:t xml:space="preserve"> </w:t>
      </w:r>
      <w:r w:rsidR="000B79D5" w:rsidRPr="00104012">
        <w:rPr>
          <w:b/>
          <w:sz w:val="16"/>
          <w:szCs w:val="16"/>
        </w:rPr>
        <w:t>com múltiplas faces.</w:t>
      </w:r>
      <w:r w:rsidR="000B79D5" w:rsidRPr="00104012">
        <w:rPr>
          <w:sz w:val="16"/>
          <w:szCs w:val="16"/>
        </w:rPr>
        <w:t xml:space="preserve"> J </w:t>
      </w:r>
      <w:proofErr w:type="spellStart"/>
      <w:r w:rsidR="000B79D5" w:rsidRPr="00104012">
        <w:rPr>
          <w:sz w:val="16"/>
          <w:szCs w:val="16"/>
        </w:rPr>
        <w:t>Pediatr</w:t>
      </w:r>
      <w:proofErr w:type="spellEnd"/>
      <w:r w:rsidR="000B79D5" w:rsidRPr="00104012">
        <w:rPr>
          <w:sz w:val="16"/>
          <w:szCs w:val="16"/>
        </w:rPr>
        <w:t>. 2005</w:t>
      </w:r>
    </w:p>
    <w:p w14:paraId="0A1FF2F1" w14:textId="3F7F6834" w:rsidR="000B79D5" w:rsidRPr="00104012" w:rsidRDefault="00D76944" w:rsidP="00166542">
      <w:pPr>
        <w:pStyle w:val="PargrafodaLista"/>
        <w:numPr>
          <w:ilvl w:val="0"/>
          <w:numId w:val="2"/>
        </w:numPr>
        <w:spacing w:after="83" w:line="240" w:lineRule="auto"/>
        <w:contextualSpacing w:val="0"/>
        <w:jc w:val="both"/>
        <w:rPr>
          <w:sz w:val="16"/>
          <w:szCs w:val="16"/>
        </w:rPr>
      </w:pPr>
      <w:r w:rsidRPr="00104012">
        <w:rPr>
          <w:sz w:val="16"/>
          <w:szCs w:val="16"/>
        </w:rPr>
        <w:t>M</w:t>
      </w:r>
      <w:r w:rsidR="00687858" w:rsidRPr="00104012">
        <w:rPr>
          <w:sz w:val="16"/>
          <w:szCs w:val="16"/>
        </w:rPr>
        <w:t>ORAIS</w:t>
      </w:r>
      <w:r w:rsidR="000B79D5" w:rsidRPr="00104012">
        <w:rPr>
          <w:sz w:val="16"/>
          <w:szCs w:val="16"/>
        </w:rPr>
        <w:t xml:space="preserve"> MB, </w:t>
      </w:r>
      <w:proofErr w:type="spellStart"/>
      <w:r w:rsidR="000B79D5" w:rsidRPr="00104012">
        <w:rPr>
          <w:sz w:val="16"/>
          <w:szCs w:val="16"/>
        </w:rPr>
        <w:t>Sdepanian</w:t>
      </w:r>
      <w:proofErr w:type="spellEnd"/>
      <w:r w:rsidR="000B79D5" w:rsidRPr="00104012">
        <w:rPr>
          <w:sz w:val="16"/>
          <w:szCs w:val="16"/>
        </w:rPr>
        <w:t xml:space="preserve"> VL, Neto UF. </w:t>
      </w:r>
      <w:r w:rsidR="000B79D5" w:rsidRPr="00104012">
        <w:rPr>
          <w:b/>
          <w:sz w:val="16"/>
          <w:szCs w:val="16"/>
        </w:rPr>
        <w:t>Doença Celíaca.</w:t>
      </w:r>
      <w:r w:rsidR="000B79D5" w:rsidRPr="00104012">
        <w:rPr>
          <w:sz w:val="16"/>
          <w:szCs w:val="16"/>
        </w:rPr>
        <w:t xml:space="preserve"> </w:t>
      </w:r>
      <w:proofErr w:type="spellStart"/>
      <w:r w:rsidR="000B79D5" w:rsidRPr="00104012">
        <w:rPr>
          <w:sz w:val="16"/>
          <w:szCs w:val="16"/>
        </w:rPr>
        <w:t>Nutr</w:t>
      </w:r>
      <w:proofErr w:type="spellEnd"/>
      <w:r w:rsidR="000B79D5" w:rsidRPr="00104012">
        <w:rPr>
          <w:sz w:val="16"/>
          <w:szCs w:val="16"/>
        </w:rPr>
        <w:t xml:space="preserve"> Pauta. 2001</w:t>
      </w:r>
    </w:p>
    <w:p w14:paraId="06B7CB37" w14:textId="4987A7DA" w:rsidR="000B79D5" w:rsidRPr="00104012" w:rsidRDefault="000B79D5" w:rsidP="00166542">
      <w:pPr>
        <w:pStyle w:val="PargrafodaLista"/>
        <w:numPr>
          <w:ilvl w:val="0"/>
          <w:numId w:val="2"/>
        </w:numPr>
        <w:spacing w:after="83" w:line="240" w:lineRule="auto"/>
        <w:contextualSpacing w:val="0"/>
        <w:jc w:val="both"/>
        <w:rPr>
          <w:color w:val="222222"/>
          <w:sz w:val="16"/>
          <w:szCs w:val="16"/>
          <w:shd w:val="clear" w:color="auto" w:fill="FFFFFF"/>
        </w:rPr>
      </w:pPr>
      <w:r w:rsidRPr="00104012">
        <w:rPr>
          <w:color w:val="222222"/>
          <w:sz w:val="16"/>
          <w:szCs w:val="16"/>
          <w:shd w:val="clear" w:color="auto" w:fill="FFFFFF"/>
        </w:rPr>
        <w:t>NUNES, Mara; BARROS, Renata; MOREIRA, Pedro; MOREIRA, André; ALMEIDA, Mário. </w:t>
      </w:r>
      <w:r w:rsidR="009A0B2A" w:rsidRPr="00104012">
        <w:rPr>
          <w:rStyle w:val="Forte"/>
          <w:color w:val="222222"/>
          <w:sz w:val="16"/>
          <w:szCs w:val="16"/>
          <w:shd w:val="clear" w:color="auto" w:fill="FFFFFF"/>
        </w:rPr>
        <w:t>Alergia Alimentar</w:t>
      </w:r>
      <w:r w:rsidRPr="00104012">
        <w:rPr>
          <w:rStyle w:val="Forte"/>
          <w:color w:val="222222"/>
          <w:sz w:val="16"/>
          <w:szCs w:val="16"/>
          <w:shd w:val="clear" w:color="auto" w:fill="FFFFFF"/>
        </w:rPr>
        <w:t>. </w:t>
      </w:r>
      <w:r w:rsidRPr="00104012">
        <w:rPr>
          <w:color w:val="222222"/>
          <w:sz w:val="16"/>
          <w:szCs w:val="16"/>
          <w:shd w:val="clear" w:color="auto" w:fill="FFFFFF"/>
        </w:rPr>
        <w:t>2012. Disponível em: &lt;https://www.dgs.pt/documentos-e-publicacoes/alergias-</w:t>
      </w:r>
      <w:r w:rsidR="00236130" w:rsidRPr="00104012">
        <w:rPr>
          <w:color w:val="222222"/>
          <w:sz w:val="16"/>
          <w:szCs w:val="16"/>
          <w:shd w:val="clear" w:color="auto" w:fill="FFFFFF"/>
        </w:rPr>
        <w:t>alimentares.aspx&gt;. Acesso em: 10 maio</w:t>
      </w:r>
      <w:r w:rsidRPr="00104012">
        <w:rPr>
          <w:color w:val="222222"/>
          <w:sz w:val="16"/>
          <w:szCs w:val="16"/>
          <w:shd w:val="clear" w:color="auto" w:fill="FFFFFF"/>
        </w:rPr>
        <w:t>. 2018.</w:t>
      </w:r>
    </w:p>
    <w:p w14:paraId="783F1AED" w14:textId="2DF528FD" w:rsidR="00BD681A" w:rsidRPr="00166542" w:rsidRDefault="00FA4286" w:rsidP="00166542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104012">
        <w:rPr>
          <w:sz w:val="16"/>
          <w:szCs w:val="16"/>
        </w:rPr>
        <w:t>GIL, Antônio Carlos. </w:t>
      </w:r>
      <w:r w:rsidRPr="00104012">
        <w:rPr>
          <w:b/>
          <w:bCs/>
          <w:sz w:val="16"/>
          <w:szCs w:val="16"/>
        </w:rPr>
        <w:t>Como elaborar projetos de pesquisa. </w:t>
      </w:r>
      <w:r w:rsidRPr="00104012">
        <w:rPr>
          <w:sz w:val="16"/>
          <w:szCs w:val="16"/>
        </w:rPr>
        <w:t>5. ed. São Paulo, SP: Atlas, 2010.</w:t>
      </w:r>
    </w:p>
    <w:sectPr w:rsidR="00BD681A" w:rsidRPr="00166542">
      <w:type w:val="continuous"/>
      <w:pgSz w:w="11909" w:h="16834"/>
      <w:pgMar w:top="1440" w:right="1440" w:bottom="1440" w:left="1440" w:header="0" w:footer="720" w:gutter="0"/>
      <w:cols w:num="2" w:space="720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73C"/>
    <w:multiLevelType w:val="hybridMultilevel"/>
    <w:tmpl w:val="8D9C0168"/>
    <w:lvl w:ilvl="0" w:tplc="5B347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52D3C38"/>
    <w:multiLevelType w:val="hybridMultilevel"/>
    <w:tmpl w:val="E904E64E"/>
    <w:lvl w:ilvl="0" w:tplc="D69484B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9A0720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44CA06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A49CD6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94F060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72DBF8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309456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CD60C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503A0E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1A"/>
    <w:rsid w:val="0001353D"/>
    <w:rsid w:val="000337A0"/>
    <w:rsid w:val="000B79D5"/>
    <w:rsid w:val="000E1450"/>
    <w:rsid w:val="000E3CB6"/>
    <w:rsid w:val="00104012"/>
    <w:rsid w:val="0015730F"/>
    <w:rsid w:val="00166542"/>
    <w:rsid w:val="00184A28"/>
    <w:rsid w:val="001B3A47"/>
    <w:rsid w:val="001E268E"/>
    <w:rsid w:val="002222BD"/>
    <w:rsid w:val="00236130"/>
    <w:rsid w:val="0026030C"/>
    <w:rsid w:val="002B77F5"/>
    <w:rsid w:val="002E5971"/>
    <w:rsid w:val="002F7C82"/>
    <w:rsid w:val="003C6A31"/>
    <w:rsid w:val="004371B4"/>
    <w:rsid w:val="0047380A"/>
    <w:rsid w:val="004A2240"/>
    <w:rsid w:val="004A5C3F"/>
    <w:rsid w:val="004D207C"/>
    <w:rsid w:val="004D55AA"/>
    <w:rsid w:val="005B0601"/>
    <w:rsid w:val="005F6A2A"/>
    <w:rsid w:val="00681EBB"/>
    <w:rsid w:val="00687858"/>
    <w:rsid w:val="006B0C13"/>
    <w:rsid w:val="006E74ED"/>
    <w:rsid w:val="006F4A96"/>
    <w:rsid w:val="00741BA0"/>
    <w:rsid w:val="007464D7"/>
    <w:rsid w:val="007F2CC0"/>
    <w:rsid w:val="00824866"/>
    <w:rsid w:val="008404FA"/>
    <w:rsid w:val="00865207"/>
    <w:rsid w:val="008C3CF2"/>
    <w:rsid w:val="008F0C96"/>
    <w:rsid w:val="00970DF5"/>
    <w:rsid w:val="009A0B2A"/>
    <w:rsid w:val="009B02FA"/>
    <w:rsid w:val="009D4AE7"/>
    <w:rsid w:val="00A11CC8"/>
    <w:rsid w:val="00A56042"/>
    <w:rsid w:val="00A74973"/>
    <w:rsid w:val="00A86EBD"/>
    <w:rsid w:val="00AC3061"/>
    <w:rsid w:val="00B34CEA"/>
    <w:rsid w:val="00B81AB0"/>
    <w:rsid w:val="00BA0A69"/>
    <w:rsid w:val="00BD681A"/>
    <w:rsid w:val="00C13175"/>
    <w:rsid w:val="00C66629"/>
    <w:rsid w:val="00C77935"/>
    <w:rsid w:val="00C947F3"/>
    <w:rsid w:val="00CA242B"/>
    <w:rsid w:val="00D45165"/>
    <w:rsid w:val="00D76944"/>
    <w:rsid w:val="00DF3E28"/>
    <w:rsid w:val="00E03A25"/>
    <w:rsid w:val="00E7572B"/>
    <w:rsid w:val="00E86ED6"/>
    <w:rsid w:val="00EE46C5"/>
    <w:rsid w:val="00F96BE6"/>
    <w:rsid w:val="00FA4286"/>
    <w:rsid w:val="00FB2280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4760"/>
  <w15:docId w15:val="{D6E206C1-3B08-4A9F-B227-FDE749E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4A22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22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22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22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22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2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24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0B79D5"/>
    <w:rPr>
      <w:b/>
      <w:bCs/>
    </w:rPr>
  </w:style>
  <w:style w:type="character" w:styleId="Hyperlink">
    <w:name w:val="Hyperlink"/>
    <w:basedOn w:val="Fontepargpadro"/>
    <w:uiPriority w:val="99"/>
    <w:unhideWhenUsed/>
    <w:rsid w:val="00F96BE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61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lananevess_@hot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Neves</dc:creator>
  <cp:lastModifiedBy>Ilana Neves</cp:lastModifiedBy>
  <cp:revision>2</cp:revision>
  <dcterms:created xsi:type="dcterms:W3CDTF">2018-06-24T02:39:00Z</dcterms:created>
  <dcterms:modified xsi:type="dcterms:W3CDTF">2018-06-24T02:39:00Z</dcterms:modified>
</cp:coreProperties>
</file>