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firstLine="0"/>
        <w:rPr/>
      </w:pPr>
      <w:r w:rsidDel="00000000" w:rsidR="00000000" w:rsidRPr="00000000">
        <w:rPr/>
        <w:drawing>
          <wp:inline distB="114300" distT="114300" distL="114300" distR="114300">
            <wp:extent cx="5753475" cy="381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475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8" w:sz="0" w:val="none"/>
        </w:pBdr>
        <w:spacing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SOCIODEMOGRÁFICOS SOBRE OS ACIDENTES POR ESCORPIÕES NO PIAUÍ ENTRE 2017 E 2021</w:t>
      </w:r>
    </w:p>
    <w:p w:rsidR="00000000" w:rsidDel="00000000" w:rsidP="00000000" w:rsidRDefault="00000000" w:rsidRPr="00000000" w14:paraId="00000003">
      <w:pPr>
        <w:pBdr>
          <w:bottom w:color="000000" w:space="8" w:sz="0" w:val="none"/>
        </w:pBd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¹Emily de Figueredo Pedrosa; ²Nicholle Akocayti Sábara Bezerra; ³Anderson Deivid Aguiar e Silva; ⁴Lourena Ferreira dos Reis Campos; ⁵Cynara Cristhina Aragão Pereira. ¹,²,³,⁴Acadêmicos de Enfermagem,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Amílcar Ferreira Sobral (CAFS), Universidade Federal do Piauí - UFPI, Floriano, Piauí, Brasil. ⁵Docente,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Amílcar Ferreira Sobral (CAFS), Universidade Federal do Piauí - UFPI, Floriano, Piauí, Brasil.</w:t>
      </w:r>
    </w:p>
    <w:p w:rsidR="00000000" w:rsidDel="00000000" w:rsidP="00000000" w:rsidRDefault="00000000" w:rsidRPr="00000000" w14:paraId="00000004">
      <w:pPr>
        <w:pBdr>
          <w:bottom w:color="000000" w:space="8" w:sz="0" w:val="none"/>
        </w:pBdr>
        <w:spacing w:lin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Eixo Temático: </w:t>
      </w:r>
      <w:r w:rsidDel="00000000" w:rsidR="00000000" w:rsidRPr="00000000">
        <w:rPr>
          <w:rtl w:val="0"/>
        </w:rPr>
        <w:t xml:space="preserve">Eixo Transversal</w:t>
      </w:r>
    </w:p>
    <w:p w:rsidR="00000000" w:rsidDel="00000000" w:rsidP="00000000" w:rsidRDefault="00000000" w:rsidRPr="00000000" w14:paraId="00000005">
      <w:pPr>
        <w:pBdr>
          <w:bottom w:color="000000" w:space="8" w:sz="0" w:val="none"/>
        </w:pBdr>
        <w:spacing w:line="240" w:lineRule="auto"/>
        <w:ind w:firstLine="0"/>
        <w:rPr>
          <w:color w:val="0563c1"/>
          <w:u w:val="single"/>
        </w:rPr>
      </w:pPr>
      <w:r w:rsidDel="00000000" w:rsidR="00000000" w:rsidRPr="00000000">
        <w:rPr>
          <w:b w:val="1"/>
          <w:rtl w:val="0"/>
        </w:rPr>
        <w:t xml:space="preserve">E-mail do Autor Principal: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emilyfigpedrosa@gmail.com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8" w:sz="0" w:val="none"/>
        </w:pBd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8" w:sz="0" w:val="none"/>
        </w:pBdr>
        <w:spacing w:lin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Os acidentes por escorpiões são de grande relevância à saúde pública brasileira uma vez que são mais comuns em regiões subtropicais e tropicais, sendo as quatro espécies desses animais de maior relevância as do gênero Tityus. Visto isso, sendo o Piauí localizado no nordeste, a segunda região de maior incidência de casos, e que os estudos voltados ao tema são escassos no estado, se faz necessária uma iniciativa estudo do tema visando a melhora nas atividades de vigilância em saúde.. </w:t>
      </w:r>
      <w:r w:rsidDel="00000000" w:rsidR="00000000" w:rsidRPr="00000000">
        <w:rPr>
          <w:b w:val="1"/>
          <w:rtl w:val="0"/>
        </w:rPr>
        <w:t xml:space="preserve">Objetivo</w:t>
      </w:r>
      <w:r w:rsidDel="00000000" w:rsidR="00000000" w:rsidRPr="00000000">
        <w:rPr>
          <w:rtl w:val="0"/>
        </w:rPr>
        <w:t xml:space="preserve">: Determinar o perfil sociodemográfico dos acidentes por escorpiões no Estado do Piauí entre 2017 e 2021. </w:t>
      </w:r>
      <w:r w:rsidDel="00000000" w:rsidR="00000000" w:rsidRPr="00000000">
        <w:rPr>
          <w:b w:val="1"/>
          <w:rtl w:val="0"/>
        </w:rPr>
        <w:t xml:space="preserve">Metodologia: </w:t>
      </w:r>
      <w:r w:rsidDel="00000000" w:rsidR="00000000" w:rsidRPr="00000000">
        <w:rPr>
          <w:rtl w:val="0"/>
        </w:rPr>
        <w:t xml:space="preserve">Trata-se de um estudo descritivo de abordagem quantitativa. A base de dados utilizada foi o Sistema de Informação de Agravos de Notificação (SINAN), dados estes disponibilizados pelo Departamento de Informática do Sistema Único de Saúde (DATASUS). As variáveis verificadas foram: casos por ano, faixa etária, sexo, município de ocorrência e região de saúde (CIR) de notificação. </w:t>
      </w:r>
      <w:r w:rsidDel="00000000" w:rsidR="00000000" w:rsidRPr="00000000">
        <w:rPr>
          <w:b w:val="1"/>
          <w:rtl w:val="0"/>
        </w:rPr>
        <w:t xml:space="preserve">Resultados e Discussão: </w:t>
      </w:r>
      <w:r w:rsidDel="00000000" w:rsidR="00000000" w:rsidRPr="00000000">
        <w:rPr>
          <w:rtl w:val="0"/>
        </w:rPr>
        <w:t xml:space="preserve">Entre os anos de 2017 e 2021 foram notificados 13.071 acidentes por picada de escorpião, sendo o ano de 2018 o de maior incidência com 2.826 (22%) casos e o de 2020 de menor, com 2.281 (17%) ocorrências inteiradas, decaimento este provavelmente devido à pandemia. A análise dos dados também mostrou que a faixa etária mais afetada foi entre 20-39 anos, com 4.032 (31%) casos, supostamente associada à trabalho doméstico e a manuseio de material de construção, e aquela acima dos 80 anos foi a de menor ocorrência, com 233 (2%). Foi demonstrado que os homens são o maior número de vítimas, totalizando 6.960 (53%) ocorrências, essa pequena diferença entre os sexos deve-se, possivelmente, pelo fato de que acidentes por escorpiões ocorrem em áreas urbanas e nos domicílios. Os três municípios de maior ocorrência foram, respectivamente,  Teresina com 1200 (9%) casos,  Picos com 626 (5%) e São Raimundo Nonato com 495 (4%), estes números estão diretamente ligados ao fato de serem umas das maiores cidades do Piauí. Fica evidente, ainda, que das Regiões de Saúde (CIR) de notificação, aquela com maior incidência é a Entre Rios, a mais urbanizada e com maior população das CIR, e a de menor incidÊncia sendo a dos Tabuleiros do Alto do Parnaíba, com o menor contingente populacional e onde há as maiores lavouras de soja e milho do Piauí, ou seja, a menos urbanizada. </w:t>
      </w:r>
      <w:r w:rsidDel="00000000" w:rsidR="00000000" w:rsidRPr="00000000">
        <w:rPr>
          <w:b w:val="1"/>
          <w:rtl w:val="0"/>
        </w:rPr>
        <w:t xml:space="preserve">Considerações Finais:</w:t>
      </w:r>
      <w:r w:rsidDel="00000000" w:rsidR="00000000" w:rsidRPr="00000000">
        <w:rPr>
          <w:rtl w:val="0"/>
        </w:rPr>
        <w:t xml:space="preserve"> Desse modo, foi evidenciado que a maior incidência, entre 2017 e 2021, foi no ano de 2018, afetou mais pessoas entre 20-39 anos, o maior número de vítimas foram homens, a cidade com mais notificação foi Teresina e a Região de saúde (CIR) com mais notificação foi a Entre Rios. Por fim, os dados epidemiológicos e sociodemográficos coletados sustentam as futuras medidas tomadas para diminuir a incidência dos casos e tornar as ações de saúde mais eficazes.</w:t>
      </w:r>
    </w:p>
    <w:p w:rsidR="00000000" w:rsidDel="00000000" w:rsidP="00000000" w:rsidRDefault="00000000" w:rsidRPr="00000000" w14:paraId="00000008">
      <w:pPr>
        <w:pBdr>
          <w:bottom w:color="000000" w:space="8" w:sz="0" w:val="none"/>
        </w:pBdr>
        <w:spacing w:lin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Animais venenosos; Epidemiologia;  Picadas de escorpião</w:t>
      </w:r>
    </w:p>
    <w:p w:rsidR="00000000" w:rsidDel="00000000" w:rsidP="00000000" w:rsidRDefault="00000000" w:rsidRPr="00000000" w14:paraId="00000009">
      <w:pPr>
        <w:pBdr>
          <w:bottom w:color="000000" w:space="8" w:sz="0" w:val="none"/>
        </w:pBd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8" w:sz="0" w:val="none"/>
        </w:pBdr>
        <w:spacing w:line="240" w:lineRule="auto"/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ALMEIDA, J. S.;  CORDEIRO; E. C; SILVA, T. S. </w:t>
      </w:r>
      <w:r w:rsidDel="00000000" w:rsidR="00000000" w:rsidRPr="00000000">
        <w:rPr>
          <w:b w:val="1"/>
          <w:rtl w:val="0"/>
        </w:rPr>
        <w:t xml:space="preserve">Epidemiological profile of accidents involving poisony animals in the state of Maranhao</w:t>
      </w:r>
      <w:r w:rsidDel="00000000" w:rsidR="00000000" w:rsidRPr="00000000">
        <w:rPr>
          <w:rtl w:val="0"/>
        </w:rPr>
        <w:t xml:space="preserve">. Revista Ciência Plural, v. 7, n. 1, p. 72-87, 2021.</w:t>
      </w:r>
    </w:p>
    <w:p w:rsidR="00000000" w:rsidDel="00000000" w:rsidP="00000000" w:rsidRDefault="00000000" w:rsidRPr="00000000" w14:paraId="0000000C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BRASIL. Ministério da Saúde, Coordenação Geral de Vigilância de Zoonoses e Doenças de Transmissão Vetorial do Departamento de Imunização e Doenças Transmissíveis (CGZV/Deidt/SVS). </w:t>
      </w:r>
      <w:r w:rsidDel="00000000" w:rsidR="00000000" w:rsidRPr="00000000">
        <w:rPr>
          <w:b w:val="1"/>
          <w:rtl w:val="0"/>
        </w:rPr>
        <w:t xml:space="preserve">Boletim epidemiológico</w:t>
      </w:r>
      <w:r w:rsidDel="00000000" w:rsidR="00000000" w:rsidRPr="00000000">
        <w:rPr>
          <w:rtl w:val="0"/>
        </w:rPr>
        <w:t xml:space="preserve">, Brasília, v. 53, n. 48, Dez, 2022. </w:t>
      </w:r>
    </w:p>
    <w:p w:rsidR="00000000" w:rsidDel="00000000" w:rsidP="00000000" w:rsidRDefault="00000000" w:rsidRPr="00000000" w14:paraId="0000000E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BRASIL. Governo do Estado, Secretaria de Estado de Saúde. Regionais de Saúde. Disponível em: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http://www.saude.pi.gov.br/paginas/regionais-de-saude</w:t>
        </w:r>
      </w:hyperlink>
      <w:r w:rsidDel="00000000" w:rsidR="00000000" w:rsidRPr="00000000">
        <w:rPr>
          <w:rtl w:val="0"/>
        </w:rPr>
        <w:t xml:space="preserve">. Acesso em: 20 fev. 2023.</w:t>
      </w:r>
    </w:p>
    <w:p w:rsidR="00000000" w:rsidDel="00000000" w:rsidP="00000000" w:rsidRDefault="00000000" w:rsidRPr="00000000" w14:paraId="00000010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8" w:sz="0" w:val="none"/>
        </w:pBdr>
        <w:spacing w:line="240" w:lineRule="auto"/>
        <w:ind w:firstLine="0"/>
        <w:jc w:val="left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LUCENA, Malson Neilson de et al. Conhecendo os escorpiões: um guia para entender como prevenir os acidentes com escorpiões. </w:t>
      </w:r>
      <w:r w:rsidDel="00000000" w:rsidR="00000000" w:rsidRPr="00000000">
        <w:rPr>
          <w:b w:val="1"/>
          <w:color w:val="222222"/>
          <w:rtl w:val="0"/>
        </w:rPr>
        <w:t xml:space="preserve">CADERNOS PÓS STRICTO SENSU UFMS</w:t>
      </w:r>
      <w:r w:rsidDel="00000000" w:rsidR="00000000" w:rsidRPr="00000000">
        <w:rPr>
          <w:color w:val="222222"/>
          <w:rtl w:val="0"/>
        </w:rPr>
        <w:t xml:space="preserve">, 2021.</w:t>
      </w:r>
    </w:p>
    <w:p w:rsidR="00000000" w:rsidDel="00000000" w:rsidP="00000000" w:rsidRDefault="00000000" w:rsidRPr="00000000" w14:paraId="00000012">
      <w:pPr>
        <w:pBdr>
          <w:bottom w:color="000000" w:space="8" w:sz="0" w:val="none"/>
        </w:pBdr>
        <w:spacing w:line="240" w:lineRule="auto"/>
        <w:ind w:firstLine="0"/>
        <w:jc w:val="left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8" w:sz="0" w:val="none"/>
        </w:pBdr>
        <w:spacing w:line="240" w:lineRule="auto"/>
        <w:ind w:firstLine="0"/>
        <w:jc w:val="left"/>
        <w:rPr>
          <w:color w:val="222222"/>
          <w:sz w:val="30"/>
          <w:szCs w:val="30"/>
        </w:rPr>
      </w:pPr>
      <w:r w:rsidDel="00000000" w:rsidR="00000000" w:rsidRPr="00000000">
        <w:rPr>
          <w:color w:val="222222"/>
          <w:rtl w:val="0"/>
        </w:rPr>
        <w:t xml:space="preserve">SILVA, Ageane Mota da; BERNARDE, Paulo Sérgio; ABREU, Luiz Carlos de. </w:t>
      </w:r>
      <w:r w:rsidDel="00000000" w:rsidR="00000000" w:rsidRPr="00000000">
        <w:rPr>
          <w:b w:val="1"/>
          <w:color w:val="222222"/>
          <w:rtl w:val="0"/>
        </w:rPr>
        <w:t xml:space="preserve">Acidentes com animais peçonhentos no Brasil por sexo e idade</w:t>
      </w:r>
      <w:r w:rsidDel="00000000" w:rsidR="00000000" w:rsidRPr="00000000">
        <w:rPr>
          <w:color w:val="222222"/>
          <w:rtl w:val="0"/>
        </w:rPr>
        <w:t xml:space="preserve">.</w:t>
      </w:r>
      <w:r w:rsidDel="00000000" w:rsidR="00000000" w:rsidRPr="00000000">
        <w:rPr>
          <w:b w:val="1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Rev. bras. crescimento desenvolv. hum.,  São Paulo ,  v. 25, n. 1, p. 54-62,   2015 .   Disponível em &lt;http://pepsic.bvsalud.org/scielo.php?script=sci_arttext&amp;pid=S0104-12822015000100007&amp;lng=pt&amp;nrm=iso&gt;. acessos em  20  fev.  2023.  http://dx.doi.org/10.7322/JHGD.96768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" w:top="1700" w:left="1700" w:right="11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highlight w:val="white"/>
        <w:lang w:val="pt-BR"/>
      </w:rPr>
    </w:rPrDefault>
    <w:pPrDefault>
      <w:pPr>
        <w:spacing w:line="36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firstLine="0"/>
      <w:jc w:val="left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ind w:left="566" w:firstLine="0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240" w:lineRule="auto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Rule="auto"/>
      <w:ind w:left="780" w:hanging="1063"/>
      <w:jc w:val="center"/>
    </w:pPr>
    <w:rPr>
      <w:b w:val="1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ind w:firstLine="0"/>
      <w:jc w:val="left"/>
      <w:outlineLvl w:val="0"/>
    </w:pPr>
    <w:rPr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left="566" w:firstLine="0"/>
      <w:outlineLvl w:val="1"/>
    </w:p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/>
      <w:outlineLvl w:val="2"/>
    </w:p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200"/>
      <w:ind w:left="780" w:hanging="1063"/>
      <w:jc w:val="center"/>
    </w:pPr>
    <w:rPr>
      <w:b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200"/>
      <w:ind w:left="780" w:hanging="1063"/>
      <w:jc w:val="center"/>
    </w:pPr>
    <w:rPr>
      <w:b w:val="1"/>
      <w:sz w:val="32"/>
      <w:szCs w:val="32"/>
    </w:rPr>
  </w:style>
  <w:style w:type="character" w:styleId="Hyperlink">
    <w:name w:val="Hyperlink"/>
    <w:basedOn w:val="Fontepargpadro"/>
    <w:uiPriority w:val="99"/>
    <w:unhideWhenUsed w:val="1"/>
    <w:rsid w:val="007F1CE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F1CE0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045063"/>
    <w:pPr>
      <w:spacing w:after="100" w:afterAutospacing="1" w:before="100" w:beforeAutospacing="1" w:line="240" w:lineRule="auto"/>
      <w:ind w:firstLine="0"/>
      <w:jc w:val="left"/>
    </w:pPr>
    <w:rPr>
      <w:highlight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ind w:left="780" w:hanging="1063"/>
      <w:jc w:val="center"/>
    </w:pPr>
    <w:rPr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aude.pi.gov.br/paginas/regionais-de-saud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emilyfigpedro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y9DtIZ2AQ5hkFtCxfQy6Xxh6rg==">AMUW2mUaz6fXLJSUS0pfU+HBWWQm6dKiqZnSOA+Xvklrs7JNLzvTLFFpOedMp5S5YQG4ar/CzZ5cjA8ZvXmf7G3MBEs853m7XnLV0fyNzugg1nBkXA5yRpw=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2023-02-23T16:43:00Z</dcterms:created>
  <dc:creator>naian</dc:creator>
</cp:coreProperties>
</file>