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21" w:rsidRPr="00D419DE" w:rsidRDefault="00743C21" w:rsidP="00743C2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9DE">
        <w:rPr>
          <w:rFonts w:ascii="Times New Roman" w:hAnsi="Times New Roman" w:cs="Times New Roman"/>
          <w:b/>
          <w:sz w:val="20"/>
          <w:szCs w:val="20"/>
        </w:rPr>
        <w:t>PERFIL EPIDEMIOLÓGICO DE PACIENTES COM AIDS EM UM HOSPITAL UNIVERSITÁRIO NO RECIFE-PE</w:t>
      </w:r>
    </w:p>
    <w:p w:rsidR="00C624D9" w:rsidRPr="00D419DE" w:rsidRDefault="00C624D9" w:rsidP="00743C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3C21" w:rsidRPr="00D419DE" w:rsidRDefault="00743C21" w:rsidP="00743C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3C21" w:rsidRPr="00D419DE" w:rsidRDefault="00743C21" w:rsidP="00AB48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Severina Etelvina da Silva</w:t>
      </w:r>
      <w:r w:rsidRPr="00D419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419D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AB48B6" w:rsidRPr="00D419DE">
        <w:rPr>
          <w:rFonts w:ascii="Times New Roman" w:hAnsi="Times New Roman" w:cs="Times New Roman"/>
          <w:sz w:val="20"/>
          <w:szCs w:val="20"/>
        </w:rPr>
        <w:t>Leidiane</w:t>
      </w:r>
      <w:proofErr w:type="spellEnd"/>
      <w:r w:rsidR="00AB48B6" w:rsidRPr="00D419DE">
        <w:rPr>
          <w:rFonts w:ascii="Times New Roman" w:hAnsi="Times New Roman" w:cs="Times New Roman"/>
          <w:sz w:val="20"/>
          <w:szCs w:val="20"/>
        </w:rPr>
        <w:t xml:space="preserve"> Maria Santos Silva</w:t>
      </w:r>
      <w:r w:rsidR="00AB48B6" w:rsidRPr="00D419D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B48B6" w:rsidRPr="00D419DE">
        <w:rPr>
          <w:rFonts w:ascii="Times New Roman" w:hAnsi="Times New Roman" w:cs="Times New Roman"/>
          <w:sz w:val="20"/>
          <w:szCs w:val="20"/>
        </w:rPr>
        <w:t>; A</w:t>
      </w:r>
      <w:r w:rsidRPr="00D419DE">
        <w:rPr>
          <w:rFonts w:ascii="Times New Roman" w:hAnsi="Times New Roman" w:cs="Times New Roman"/>
          <w:sz w:val="20"/>
          <w:szCs w:val="20"/>
        </w:rPr>
        <w:t>driana Vitorino Arruda Prado</w:t>
      </w:r>
      <w:r w:rsidR="00AB48B6" w:rsidRPr="00D419D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19DE">
        <w:rPr>
          <w:rFonts w:ascii="Times New Roman" w:hAnsi="Times New Roman" w:cs="Times New Roman"/>
          <w:sz w:val="20"/>
          <w:szCs w:val="20"/>
        </w:rPr>
        <w:t>; Conceição Maria de Oliveira</w:t>
      </w:r>
      <w:r w:rsidR="00D419DE" w:rsidRPr="00D419D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D419DE">
        <w:rPr>
          <w:rFonts w:ascii="Times New Roman" w:hAnsi="Times New Roman" w:cs="Times New Roman"/>
          <w:sz w:val="20"/>
          <w:szCs w:val="20"/>
        </w:rPr>
        <w:t>.</w:t>
      </w:r>
    </w:p>
    <w:p w:rsidR="00743C21" w:rsidRPr="00D419DE" w:rsidRDefault="00AB48B6" w:rsidP="00AB48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1 – Enfermeira. Apresentadora</w:t>
      </w:r>
      <w:r w:rsidR="004144AF">
        <w:rPr>
          <w:rFonts w:ascii="Times New Roman" w:hAnsi="Times New Roman" w:cs="Times New Roman"/>
          <w:sz w:val="20"/>
          <w:szCs w:val="20"/>
        </w:rPr>
        <w:t>.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 xml:space="preserve"> 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>Recife, Pernambuco</w:t>
      </w:r>
      <w:r w:rsidR="004144AF">
        <w:rPr>
          <w:rStyle w:val="fontstyle01"/>
          <w:rFonts w:ascii="Times New Roman" w:hAnsi="Times New Roman" w:cs="Times New Roman"/>
          <w:sz w:val="20"/>
        </w:rPr>
        <w:t>. Brasil</w:t>
      </w:r>
      <w:r w:rsidR="004144AF">
        <w:rPr>
          <w:rFonts w:ascii="Times New Roman" w:hAnsi="Times New Roman" w:cs="Times New Roman"/>
          <w:sz w:val="20"/>
          <w:szCs w:val="20"/>
        </w:rPr>
        <w:t>. 2-</w:t>
      </w:r>
      <w:r w:rsidRPr="00D419DE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>Enfermeira</w:t>
      </w:r>
      <w:r w:rsidR="004144AF">
        <w:rPr>
          <w:rFonts w:ascii="Times New Roman" w:hAnsi="Times New Roman" w:cs="Times New Roman"/>
          <w:sz w:val="20"/>
          <w:szCs w:val="20"/>
        </w:rPr>
        <w:t>.</w:t>
      </w:r>
      <w:r w:rsidRPr="00D419DE">
        <w:rPr>
          <w:rFonts w:ascii="Times New Roman" w:hAnsi="Times New Roman" w:cs="Times New Roman"/>
          <w:sz w:val="20"/>
          <w:szCs w:val="20"/>
        </w:rPr>
        <w:t xml:space="preserve"> Pós </w:t>
      </w:r>
      <w:r w:rsidR="004144AF">
        <w:rPr>
          <w:rFonts w:ascii="Times New Roman" w:hAnsi="Times New Roman" w:cs="Times New Roman"/>
          <w:sz w:val="20"/>
          <w:szCs w:val="20"/>
        </w:rPr>
        <w:t>graduanda em Saúde Pública e da</w:t>
      </w:r>
      <w:r w:rsidRPr="00D419DE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>f</w:t>
      </w:r>
      <w:r w:rsidRPr="00D419DE">
        <w:rPr>
          <w:rFonts w:ascii="Times New Roman" w:hAnsi="Times New Roman" w:cs="Times New Roman"/>
          <w:sz w:val="20"/>
          <w:szCs w:val="20"/>
        </w:rPr>
        <w:t>amília com ênfase e</w:t>
      </w:r>
      <w:r w:rsidR="004144AF">
        <w:rPr>
          <w:rFonts w:ascii="Times New Roman" w:hAnsi="Times New Roman" w:cs="Times New Roman"/>
          <w:sz w:val="20"/>
          <w:szCs w:val="20"/>
        </w:rPr>
        <w:t xml:space="preserve">m </w:t>
      </w:r>
      <w:proofErr w:type="spellStart"/>
      <w:r w:rsidR="004144AF">
        <w:rPr>
          <w:rFonts w:ascii="Times New Roman" w:hAnsi="Times New Roman" w:cs="Times New Roman"/>
          <w:sz w:val="20"/>
          <w:szCs w:val="20"/>
        </w:rPr>
        <w:t>sanitarismo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pelo grupo ALPHA.</w:t>
      </w:r>
      <w:r w:rsidR="004144AF">
        <w:rPr>
          <w:rFonts w:ascii="Times New Roman" w:hAnsi="Times New Roman" w:cs="Times New Roman"/>
          <w:sz w:val="20"/>
          <w:szCs w:val="20"/>
        </w:rPr>
        <w:t xml:space="preserve"> 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>Recife,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 xml:space="preserve"> 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>Pernambuco</w:t>
      </w:r>
      <w:r w:rsidR="004144AF">
        <w:rPr>
          <w:rStyle w:val="fontstyle01"/>
        </w:rPr>
        <w:t>. Brasil</w:t>
      </w:r>
      <w:r w:rsidR="004144AF">
        <w:rPr>
          <w:rFonts w:ascii="Times New Roman" w:hAnsi="Times New Roman" w:cs="Times New Roman"/>
          <w:sz w:val="20"/>
          <w:szCs w:val="20"/>
        </w:rPr>
        <w:t>.</w:t>
      </w:r>
      <w:r w:rsidRPr="00D419DE">
        <w:rPr>
          <w:rFonts w:ascii="Times New Roman" w:hAnsi="Times New Roman" w:cs="Times New Roman"/>
          <w:sz w:val="20"/>
          <w:szCs w:val="20"/>
        </w:rPr>
        <w:t xml:space="preserve"> 3</w:t>
      </w:r>
      <w:r w:rsidR="00743C21" w:rsidRPr="00D419DE">
        <w:rPr>
          <w:rFonts w:ascii="Times New Roman" w:hAnsi="Times New Roman" w:cs="Times New Roman"/>
          <w:sz w:val="20"/>
          <w:szCs w:val="20"/>
        </w:rPr>
        <w:t xml:space="preserve"> –</w:t>
      </w:r>
      <w:r w:rsidR="004144AF">
        <w:rPr>
          <w:rFonts w:ascii="Times New Roman" w:hAnsi="Times New Roman" w:cs="Times New Roman"/>
          <w:sz w:val="20"/>
          <w:szCs w:val="20"/>
        </w:rPr>
        <w:t xml:space="preserve"> Mestre</w:t>
      </w:r>
      <w:r w:rsidR="00743C21" w:rsidRPr="00D419DE">
        <w:rPr>
          <w:rFonts w:ascii="Times New Roman" w:hAnsi="Times New Roman" w:cs="Times New Roman"/>
          <w:sz w:val="20"/>
          <w:szCs w:val="20"/>
        </w:rPr>
        <w:t xml:space="preserve"> em Enfermagem em Promoção da Saúde, Hospit</w:t>
      </w:r>
      <w:r w:rsidRPr="00D419DE">
        <w:rPr>
          <w:rFonts w:ascii="Times New Roman" w:hAnsi="Times New Roman" w:cs="Times New Roman"/>
          <w:sz w:val="20"/>
          <w:szCs w:val="20"/>
        </w:rPr>
        <w:t>al Universitário Oswaldo Cruz.</w:t>
      </w:r>
      <w:r w:rsidR="004144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144AF">
        <w:rPr>
          <w:rFonts w:ascii="Times New Roman" w:hAnsi="Times New Roman" w:cs="Times New Roman"/>
          <w:sz w:val="20"/>
          <w:szCs w:val="20"/>
        </w:rPr>
        <w:t>Co-orientadora</w:t>
      </w:r>
      <w:proofErr w:type="spellEnd"/>
      <w:proofErr w:type="gramEnd"/>
      <w:r w:rsidR="004144AF">
        <w:rPr>
          <w:rFonts w:ascii="Times New Roman" w:hAnsi="Times New Roman" w:cs="Times New Roman"/>
          <w:sz w:val="20"/>
          <w:szCs w:val="20"/>
        </w:rPr>
        <w:t xml:space="preserve">. </w:t>
      </w:r>
      <w:r w:rsidR="004144AF" w:rsidRPr="004144AF">
        <w:rPr>
          <w:rStyle w:val="fontstyle01"/>
          <w:rFonts w:ascii="Times New Roman" w:hAnsi="Times New Roman" w:cs="Times New Roman"/>
          <w:sz w:val="20"/>
        </w:rPr>
        <w:t>Recife, Pernambuco</w:t>
      </w:r>
      <w:r w:rsidR="004144AF">
        <w:rPr>
          <w:rStyle w:val="fontstyle01"/>
          <w:rFonts w:ascii="Times New Roman" w:hAnsi="Times New Roman" w:cs="Times New Roman"/>
          <w:sz w:val="20"/>
        </w:rPr>
        <w:t>. Brasil</w:t>
      </w:r>
      <w:r w:rsidR="004144AF">
        <w:rPr>
          <w:rFonts w:ascii="Times New Roman" w:hAnsi="Times New Roman" w:cs="Times New Roman"/>
          <w:sz w:val="20"/>
          <w:szCs w:val="20"/>
        </w:rPr>
        <w:t>.</w:t>
      </w:r>
      <w:r w:rsidRPr="00D419DE">
        <w:rPr>
          <w:rFonts w:ascii="Times New Roman" w:hAnsi="Times New Roman" w:cs="Times New Roman"/>
          <w:sz w:val="20"/>
          <w:szCs w:val="20"/>
        </w:rPr>
        <w:t xml:space="preserve"> 4</w:t>
      </w:r>
      <w:r w:rsidR="00743C21" w:rsidRPr="00D419DE">
        <w:rPr>
          <w:rFonts w:ascii="Times New Roman" w:hAnsi="Times New Roman" w:cs="Times New Roman"/>
          <w:sz w:val="20"/>
          <w:szCs w:val="20"/>
        </w:rPr>
        <w:t xml:space="preserve"> –</w:t>
      </w:r>
      <w:r w:rsidR="004144AF">
        <w:rPr>
          <w:rFonts w:ascii="Times New Roman" w:hAnsi="Times New Roman" w:cs="Times New Roman"/>
          <w:sz w:val="20"/>
          <w:szCs w:val="20"/>
        </w:rPr>
        <w:t xml:space="preserve"> Doutora</w:t>
      </w:r>
      <w:r w:rsidR="00743C21" w:rsidRPr="00D419DE">
        <w:rPr>
          <w:rFonts w:ascii="Times New Roman" w:hAnsi="Times New Roman" w:cs="Times New Roman"/>
          <w:sz w:val="20"/>
          <w:szCs w:val="20"/>
        </w:rPr>
        <w:t xml:space="preserve"> em Saúde Pública, Docente do Centro Universitário Maurício de Nassau</w:t>
      </w:r>
      <w:r w:rsidRPr="00D419DE">
        <w:rPr>
          <w:rFonts w:ascii="Times New Roman" w:hAnsi="Times New Roman" w:cs="Times New Roman"/>
          <w:sz w:val="20"/>
          <w:szCs w:val="20"/>
        </w:rPr>
        <w:t>.</w:t>
      </w:r>
      <w:r w:rsidR="004144AF" w:rsidRPr="004144AF">
        <w:rPr>
          <w:rFonts w:ascii="Times New Roman" w:hAnsi="Times New Roman" w:cs="Times New Roman"/>
          <w:sz w:val="20"/>
          <w:szCs w:val="20"/>
        </w:rPr>
        <w:t xml:space="preserve"> </w:t>
      </w:r>
      <w:r w:rsidR="004144AF" w:rsidRPr="00D419DE">
        <w:rPr>
          <w:rFonts w:ascii="Times New Roman" w:hAnsi="Times New Roman" w:cs="Times New Roman"/>
          <w:sz w:val="20"/>
          <w:szCs w:val="20"/>
        </w:rPr>
        <w:t>Orientadora</w:t>
      </w:r>
      <w:r w:rsidR="004144AF">
        <w:rPr>
          <w:rFonts w:ascii="Times New Roman" w:hAnsi="Times New Roman" w:cs="Times New Roman"/>
          <w:sz w:val="20"/>
          <w:szCs w:val="20"/>
        </w:rPr>
        <w:t>.</w:t>
      </w:r>
      <w:r w:rsidRPr="00D419DE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>Recif</w:t>
      </w:r>
      <w:r w:rsidR="004144AF">
        <w:rPr>
          <w:rFonts w:ascii="Times New Roman" w:hAnsi="Times New Roman" w:cs="Times New Roman"/>
          <w:sz w:val="20"/>
          <w:szCs w:val="20"/>
        </w:rPr>
        <w:t>e, Pernambuco. Brasil.</w:t>
      </w:r>
    </w:p>
    <w:p w:rsidR="00743C21" w:rsidRPr="00D419DE" w:rsidRDefault="00743C21" w:rsidP="00743C2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3C21" w:rsidRPr="00D419DE" w:rsidRDefault="00743C21" w:rsidP="00621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t-BR"/>
        </w:rPr>
      </w:pPr>
    </w:p>
    <w:p w:rsidR="00621A77" w:rsidRPr="00D419DE" w:rsidRDefault="00D419DE" w:rsidP="00AB48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21A77" w:rsidRPr="00D419DE">
        <w:rPr>
          <w:rFonts w:ascii="Times New Roman" w:hAnsi="Times New Roman" w:cs="Times New Roman"/>
          <w:sz w:val="20"/>
          <w:szCs w:val="20"/>
        </w:rPr>
        <w:t>A síndrome da imunodeficiência adquirida (</w:t>
      </w:r>
      <w:proofErr w:type="gramStart"/>
      <w:r w:rsidR="00621A77"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="00621A77" w:rsidRPr="00D419DE">
        <w:rPr>
          <w:rFonts w:ascii="Times New Roman" w:hAnsi="Times New Roman" w:cs="Times New Roman"/>
          <w:sz w:val="20"/>
          <w:szCs w:val="20"/>
        </w:rPr>
        <w:t xml:space="preserve">) é uma doença causada pelo vírus da imunodeficiência humana (HIV). Sua transmissão acontece através do contato com sangue contaminado, secreção vaginal, esperma ou leite materno. O agente infeccioso ao ingressar na corrente sanguínea acomete em quase sua totalidade os linfócitos de grupamento </w:t>
      </w:r>
      <w:r w:rsidR="00621A77" w:rsidRPr="00D419DE">
        <w:rPr>
          <w:rFonts w:ascii="Times New Roman" w:hAnsi="Times New Roman" w:cs="Times New Roman"/>
          <w:color w:val="222222"/>
          <w:sz w:val="20"/>
          <w:szCs w:val="20"/>
        </w:rPr>
        <w:t>de diferenciação quatro</w:t>
      </w:r>
      <w:r w:rsidR="00621A77" w:rsidRPr="00D419DE">
        <w:rPr>
          <w:rFonts w:ascii="Times New Roman" w:hAnsi="Times New Roman" w:cs="Times New Roman"/>
          <w:sz w:val="20"/>
          <w:szCs w:val="20"/>
        </w:rPr>
        <w:t xml:space="preserve"> (CD4), os quais fazem parte da proteção do organismo </w:t>
      </w:r>
      <w:r w:rsidR="00621A77"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(ARAÚJO </w:t>
      </w:r>
      <w:proofErr w:type="gramStart"/>
      <w:r w:rsidR="00621A77" w:rsidRPr="00D419DE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="00621A77"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al., 2015; SILVA et al., 2013).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Estes são importantes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 xml:space="preserve"> </w:t>
      </w:r>
      <w:r w:rsidR="00D419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>na identificação, ataque e na destruição das bactérias, fungos e vírus que</w:t>
      </w:r>
      <w:bookmarkStart w:id="0" w:name="__DdeLink__648_3375157980"/>
      <w:r w:rsidRPr="00D419DE">
        <w:rPr>
          <w:rFonts w:ascii="Times New Roman" w:hAnsi="Times New Roman" w:cs="Times New Roman"/>
          <w:sz w:val="20"/>
          <w:szCs w:val="20"/>
        </w:rPr>
        <w:t xml:space="preserve"> invade</w:t>
      </w:r>
      <w:bookmarkEnd w:id="0"/>
      <w:r w:rsidRPr="00D419DE">
        <w:rPr>
          <w:rFonts w:ascii="Times New Roman" w:hAnsi="Times New Roman" w:cs="Times New Roman"/>
          <w:sz w:val="20"/>
          <w:szCs w:val="20"/>
        </w:rPr>
        <w:t xml:space="preserve">m o corpo. O número de linfócitos CD4 na circulação sanguínea diminui com o aumento da infecção, de forma progressiva pode perdurar por anos até </w:t>
      </w:r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aparecimento </w:t>
      </w:r>
      <w:r w:rsidRPr="00D419DE">
        <w:rPr>
          <w:rFonts w:ascii="Times New Roman" w:hAnsi="Times New Roman" w:cs="Times New Roman"/>
          <w:sz w:val="20"/>
          <w:szCs w:val="20"/>
        </w:rPr>
        <w:t xml:space="preserve">dos sintomas associados à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. </w:t>
      </w:r>
      <w:bookmarkStart w:id="1" w:name="__DdeLink__1048_113652820"/>
      <w:r w:rsidRPr="00D419DE">
        <w:rPr>
          <w:rFonts w:ascii="Times New Roman" w:hAnsi="Times New Roman" w:cs="Times New Roman"/>
          <w:sz w:val="20"/>
          <w:szCs w:val="20"/>
        </w:rPr>
        <w:t xml:space="preserve">A eclosão de patologias oportunistas, como tuberculose disseminada;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neurotoxoplasmose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; pneumonia por </w:t>
      </w:r>
      <w:proofErr w:type="spellStart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Pneumocystis</w:t>
      </w:r>
      <w:proofErr w:type="spellEnd"/>
      <w:r w:rsid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Carini</w:t>
      </w:r>
      <w:proofErr w:type="spellEnd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;</w:t>
      </w:r>
      <w:r w:rsidR="00D419DE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 xml:space="preserve">câncer, como sarcoma de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Kaposi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, linfoma não Hodgkin e outros linfomas, e câncer cervical invasivo; e contagem de linfócitos CD4 menor que 350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>/mm</w:t>
      </w:r>
      <w:r w:rsidRPr="00D419DE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D419DE">
        <w:rPr>
          <w:rFonts w:ascii="Times New Roman" w:hAnsi="Times New Roman" w:cs="Times New Roman"/>
          <w:sz w:val="20"/>
          <w:szCs w:val="20"/>
        </w:rPr>
        <w:t xml:space="preserve">são indicadores da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bookmarkEnd w:id="1"/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>(MELO et al., 2017).</w:t>
      </w:r>
    </w:p>
    <w:p w:rsidR="00621A77" w:rsidRPr="00D419DE" w:rsidRDefault="00621A77" w:rsidP="00621A77">
      <w:pPr>
        <w:spacing w:after="0" w:line="360" w:lineRule="auto"/>
        <w:ind w:firstLine="715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O diagnóstico do HIV é realizado por meio de testes rápidos, exames de sangue com contagem dos linfócitos CD4 e CD8, teste de resistência genotípica e fenotípica do HIV. Esses exames são usados combinados à carga viral do HIV para avaliar o progresso do prognóstico da doença e a eficácia do tratamento (SILVA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al., 2016).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A introdução da terapia antirretroviral (TARV) com a combinação de três medicamentos em um só é o principal fator de diminuição de morbimortalidade em pacientes soropositivos, pois colabora com o restabelecimento funcional do sistema imunológico 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(GUIMARÃES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al., 2017; SILVA et al., 2016).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>O HIV acomete principalmente adultos jovens e costuma trazer impacto socioeconômico em âmbito mundial. Transcorrido mais de 30 anos desde o início da epidemia, foi possível observar mudanças no processo de contagio da doença.</w:t>
      </w:r>
      <w:r w:rsidRPr="00D419DE">
        <w:rPr>
          <w:rFonts w:ascii="Times New Roman" w:hAnsi="Times New Roman" w:cs="Times New Roman"/>
          <w:sz w:val="20"/>
          <w:szCs w:val="20"/>
        </w:rPr>
        <w:t xml:space="preserve"> Antes a infecção era específica de uma população de risco (hemofílicos, homossexuais, bissexuais masculinos e profissionais do sexo) e característica dos grandes centros urbanos. Contudo, tem passado por um processo de heterossexualização,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feminização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, envelhecimento, pauperização e propagação nas cidades com menos habitantes; sucedendo assim um novo perfil epidemiológico 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(CASTRO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al., 2013; QUADROS et al., 2016; SILVA et al., 2013; VILELA et al., 2017).</w:t>
      </w:r>
    </w:p>
    <w:p w:rsidR="00621A77" w:rsidRPr="00D419DE" w:rsidRDefault="00621A77" w:rsidP="00621A77">
      <w:pPr>
        <w:pStyle w:val="Corpodetexto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No ano de 2012 a epidemia da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apontou cerca de 35,3 milhões de indivíduos convivendo com o vírus e 2,3 milhões de novos casos no mundo. </w:t>
      </w:r>
      <w:r w:rsidRPr="00D419DE">
        <w:rPr>
          <w:rFonts w:ascii="Times New Roman" w:hAnsi="Times New Roman" w:cs="Times New Roman"/>
          <w:sz w:val="20"/>
          <w:szCs w:val="20"/>
          <w:lang w:val="en-US"/>
        </w:rPr>
        <w:t xml:space="preserve">Segundo a </w:t>
      </w:r>
      <w:proofErr w:type="gramStart"/>
      <w:r w:rsidRPr="00D419DE">
        <w:rPr>
          <w:rFonts w:ascii="Times New Roman" w:hAnsi="Times New Roman" w:cs="Times New Roman"/>
          <w:i/>
          <w:iCs/>
          <w:sz w:val="20"/>
          <w:szCs w:val="20"/>
          <w:lang w:val="en-US"/>
        </w:rPr>
        <w:t>The</w:t>
      </w:r>
      <w:proofErr w:type="gramEnd"/>
      <w:r w:rsidRPr="00D419D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Joint United Nations </w:t>
      </w:r>
      <w:proofErr w:type="spellStart"/>
      <w:r w:rsidRPr="00D419DE">
        <w:rPr>
          <w:rFonts w:ascii="Times New Roman" w:hAnsi="Times New Roman" w:cs="Times New Roman"/>
          <w:i/>
          <w:iCs/>
          <w:sz w:val="20"/>
          <w:szCs w:val="20"/>
          <w:lang w:val="en-US"/>
        </w:rPr>
        <w:t>Programmeon</w:t>
      </w:r>
      <w:proofErr w:type="spellEnd"/>
      <w:r w:rsidRPr="00D419D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HIV/Aids </w:t>
      </w:r>
      <w:r w:rsidRPr="00D419DE">
        <w:rPr>
          <w:rFonts w:ascii="Times New Roman" w:hAnsi="Times New Roman" w:cs="Times New Roman"/>
          <w:sz w:val="20"/>
          <w:szCs w:val="20"/>
          <w:lang w:val="en-US"/>
        </w:rPr>
        <w:lastRenderedPageBreak/>
        <w:t>(</w:t>
      </w:r>
      <w:bookmarkStart w:id="2" w:name="__DdeLink__570_113922440"/>
      <w:r w:rsidRPr="00D419DE">
        <w:rPr>
          <w:rFonts w:ascii="Times New Roman" w:hAnsi="Times New Roman" w:cs="Times New Roman"/>
          <w:sz w:val="20"/>
          <w:szCs w:val="20"/>
          <w:lang w:val="en-US"/>
        </w:rPr>
        <w:t>UNAIDS</w:t>
      </w:r>
      <w:bookmarkEnd w:id="2"/>
      <w:r w:rsidRPr="00D419DE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D419DE">
        <w:rPr>
          <w:rFonts w:ascii="Times New Roman" w:hAnsi="Times New Roman" w:cs="Times New Roman"/>
          <w:sz w:val="20"/>
          <w:szCs w:val="20"/>
        </w:rPr>
        <w:t xml:space="preserve">Em 2016 o número mundial de indivíduos convivendo com o HIV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era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de 36,7 milhões, sendo que, deste total 34,5 milhões eram adultos; 17,8 milhões mulheres de 15 anos ou mais e; 2,1 milhões crianças menores de 15 anos (UNAIDS, 2016).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No mundo o total de mortos associados à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em 2016 foi de um milhão, todavia 890.000 mil são de adultos e 120.000 mil entre crianças &lt;15 anos. A epidemia da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demostra-se bastante complexa e caracteriza-se por aglomerado de subepidemias regionais. No Brasil, no período de 2007 a junho de 2016, foram notificados 136.945 casos de infecção pelo HIV/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. 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está entre as patologias infecciosas de maior importância devido à sua alta prevalência, morbidade e mortalidade (BRASIL, 2016).</w:t>
      </w:r>
    </w:p>
    <w:p w:rsidR="00621A77" w:rsidRPr="00D419DE" w:rsidRDefault="00621A77" w:rsidP="00D419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Nesta perspectiva, existe a necessidade de estudos atualizados acerca desta problemática para conhecer a realidade do HIV/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nos territórios, produzindo assim subsídios para ampliar as discussões em relação ao assunto, e que os resultados da mesma possam auxiliar na melhoria das ações voltadas para essa infecção sexualmente transmissível (IST)</w:t>
      </w:r>
      <w:r w:rsidRPr="00D419D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419DE">
        <w:rPr>
          <w:rFonts w:ascii="Times New Roman" w:hAnsi="Times New Roman" w:cs="Times New Roman"/>
          <w:bCs/>
          <w:sz w:val="20"/>
          <w:szCs w:val="20"/>
        </w:rPr>
        <w:t xml:space="preserve">Diante do exposto, o objetivo desta pesquisa </w:t>
      </w:r>
      <w:r w:rsidRPr="00D419DE">
        <w:rPr>
          <w:rFonts w:ascii="Times New Roman" w:hAnsi="Times New Roman" w:cs="Times New Roman"/>
          <w:sz w:val="20"/>
          <w:szCs w:val="20"/>
        </w:rPr>
        <w:t>é descrever o perfil epidemiológico dos pacientes com HIV/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em um hospital universitário no Recife-PE, do período de 2013 a 2017.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Realizou-se um estudo epidemiológico do tipo seccional, no Hospital Universitário Oswaldo Cruz (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Huoc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>), pertencente à Universidade de Pernambuco (UPE), situado no Recife-PE. Está vinculado ao Sistema Único de Saúde (SUS), com 400 leitos inscritos no Cadastro Nacional de Estabelecimentos de Saúde (CNES), em diversas especialidades médicas, sendo uma delas a infectologia.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Foram incluídos na pesquisa todos 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notificados no Sistema de Informação de Agravos de Notificação (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Sinan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), atendidos no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Huoc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no período de 2013 a 2017. 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foram identificados pelos critérios: Caracas/Rio de Janeiro, onde se encaixaram pacientes que tinham evidência laboratorial de infecção pelo HIV mais somatório de, pelo menos, dez pontos, de acordo com uma escala de sinais, sintomas; </w:t>
      </w:r>
      <w:r w:rsidRPr="00D419DE">
        <w:rPr>
          <w:rFonts w:ascii="Times New Roman" w:hAnsi="Times New Roman" w:cs="Times New Roman"/>
          <w:i/>
          <w:iCs/>
          <w:sz w:val="20"/>
          <w:szCs w:val="20"/>
        </w:rPr>
        <w:t xml:space="preserve">Center for </w:t>
      </w:r>
      <w:proofErr w:type="spellStart"/>
      <w:r w:rsidRPr="00D419DE">
        <w:rPr>
          <w:rFonts w:ascii="Times New Roman" w:hAnsi="Times New Roman" w:cs="Times New Roman"/>
          <w:i/>
          <w:iCs/>
          <w:sz w:val="20"/>
          <w:szCs w:val="20"/>
        </w:rPr>
        <w:t>Disease</w:t>
      </w:r>
      <w:proofErr w:type="spellEnd"/>
      <w:r w:rsidRPr="00D419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419DE">
        <w:rPr>
          <w:rFonts w:ascii="Times New Roman" w:hAnsi="Times New Roman" w:cs="Times New Roman"/>
          <w:i/>
          <w:iCs/>
          <w:sz w:val="20"/>
          <w:szCs w:val="20"/>
        </w:rPr>
        <w:t>Control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(CDC) Modificado, clientes que apresentaram evidências laboratoriais da infecção pelo HIV mais diagnóstico de determinadas doenças indicativas de Aids ou evidência laboratorial de imunodeficiência, linfócitos CD4 abaixo de 350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>/mm</w:t>
      </w:r>
      <w:r w:rsidRPr="00D419D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419DE">
        <w:rPr>
          <w:rFonts w:ascii="Times New Roman" w:hAnsi="Times New Roman" w:cs="Times New Roman"/>
          <w:sz w:val="20"/>
          <w:szCs w:val="20"/>
        </w:rPr>
        <w:t>; óbito por Aids, menção de Aids em algum campo da Declaração de Óbito (BRASIL, 2017).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Foram excluídas do presente estudo as fichas de notificação de pacientes caracterizados com HIV, tendo em vista que a partir do ano de 2014 é utilizada a mesma ficha para notificar 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 HIV.</w:t>
      </w:r>
    </w:p>
    <w:p w:rsidR="00621A77" w:rsidRPr="00D419DE" w:rsidRDefault="00621A77" w:rsidP="00621A77">
      <w:pPr>
        <w:spacing w:after="0" w:line="360" w:lineRule="auto"/>
        <w:ind w:firstLine="71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O estudo utilizou dados secundários obtidos no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Sinan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, tendo sido analisado as seguintes variáveis: </w:t>
      </w:r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sexo, idade, escolaridade, ocupação, raça/cor, modo de transmissão, município de residência, doenças associadas (sarcoma de </w:t>
      </w:r>
      <w:proofErr w:type="spellStart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>Kaposi</w:t>
      </w:r>
      <w:proofErr w:type="spellEnd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>histoplasmose</w:t>
      </w:r>
      <w:proofErr w:type="spellEnd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disseminada, toxoplasmose cerebral, pneumonia por </w:t>
      </w:r>
      <w:bookmarkStart w:id="3" w:name="__DdeLink__582_39547535"/>
      <w:proofErr w:type="spellStart"/>
      <w:proofErr w:type="gramStart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PneumocystisCarini</w:t>
      </w:r>
      <w:bookmarkEnd w:id="3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</w:t>
      </w:r>
      <w:proofErr w:type="spellEnd"/>
      <w:proofErr w:type="gramEnd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tuberculose disseminada/extrapulmonar/não cavitária, linfoma não Hodgkin e outros linfomas, </w:t>
      </w:r>
      <w:proofErr w:type="spellStart"/>
      <w:r w:rsidRPr="00D419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Criptococose</w:t>
      </w:r>
      <w:proofErr w:type="spellEnd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extrapulmonar, disfunção do sistema nervoso central e herpes-zoster) e percentagem de linfócitos CD4 abaixo de 350 </w:t>
      </w:r>
      <w:proofErr w:type="spellStart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>cel</w:t>
      </w:r>
      <w:proofErr w:type="spellEnd"/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>/mm</w:t>
      </w:r>
      <w:r w:rsidRPr="00D419D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D419D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Os dados foram tabulados no </w:t>
      </w:r>
      <w:proofErr w:type="spellStart"/>
      <w:proofErr w:type="gramStart"/>
      <w:r w:rsidRPr="00D419DE">
        <w:rPr>
          <w:rFonts w:ascii="Times New Roman" w:hAnsi="Times New Roman" w:cs="Times New Roman"/>
          <w:sz w:val="20"/>
          <w:szCs w:val="20"/>
        </w:rPr>
        <w:t>TabWin</w:t>
      </w:r>
      <w:proofErr w:type="spellEnd"/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 posteriormente analisados no programa Microsoft Excel</w:t>
      </w:r>
      <w:r w:rsidRPr="00D419DE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D419DE">
        <w:rPr>
          <w:rFonts w:ascii="Times New Roman" w:hAnsi="Times New Roman" w:cs="Times New Roman"/>
          <w:sz w:val="20"/>
          <w:szCs w:val="20"/>
        </w:rPr>
        <w:t>, por meio de estatística descritiva, frequência, proporção, média e coeficiente de prevalência que retrata o número de casos presentes (novos + antigos) em determinada comunidade e tempo x 10</w:t>
      </w:r>
      <w:r w:rsidRPr="00D419DE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D419DE">
        <w:rPr>
          <w:rFonts w:ascii="Times New Roman" w:hAnsi="Times New Roman" w:cs="Times New Roman"/>
          <w:sz w:val="20"/>
          <w:szCs w:val="20"/>
        </w:rPr>
        <w:t xml:space="preserve"> dividido pela população da área no mesmo tempo.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A referida pesquisa obteve anuência do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Huoc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e foi aprovado pelo Comitê de Ética em Pesquisa do referido hospital (CAEE: 84850218.3.3001.5192).</w:t>
      </w:r>
    </w:p>
    <w:p w:rsidR="00621A77" w:rsidRPr="00D419DE" w:rsidRDefault="00621A77" w:rsidP="0062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 No Hospital Universitário Oswaldo Cruz, no período estudado, foram notificados 894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, variando de 145 casos, em 2013, para 249 em 2017, com coeficiente de prevalência (CP) médio de 1,3 por 100 atendimentos (Tabela 1).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 maioria dos casos foram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 sexo masculino (561, 62,8%), em adultos jovem que possui entre 20 e 39 anos de idade (476, 53,2%) e adultos de 40 a 59 anos (348, 38,9%) e da raça/cor parda (674, 75,4%). Quanto ao município de residência, Recife assume a liderança com 322 (36,0%) notificações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, seguido de Olinda (114, 12,8%) e Jaboatão dos Guararapes (111, 12,5%) (Tabela 2). As variáveis escolaridade e ocupação não foram possíveis de serem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analisadas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pelo alto índice de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ignorabilidade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ou não preenchimento, 31,6% e 21,5%, respectivamente.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Segundo o modo de contaminação a transmissão por relação sexual obtém a quase totalidade dos casos (846, 94,6%), contudo, 44(4,9%) foram por transmissão vertical. No que se refere ao critério de confirmação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maioria foi pelo CDC modificado (436, 48,8%), seguida do Caracas/Rio de Janeiro (276, 30,9%). Quanto a evolução dos casos 613 (68,6%) dos pacientes estão vivos e 182 (20,4%) foram a óbitos por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bookmarkStart w:id="4" w:name="move5139992222"/>
      <w:bookmarkEnd w:id="4"/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(Tabela 3).</w:t>
      </w:r>
    </w:p>
    <w:p w:rsidR="00621A77" w:rsidRPr="00D419DE" w:rsidRDefault="00621A77" w:rsidP="00621A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Das doenças associadas à toxoplasmose cerebral (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92,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10,3%) era a que mais acometia os pacientes, posteriormente a tuberculose disseminada (65, 7,3%), Sarcoma de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Kaposi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(47, 5,3%) e Herpes Zoster (34, 3,8%) (Tabela 4). </w:t>
      </w:r>
    </w:p>
    <w:p w:rsidR="00621A77" w:rsidRPr="00D419DE" w:rsidRDefault="00621A77" w:rsidP="004144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/>
          <w:sz w:val="20"/>
          <w:szCs w:val="20"/>
        </w:rPr>
        <w:t>Tabela 1 -</w:t>
      </w:r>
      <w:r w:rsidRPr="00D419DE">
        <w:rPr>
          <w:rFonts w:ascii="Times New Roman" w:hAnsi="Times New Roman" w:cs="Times New Roman"/>
          <w:sz w:val="20"/>
          <w:szCs w:val="20"/>
        </w:rPr>
        <w:t xml:space="preserve"> Distribuição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notificados no Hospital Universitário Oswaldo Cruz, Recife-PE, no período de 2013 a 2017</w:t>
      </w:r>
    </w:p>
    <w:tbl>
      <w:tblPr>
        <w:tblW w:w="5720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349"/>
        <w:gridCol w:w="1958"/>
        <w:gridCol w:w="1158"/>
      </w:tblGrid>
      <w:tr w:rsidR="00621A77" w:rsidRPr="00D419DE" w:rsidTr="00F535DB">
        <w:trPr>
          <w:trHeight w:val="346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Casos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Atendidos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CP*</w:t>
            </w:r>
          </w:p>
        </w:tc>
      </w:tr>
      <w:tr w:rsidR="00621A77" w:rsidRPr="00D419DE" w:rsidTr="00F535DB">
        <w:trPr>
          <w:trHeight w:val="412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10860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</w:tr>
      <w:tr w:rsidR="00621A77" w:rsidRPr="00D419DE" w:rsidTr="00F535DB">
        <w:trPr>
          <w:trHeight w:val="346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10611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</w:t>
            </w:r>
          </w:p>
        </w:tc>
      </w:tr>
      <w:tr w:rsidR="00621A77" w:rsidRPr="00D419DE" w:rsidTr="00F535DB">
        <w:trPr>
          <w:trHeight w:val="346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10702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</w:t>
            </w:r>
          </w:p>
        </w:tc>
      </w:tr>
      <w:tr w:rsidR="00621A77" w:rsidRPr="00D419DE" w:rsidTr="00F535DB">
        <w:trPr>
          <w:trHeight w:val="346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13810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</w:t>
            </w:r>
          </w:p>
        </w:tc>
      </w:tr>
      <w:tr w:rsidR="00621A77" w:rsidRPr="00D419DE" w:rsidTr="00F535DB">
        <w:trPr>
          <w:trHeight w:val="330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19133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</w:tr>
      <w:tr w:rsidR="00621A77" w:rsidRPr="00D419DE" w:rsidTr="00F535DB">
        <w:trPr>
          <w:trHeight w:val="330"/>
          <w:jc w:val="center"/>
        </w:trPr>
        <w:tc>
          <w:tcPr>
            <w:tcW w:w="125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49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894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65116</w:t>
            </w:r>
          </w:p>
        </w:tc>
        <w:tc>
          <w:tcPr>
            <w:tcW w:w="1158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1,3</w:t>
            </w:r>
          </w:p>
        </w:tc>
      </w:tr>
    </w:tbl>
    <w:p w:rsidR="00621A77" w:rsidRPr="00D419DE" w:rsidRDefault="004144AF" w:rsidP="004144AF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621A77" w:rsidRPr="00D419DE">
        <w:rPr>
          <w:rFonts w:ascii="Times New Roman" w:hAnsi="Times New Roman" w:cs="Times New Roman"/>
          <w:b/>
          <w:sz w:val="20"/>
          <w:szCs w:val="20"/>
        </w:rPr>
        <w:t xml:space="preserve">*CP= </w:t>
      </w:r>
      <w:r w:rsidR="00621A77" w:rsidRPr="00D419DE">
        <w:rPr>
          <w:rFonts w:ascii="Times New Roman" w:hAnsi="Times New Roman" w:cs="Times New Roman"/>
          <w:sz w:val="20"/>
          <w:szCs w:val="20"/>
        </w:rPr>
        <w:t>coeficiente de prevalência (por 100 atendimentos)</w:t>
      </w:r>
    </w:p>
    <w:p w:rsidR="00621A77" w:rsidRPr="00D419DE" w:rsidRDefault="00621A77" w:rsidP="00621A77">
      <w:pPr>
        <w:tabs>
          <w:tab w:val="left" w:pos="779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/>
          <w:sz w:val="20"/>
          <w:szCs w:val="20"/>
        </w:rPr>
        <w:t>Tabela 2</w:t>
      </w:r>
      <w:r w:rsidRPr="00D419DE">
        <w:rPr>
          <w:rFonts w:ascii="Times New Roman" w:hAnsi="Times New Roman" w:cs="Times New Roman"/>
          <w:sz w:val="20"/>
          <w:szCs w:val="20"/>
        </w:rPr>
        <w:t xml:space="preserve">- Distribuição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por características biológicas. Hospital Universitário Oswaldo Cruz, Recife-PE, 2013 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2017</w:t>
      </w:r>
      <w:proofErr w:type="gramEnd"/>
    </w:p>
    <w:tbl>
      <w:tblPr>
        <w:tblW w:w="5631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960"/>
        <w:gridCol w:w="960"/>
      </w:tblGrid>
      <w:tr w:rsidR="00621A77" w:rsidRPr="00D419DE" w:rsidTr="00F535DB">
        <w:trPr>
          <w:trHeight w:val="315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Variáveis 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%</w:t>
            </w:r>
          </w:p>
        </w:tc>
      </w:tr>
      <w:tr w:rsidR="00621A77" w:rsidRPr="00D419DE" w:rsidTr="00F535DB">
        <w:trPr>
          <w:trHeight w:val="315"/>
          <w:jc w:val="center"/>
        </w:trPr>
        <w:tc>
          <w:tcPr>
            <w:tcW w:w="563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Sexo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561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62,8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37,2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563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Faixa etária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10-19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20-39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53,2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40-59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38,9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 e +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5,4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563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Raça/cor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9,8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Preta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Amarela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Parda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75,4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Ign</w:t>
            </w:r>
            <w:proofErr w:type="spellEnd"/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/Branco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7,9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563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residência</w:t>
            </w:r>
          </w:p>
        </w:tc>
      </w:tr>
      <w:tr w:rsidR="00621A77" w:rsidRPr="00D419DE" w:rsidTr="00F535DB">
        <w:trPr>
          <w:trHeight w:val="35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36,0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Olinda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12,8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Jaboatão dos Guararapes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12,4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Paulista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Camaragibe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Cabo de Santo Agostinho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3,1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São Lourenço da Mata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1,8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Vitória de Santo Antão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Abreu e Lima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 municípios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21,3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371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Municípios de outros estados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</w:tr>
    </w:tbl>
    <w:p w:rsidR="004144AF" w:rsidRDefault="004144AF" w:rsidP="004144A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1A77" w:rsidRPr="00D419DE" w:rsidRDefault="00621A77" w:rsidP="004144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/>
          <w:sz w:val="20"/>
          <w:szCs w:val="20"/>
        </w:rPr>
        <w:t xml:space="preserve">Tabela 3 - </w:t>
      </w:r>
      <w:r w:rsidRPr="00D419DE">
        <w:rPr>
          <w:rFonts w:ascii="Times New Roman" w:hAnsi="Times New Roman" w:cs="Times New Roman"/>
          <w:sz w:val="20"/>
          <w:szCs w:val="20"/>
        </w:rPr>
        <w:t xml:space="preserve">Distribuição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por características clínicas. Hospital Universitário Oswaldo Cruz, Recife-PE, 2013 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2017</w:t>
      </w:r>
      <w:proofErr w:type="gramEnd"/>
    </w:p>
    <w:tbl>
      <w:tblPr>
        <w:tblW w:w="5680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943"/>
        <w:gridCol w:w="1152"/>
      </w:tblGrid>
      <w:tr w:rsidR="00621A77" w:rsidRPr="00D419DE" w:rsidTr="00F535DB">
        <w:trPr>
          <w:trHeight w:val="31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Variáveis 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%</w:t>
            </w:r>
          </w:p>
        </w:tc>
      </w:tr>
      <w:tr w:rsidR="00621A77" w:rsidRPr="00D419DE" w:rsidTr="00F535DB">
        <w:trPr>
          <w:trHeight w:val="31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Modo de transmissão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Sexual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846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94,6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Vertical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Sanguínea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Critério de confirmação do caso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CDC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RJ/Caracas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30,9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Óbito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20,4</w:t>
            </w:r>
          </w:p>
        </w:tc>
      </w:tr>
      <w:tr w:rsidR="00621A77" w:rsidRPr="00D419DE" w:rsidTr="00F535DB">
        <w:trPr>
          <w:trHeight w:val="300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Evolução do caso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Vivo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tbl>
            <w:tblPr>
              <w:tblW w:w="9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</w:tblGrid>
            <w:tr w:rsidR="00621A77" w:rsidRPr="00D419DE" w:rsidTr="00F535DB">
              <w:trPr>
                <w:trHeight w:val="330"/>
              </w:trPr>
              <w:tc>
                <w:tcPr>
                  <w:tcW w:w="976" w:type="dxa"/>
                  <w:shd w:val="clear" w:color="auto" w:fill="auto"/>
                  <w:vAlign w:val="bottom"/>
                </w:tcPr>
                <w:p w:rsidR="00621A77" w:rsidRPr="00D419DE" w:rsidRDefault="00621A77" w:rsidP="00F535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D419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68,6</w:t>
                  </w:r>
                </w:p>
              </w:tc>
            </w:tr>
          </w:tbl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Óbito por </w:t>
            </w: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Aids</w:t>
            </w:r>
            <w:proofErr w:type="gramEnd"/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20,4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Óbito por outras causas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5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</w:t>
            </w:r>
            <w:proofErr w:type="spellEnd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/Branco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</w:tbl>
    <w:p w:rsidR="00621A77" w:rsidRPr="00D419DE" w:rsidRDefault="00621A77" w:rsidP="00621A77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A77" w:rsidRPr="00D419DE" w:rsidRDefault="00621A77" w:rsidP="004144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/>
          <w:sz w:val="20"/>
          <w:szCs w:val="20"/>
        </w:rPr>
        <w:t>Tabela 4 -</w:t>
      </w:r>
      <w:r w:rsidRPr="00D419DE">
        <w:rPr>
          <w:rFonts w:ascii="Times New Roman" w:hAnsi="Times New Roman" w:cs="Times New Roman"/>
          <w:sz w:val="20"/>
          <w:szCs w:val="20"/>
        </w:rPr>
        <w:t xml:space="preserve"> Distribuição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por doenças associadas. Hospital Universitário Oswaldo Cruz, Recife-PE, 2013 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2017</w:t>
      </w:r>
      <w:proofErr w:type="gramEnd"/>
    </w:p>
    <w:tbl>
      <w:tblPr>
        <w:tblW w:w="5680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60"/>
        <w:gridCol w:w="960"/>
      </w:tblGrid>
      <w:tr w:rsidR="00621A77" w:rsidRPr="00D419DE" w:rsidTr="00F535DB">
        <w:trPr>
          <w:trHeight w:val="270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Doenças associadas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%</w:t>
            </w:r>
          </w:p>
        </w:tc>
      </w:tr>
      <w:tr w:rsidR="00621A77" w:rsidRPr="00D419DE" w:rsidTr="00F535DB">
        <w:trPr>
          <w:trHeight w:val="270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4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Criptococose</w:t>
            </w:r>
            <w:proofErr w:type="spellEnd"/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855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95,6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3,6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Tuberculose disseminada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90,9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Herpes Zoster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836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93,5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2,7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Contagem </w:t>
            </w:r>
            <w:proofErr w:type="spellStart"/>
            <w:r w:rsidRPr="00D41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linf</w:t>
            </w:r>
            <w:proofErr w:type="spellEnd"/>
            <w:r w:rsidRPr="00D41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.&lt;350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57,5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Toxoplasmose cerebral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86,4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Histoplasmose</w:t>
            </w:r>
            <w:proofErr w:type="spellEnd"/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848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94,9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Sarcoma de </w:t>
            </w:r>
            <w:proofErr w:type="spellStart"/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Kaposi</w:t>
            </w:r>
            <w:proofErr w:type="spellEnd"/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841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94,1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Linfoma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0,8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857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95,9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3,4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5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Pneumonia por </w:t>
            </w:r>
            <w:proofErr w:type="spellStart"/>
            <w:r w:rsidRPr="00D419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t-BR"/>
              </w:rPr>
              <w:t>Pneumocystiscarinii</w:t>
            </w:r>
            <w:proofErr w:type="spellEnd"/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1,1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852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95,3</w:t>
            </w:r>
          </w:p>
        </w:tc>
      </w:tr>
      <w:tr w:rsidR="00621A77" w:rsidRPr="00D419DE" w:rsidTr="00F535DB">
        <w:trPr>
          <w:trHeight w:val="255"/>
          <w:jc w:val="center"/>
        </w:trPr>
        <w:tc>
          <w:tcPr>
            <w:tcW w:w="37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Ignorado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21A77" w:rsidRPr="00D419DE" w:rsidRDefault="00621A77" w:rsidP="00F53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9D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3,6</w:t>
            </w:r>
          </w:p>
        </w:tc>
      </w:tr>
    </w:tbl>
    <w:p w:rsidR="00621A77" w:rsidRPr="00D419DE" w:rsidRDefault="00621A77" w:rsidP="00621A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No Hospital Universitário Oswaldo Cruz, no período estudado, observou-se aumento nos atendimentos dos pacientes com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>. Dados semelhantes foram encontrados em uma pesquisa realizada no Nordeste do Brasil. Esse fato pode ser explicado por vários fatores, um deles é o aumento no número de novas infecções pelo HIV/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 país ( JESUS et al., 2017, SILVA et al., 2014).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Constatou-se predomínio dos casos notificados no sexo masculino, corroborando com achados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no pais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. A hegemonia no sexo masculino ocorre desde a descoberta da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>, isso acontece pelo início precoce da vida sexual e a multiparceirias sexual (BRASIL, 2017; TAQUETTE et al., 2015).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A faixa etária mais acometida, de pessoas infectadas com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, variou de 20 a 39 anos. Dados semelhantes foram encontrados em uma pesquisa realizada no Rio Grande do Norte no ano de 2014. Nos indivíduos jovens adultos esta IST está interligada ao exercício da sexualidade, o não acesso a serviços de saúde e a prática de sexo desprotegido.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A maioria dos casos era da raça/cor parda, conforme encontrado em Sergipe e no resto do Brasil (BRASIL, 2017). Pressupõe-se que </w:t>
      </w:r>
      <w:r w:rsidRPr="00D419DE">
        <w:rPr>
          <w:rFonts w:ascii="Times New Roman" w:hAnsi="Times New Roman" w:cs="Times New Roman"/>
          <w:sz w:val="20"/>
          <w:szCs w:val="20"/>
        </w:rPr>
        <w:t>ess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e avanço aconteça pelas condições socioeconômicas desfavorável de pessoas com essa raça/cor (LOPES, et.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>, 2015). Estudos confirmam interligação da pobreza com</w:t>
      </w:r>
      <w:r w:rsidRPr="00D419DE">
        <w:rPr>
          <w:rFonts w:ascii="Times New Roman" w:hAnsi="Times New Roman" w:cs="Times New Roman"/>
          <w:color w:val="403D39"/>
          <w:sz w:val="20"/>
          <w:szCs w:val="20"/>
        </w:rPr>
        <w:t xml:space="preserve">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contaminação pelo HIV/Aids (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>LOPES et. al., 2016; SILVA et.al., 2013; STEPHAN et.al., 2010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5" w:name="__DdeLink__1295_1407160758"/>
      <w:bookmarkEnd w:id="5"/>
      <w:r w:rsidRPr="00D419DE">
        <w:rPr>
          <w:rFonts w:ascii="Times New Roman" w:hAnsi="Times New Roman" w:cs="Times New Roman"/>
          <w:sz w:val="20"/>
          <w:szCs w:val="20"/>
        </w:rPr>
        <w:t xml:space="preserve">Constatou-se concentração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atendidos no referido hospital, com residência em grandes municípios da Região Metropolitana do Recife. Estudo realizado em Recife, no ano de 2014, demonstrou que essa região é o território mais acometida pela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no estado de Pernambuco (SILVA; VIEIRA, 2014). Isso ocorre pela concentração de operações econômica, desproporções socioeconômicas, alterações nas relações sociais e maior velocidade de disseminação da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, quando comparada a municípios menos povoados (HOLANDA et al., 2015; SEGURADO et al., 2016; VIEIRA et al., 2014;).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lastRenderedPageBreak/>
        <w:t xml:space="preserve">As variáveis escolaridade e ocupação não foram possíveis de serem analisadas pelo alto índice de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ignorabilidade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ou não preenchimento. Estas variáveis são importantes, pois estão diretamente relacionadas com o processo de pauperização e abandono do tratamento. Além disso, o preenchimento desses campos possibilita uma maior compreensão do perfil dos casos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, contribuindo para o direcionamento das ações de controle (BRAZ et al., 2016; ROSAS et al., 2014)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O modo de contaminação por relação sexual foi identificado na quase totalidade dos casos. Estudos realizados em Santa Catarina (2008 a 2012) e no Rio Grande do Sul (2012), demonstram que a contaminação se dá principalmente por via sexual. Essa propagação é influenciada pela probabilidade de lesão da mucosa retal ou vaginal, colaborando com uma maior viabilidade do acesso do vírus à corrente sanguínea (GABRIEL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al., 2005; SCHOSSLERET al., 2016; TREVISOLET al., 2013;)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>No presente estudo no que se refere ao critério de confirmação à predominância foi pelo CDC modificado e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contagem de linfócitos CD4 &lt; 350 </w:t>
      </w:r>
      <w:proofErr w:type="spell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/mm³, conforme identificado em outros estudos. Esse critério é o mais constatado por ser mais </w:t>
      </w:r>
      <w:r w:rsidRPr="00D419DE">
        <w:rPr>
          <w:rFonts w:ascii="Times New Roman" w:hAnsi="Times New Roman" w:cs="Times New Roman"/>
          <w:sz w:val="20"/>
          <w:szCs w:val="20"/>
        </w:rPr>
        <w:t>sensível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 que os outros </w:t>
      </w:r>
      <w:r w:rsidRPr="00D419DE">
        <w:rPr>
          <w:rFonts w:ascii="Times New Roman" w:hAnsi="Times New Roman" w:cs="Times New Roman"/>
          <w:sz w:val="20"/>
          <w:szCs w:val="20"/>
        </w:rPr>
        <w:t xml:space="preserve">(CABRAL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al., 2015, </w:t>
      </w:r>
      <w:r w:rsidRPr="00D419DE">
        <w:rPr>
          <w:rFonts w:ascii="Times New Roman" w:hAnsi="Times New Roman" w:cs="Times New Roman"/>
          <w:color w:val="231F20"/>
          <w:sz w:val="20"/>
          <w:szCs w:val="20"/>
        </w:rPr>
        <w:t>KILSZTAJN, 2001</w:t>
      </w:r>
      <w:r w:rsidRPr="00D419DE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Das doenças associadas a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à toxoplasmose cerebral e a tuberculose disseminada foram as que mais acometiam os pacientes. Sabe-se que estas são as doenças oportunistas que se destacam em pacientes portadores de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(SILVA et.al., 2017). Esses achados reiteram a importância do controle dos agravos em pacientes afetados pela doença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Quanto a evolução dos casos verificou-se que um quinto dos pacientes evoluíram para óbito por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>, demonstrando assim a alta letalidade dessa afecção. O uso da terapia antirretroviral (TARV) modifica o curso da doença pelo HIV e prolonga a permanência da vida. A função da TARV é aliviar os sintomas de início da manifestação, proteger a função imune, reduzir os reservatórios virais e de transmissão do HIV desde o princípio da infecção</w:t>
      </w:r>
      <w:r w:rsidRPr="00D419DE">
        <w:rPr>
          <w:rStyle w:val="CorpodetextoChar"/>
          <w:rFonts w:ascii="Times New Roman" w:hAnsi="Times New Roman" w:cs="Times New Roman"/>
          <w:sz w:val="20"/>
          <w:szCs w:val="20"/>
        </w:rPr>
        <w:t xml:space="preserve"> (</w:t>
      </w:r>
      <w:r w:rsidRPr="00D419DE">
        <w:rPr>
          <w:rFonts w:ascii="Times New Roman" w:hAnsi="Times New Roman" w:cs="Times New Roman"/>
          <w:color w:val="242021"/>
          <w:sz w:val="20"/>
          <w:szCs w:val="20"/>
        </w:rPr>
        <w:t xml:space="preserve">SMITH </w:t>
      </w:r>
      <w:proofErr w:type="gramStart"/>
      <w:r w:rsidRPr="00D419DE">
        <w:rPr>
          <w:rFonts w:ascii="Times New Roman" w:hAnsi="Times New Roman" w:cs="Times New Roman"/>
          <w:color w:val="242021"/>
          <w:sz w:val="20"/>
          <w:szCs w:val="20"/>
        </w:rPr>
        <w:t>et</w:t>
      </w:r>
      <w:proofErr w:type="gramEnd"/>
      <w:r w:rsidRPr="00D419DE">
        <w:rPr>
          <w:rFonts w:ascii="Times New Roman" w:hAnsi="Times New Roman" w:cs="Times New Roman"/>
          <w:color w:val="242021"/>
          <w:sz w:val="20"/>
          <w:szCs w:val="20"/>
        </w:rPr>
        <w:t xml:space="preserve"> al., 2013</w:t>
      </w: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A importância do tratamento com os antirretrovirais não é debelar o vírus do HIV, mas, inibir a progressão do agente que causa a </w:t>
      </w:r>
      <w:proofErr w:type="gramStart"/>
      <w:r w:rsidRPr="00D419DE">
        <w:rPr>
          <w:rFonts w:ascii="Times New Roman" w:hAnsi="Times New Roman" w:cs="Times New Roman"/>
          <w:color w:val="000000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color w:val="000000"/>
          <w:sz w:val="20"/>
          <w:szCs w:val="20"/>
        </w:rPr>
        <w:t xml:space="preserve">. Ao retardar a progressão o organismo recupera a imunidade garantindo a sobrevida para o paciente (ONU, 2015).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Cs/>
          <w:sz w:val="20"/>
          <w:szCs w:val="20"/>
        </w:rPr>
        <w:t xml:space="preserve">Verificou-se aumento nas notificações dos casos de </w:t>
      </w:r>
      <w:proofErr w:type="gramStart"/>
      <w:r w:rsidRPr="00D419DE">
        <w:rPr>
          <w:rFonts w:ascii="Times New Roman" w:hAnsi="Times New Roman" w:cs="Times New Roman"/>
          <w:bCs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bCs/>
          <w:sz w:val="20"/>
          <w:szCs w:val="20"/>
        </w:rPr>
        <w:t xml:space="preserve"> atendidos no </w:t>
      </w:r>
      <w:proofErr w:type="spellStart"/>
      <w:r w:rsidRPr="00D419DE">
        <w:rPr>
          <w:rFonts w:ascii="Times New Roman" w:hAnsi="Times New Roman" w:cs="Times New Roman"/>
          <w:bCs/>
          <w:sz w:val="20"/>
          <w:szCs w:val="20"/>
        </w:rPr>
        <w:t>Huoc</w:t>
      </w:r>
      <w:proofErr w:type="spellEnd"/>
      <w:r w:rsidRPr="00D419DE">
        <w:rPr>
          <w:rFonts w:ascii="Times New Roman" w:hAnsi="Times New Roman" w:cs="Times New Roman"/>
          <w:bCs/>
          <w:sz w:val="20"/>
          <w:szCs w:val="20"/>
        </w:rPr>
        <w:t xml:space="preserve">, no período estudado. Estes </w:t>
      </w:r>
      <w:proofErr w:type="gramStart"/>
      <w:r w:rsidRPr="00D419DE">
        <w:rPr>
          <w:rFonts w:ascii="Times New Roman" w:hAnsi="Times New Roman" w:cs="Times New Roman"/>
          <w:bCs/>
          <w:sz w:val="20"/>
          <w:szCs w:val="20"/>
        </w:rPr>
        <w:t>caracterizam-se</w:t>
      </w:r>
      <w:proofErr w:type="gramEnd"/>
      <w:r w:rsidRPr="00D419DE">
        <w:rPr>
          <w:rFonts w:ascii="Times New Roman" w:hAnsi="Times New Roman" w:cs="Times New Roman"/>
          <w:bCs/>
          <w:sz w:val="20"/>
          <w:szCs w:val="20"/>
        </w:rPr>
        <w:t xml:space="preserve"> por serem do sexo masculino, com idade entre 20 a 39 e 40 a 59 anos, de raça/cor parda e residentes em grandes municípios da Região Metropolitana do Recife. Na quase totalidade dos registros a</w:t>
      </w:r>
      <w:r w:rsidRPr="00D419DE">
        <w:rPr>
          <w:rFonts w:ascii="Times New Roman" w:hAnsi="Times New Roman" w:cs="Times New Roman"/>
          <w:sz w:val="20"/>
          <w:szCs w:val="20"/>
        </w:rPr>
        <w:t xml:space="preserve"> transmissão se deu por relação sexual. 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19DE">
        <w:rPr>
          <w:rFonts w:ascii="Times New Roman" w:hAnsi="Times New Roman" w:cs="Times New Roman"/>
          <w:sz w:val="20"/>
          <w:szCs w:val="20"/>
        </w:rPr>
        <w:t xml:space="preserve">No que se refere ao critério de confirmação à maioria foi pelo CDC modificado, seguida do Caracas/Rio de Janeiro. As doenças que mais acometia os pacientes com </w:t>
      </w:r>
      <w:proofErr w:type="gramStart"/>
      <w:r w:rsidRPr="00D419DE">
        <w:rPr>
          <w:rFonts w:ascii="Times New Roman" w:hAnsi="Times New Roman" w:cs="Times New Roman"/>
          <w:sz w:val="20"/>
          <w:szCs w:val="20"/>
        </w:rPr>
        <w:t>Aids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era a toxoplasmose cerebral, seguida da tuberculose disseminada, Sarcoma de </w:t>
      </w:r>
      <w:proofErr w:type="spellStart"/>
      <w:r w:rsidRPr="00D419DE">
        <w:rPr>
          <w:rFonts w:ascii="Times New Roman" w:hAnsi="Times New Roman" w:cs="Times New Roman"/>
          <w:sz w:val="20"/>
          <w:szCs w:val="20"/>
        </w:rPr>
        <w:t>Kaposi</w:t>
      </w:r>
      <w:proofErr w:type="spellEnd"/>
      <w:r w:rsidRPr="00D419DE">
        <w:rPr>
          <w:rFonts w:ascii="Times New Roman" w:hAnsi="Times New Roman" w:cs="Times New Roman"/>
          <w:sz w:val="20"/>
          <w:szCs w:val="20"/>
        </w:rPr>
        <w:t xml:space="preserve"> e Herpes Zoste</w:t>
      </w:r>
      <w:r w:rsidR="007A06ED">
        <w:rPr>
          <w:rFonts w:ascii="Times New Roman" w:hAnsi="Times New Roman" w:cs="Times New Roman"/>
          <w:sz w:val="20"/>
          <w:szCs w:val="20"/>
        </w:rPr>
        <w:t xml:space="preserve">r. </w:t>
      </w:r>
      <w:proofErr w:type="gramStart"/>
      <w:r w:rsidR="007A06ED">
        <w:rPr>
          <w:rFonts w:ascii="Times New Roman" w:hAnsi="Times New Roman" w:cs="Times New Roman"/>
          <w:sz w:val="20"/>
          <w:szCs w:val="20"/>
        </w:rPr>
        <w:t>A</w:t>
      </w:r>
      <w:bookmarkStart w:id="6" w:name="_GoBack"/>
      <w:bookmarkEnd w:id="6"/>
      <w:r w:rsidR="007A06ED">
        <w:rPr>
          <w:rFonts w:ascii="Times New Roman" w:hAnsi="Times New Roman" w:cs="Times New Roman"/>
          <w:sz w:val="20"/>
          <w:szCs w:val="20"/>
        </w:rPr>
        <w:t xml:space="preserve"> </w:t>
      </w:r>
      <w:r w:rsidRPr="00D419DE">
        <w:rPr>
          <w:rFonts w:ascii="Times New Roman" w:hAnsi="Times New Roman" w:cs="Times New Roman"/>
          <w:sz w:val="20"/>
          <w:szCs w:val="20"/>
        </w:rPr>
        <w:t>maioria dos pacientes estão</w:t>
      </w:r>
      <w:proofErr w:type="gramEnd"/>
      <w:r w:rsidRPr="00D419DE">
        <w:rPr>
          <w:rFonts w:ascii="Times New Roman" w:hAnsi="Times New Roman" w:cs="Times New Roman"/>
          <w:sz w:val="20"/>
          <w:szCs w:val="20"/>
        </w:rPr>
        <w:t xml:space="preserve"> vivos, contudo um quinto evoluiu para óbito por Aids.</w:t>
      </w:r>
    </w:p>
    <w:p w:rsidR="00621A77" w:rsidRPr="00D419DE" w:rsidRDefault="00621A77" w:rsidP="00621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19DE">
        <w:rPr>
          <w:rFonts w:ascii="Times New Roman" w:hAnsi="Times New Roman" w:cs="Times New Roman"/>
          <w:bCs/>
          <w:sz w:val="20"/>
          <w:szCs w:val="20"/>
        </w:rPr>
        <w:t xml:space="preserve"> As variáveis escolaridade e ocupação apresentaram um alto índice de </w:t>
      </w:r>
      <w:proofErr w:type="spellStart"/>
      <w:r w:rsidRPr="00D419DE">
        <w:rPr>
          <w:rFonts w:ascii="Times New Roman" w:hAnsi="Times New Roman" w:cs="Times New Roman"/>
          <w:bCs/>
          <w:sz w:val="20"/>
          <w:szCs w:val="20"/>
        </w:rPr>
        <w:t>ignorabilidade</w:t>
      </w:r>
      <w:proofErr w:type="spellEnd"/>
      <w:r w:rsidRPr="00D419DE">
        <w:rPr>
          <w:rFonts w:ascii="Times New Roman" w:hAnsi="Times New Roman" w:cs="Times New Roman"/>
          <w:bCs/>
          <w:sz w:val="20"/>
          <w:szCs w:val="20"/>
        </w:rPr>
        <w:t>. Neste sentido, faz-se necessário treinamento dos profissionais de saúde para que possam compreender a importância do preenchimento de todas as variáveis da ficha de notificação de HIV</w:t>
      </w:r>
      <w:r w:rsidR="007A06ED">
        <w:rPr>
          <w:rFonts w:ascii="Times New Roman" w:hAnsi="Times New Roman" w:cs="Times New Roman"/>
          <w:bCs/>
          <w:sz w:val="20"/>
          <w:szCs w:val="20"/>
        </w:rPr>
        <w:t>/</w:t>
      </w:r>
      <w:proofErr w:type="gramStart"/>
      <w:r w:rsidR="007A06ED">
        <w:rPr>
          <w:rFonts w:ascii="Times New Roman" w:hAnsi="Times New Roman" w:cs="Times New Roman"/>
          <w:bCs/>
          <w:sz w:val="20"/>
          <w:szCs w:val="20"/>
        </w:rPr>
        <w:t>Aids</w:t>
      </w:r>
      <w:proofErr w:type="gramEnd"/>
      <w:r w:rsidR="007A06ED">
        <w:rPr>
          <w:rFonts w:ascii="Times New Roman" w:hAnsi="Times New Roman" w:cs="Times New Roman"/>
          <w:bCs/>
          <w:sz w:val="20"/>
          <w:szCs w:val="20"/>
        </w:rPr>
        <w:t>, de forma correta e coesa</w:t>
      </w:r>
    </w:p>
    <w:p w:rsidR="00621A77" w:rsidRPr="00D419DE" w:rsidRDefault="00621A77" w:rsidP="00621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t-BR"/>
        </w:rPr>
      </w:pPr>
    </w:p>
    <w:p w:rsidR="007A3449" w:rsidRPr="00D419DE" w:rsidRDefault="00101DA2" w:rsidP="007A3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Descritores: </w:t>
      </w:r>
      <w:proofErr w:type="gramStart"/>
      <w:r>
        <w:rPr>
          <w:rFonts w:ascii="Times New Roman" w:hAnsi="Times New Roman" w:cs="Times New Roman"/>
          <w:sz w:val="20"/>
          <w:szCs w:val="20"/>
        </w:rPr>
        <w:t>Aids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Hiv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Pr="00D419DE">
        <w:rPr>
          <w:rFonts w:ascii="Times New Roman" w:hAnsi="Times New Roman" w:cs="Times New Roman"/>
          <w:sz w:val="20"/>
          <w:szCs w:val="20"/>
        </w:rPr>
        <w:t xml:space="preserve"> E</w:t>
      </w:r>
      <w:r w:rsidR="007A3449" w:rsidRPr="00D419DE">
        <w:rPr>
          <w:rFonts w:ascii="Times New Roman" w:hAnsi="Times New Roman" w:cs="Times New Roman"/>
          <w:sz w:val="20"/>
          <w:szCs w:val="20"/>
        </w:rPr>
        <w:t>pidemiologia.</w:t>
      </w:r>
    </w:p>
    <w:p w:rsidR="007A3449" w:rsidRPr="00D419DE" w:rsidRDefault="007A3449" w:rsidP="007A344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0"/>
          <w:szCs w:val="20"/>
        </w:rPr>
      </w:pPr>
    </w:p>
    <w:p w:rsidR="0005713C" w:rsidRPr="00D419DE" w:rsidRDefault="0005713C" w:rsidP="00743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5713C" w:rsidRPr="00D419DE" w:rsidSect="00D419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21"/>
    <w:rsid w:val="0005713C"/>
    <w:rsid w:val="00101DA2"/>
    <w:rsid w:val="004144AF"/>
    <w:rsid w:val="00621A77"/>
    <w:rsid w:val="00743C21"/>
    <w:rsid w:val="00756DAB"/>
    <w:rsid w:val="007A06ED"/>
    <w:rsid w:val="007A3449"/>
    <w:rsid w:val="00AB48B6"/>
    <w:rsid w:val="00B94C37"/>
    <w:rsid w:val="00C624D9"/>
    <w:rsid w:val="00D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21"/>
    <w:rPr>
      <w:rFonts w:ascii="Calibri" w:eastAsia="Calibri" w:hAnsi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621A77"/>
    <w:rPr>
      <w:rFonts w:ascii="Arial" w:eastAsia="Arial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621A77"/>
    <w:pPr>
      <w:spacing w:after="140" w:line="288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621A77"/>
    <w:rPr>
      <w:rFonts w:ascii="Calibri" w:eastAsia="Calibri" w:hAnsi="Calibri"/>
      <w:color w:val="00000A"/>
    </w:rPr>
  </w:style>
  <w:style w:type="character" w:customStyle="1" w:styleId="fontstyle01">
    <w:name w:val="fontstyle01"/>
    <w:basedOn w:val="Fontepargpadro"/>
    <w:rsid w:val="00414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21"/>
    <w:rPr>
      <w:rFonts w:ascii="Calibri" w:eastAsia="Calibri" w:hAnsi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621A77"/>
    <w:rPr>
      <w:rFonts w:ascii="Arial" w:eastAsia="Arial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621A77"/>
    <w:pPr>
      <w:spacing w:after="140" w:line="288" w:lineRule="auto"/>
    </w:pPr>
    <w:rPr>
      <w:rFonts w:ascii="Arial" w:eastAsia="Arial" w:hAnsi="Arial" w:cs="Arial"/>
      <w:color w:val="000000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621A77"/>
    <w:rPr>
      <w:rFonts w:ascii="Calibri" w:eastAsia="Calibri" w:hAnsi="Calibri"/>
      <w:color w:val="00000A"/>
    </w:rPr>
  </w:style>
  <w:style w:type="character" w:customStyle="1" w:styleId="fontstyle01">
    <w:name w:val="fontstyle01"/>
    <w:basedOn w:val="Fontepargpadro"/>
    <w:rsid w:val="00414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dcterms:created xsi:type="dcterms:W3CDTF">2019-10-04T01:57:00Z</dcterms:created>
  <dcterms:modified xsi:type="dcterms:W3CDTF">2019-10-06T00:33:00Z</dcterms:modified>
</cp:coreProperties>
</file>