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D589" w14:textId="77777777" w:rsidR="000E37A6" w:rsidRDefault="000E37A6">
      <w:pPr>
        <w:spacing w:line="360" w:lineRule="auto"/>
        <w:rPr>
          <w:b/>
          <w:bCs/>
          <w:sz w:val="24"/>
          <w:szCs w:val="24"/>
        </w:rPr>
      </w:pPr>
      <w:bookmarkStart w:id="0" w:name="_594s80gsfv6w" w:colFirst="0" w:colLast="0"/>
      <w:bookmarkEnd w:id="0"/>
    </w:p>
    <w:p w14:paraId="579CB57F" w14:textId="77777777" w:rsidR="000E37A6" w:rsidRDefault="00BF21CD">
      <w:pPr>
        <w:spacing w:line="360" w:lineRule="auto"/>
        <w:jc w:val="center"/>
      </w:pPr>
      <w:r>
        <w:rPr>
          <w:b/>
          <w:bCs/>
          <w:sz w:val="24"/>
          <w:szCs w:val="24"/>
        </w:rPr>
        <w:t xml:space="preserve">LIMITES CONSTITUCIONAIS E DISCURSO DE ÓDIO: </w:t>
      </w:r>
      <w:r>
        <w:rPr>
          <w:sz w:val="24"/>
          <w:szCs w:val="24"/>
        </w:rPr>
        <w:t>Uma análise sobre o abuso da liberdade de expressão e a discriminação racial no meio virtual</w:t>
      </w:r>
    </w:p>
    <w:p w14:paraId="31EBA2FA" w14:textId="77777777" w:rsidR="000E37A6" w:rsidRDefault="000E37A6">
      <w:pPr>
        <w:tabs>
          <w:tab w:val="left" w:pos="1540"/>
        </w:tabs>
        <w:spacing w:line="360" w:lineRule="auto"/>
        <w:ind w:left="-360"/>
        <w:jc w:val="right"/>
        <w:rPr>
          <w:sz w:val="24"/>
          <w:szCs w:val="24"/>
        </w:rPr>
      </w:pPr>
    </w:p>
    <w:p w14:paraId="37D8227E" w14:textId="77777777" w:rsidR="000E37A6" w:rsidRDefault="00BF21CD">
      <w:pPr>
        <w:tabs>
          <w:tab w:val="left" w:pos="1540"/>
        </w:tabs>
        <w:spacing w:line="360" w:lineRule="auto"/>
        <w:ind w:left="-360"/>
        <w:jc w:val="right"/>
        <w:rPr>
          <w:sz w:val="24"/>
          <w:szCs w:val="24"/>
        </w:rPr>
      </w:pPr>
      <w:r>
        <w:rPr>
          <w:sz w:val="24"/>
          <w:szCs w:val="24"/>
        </w:rPr>
        <w:t xml:space="preserve">Andrêina Karine Sousa da Silva¹ </w:t>
      </w:r>
    </w:p>
    <w:p w14:paraId="79B01529" w14:textId="77777777" w:rsidR="000E37A6" w:rsidRDefault="00BF21CD">
      <w:pPr>
        <w:tabs>
          <w:tab w:val="left" w:pos="2060"/>
        </w:tabs>
        <w:spacing w:line="360" w:lineRule="auto"/>
        <w:ind w:left="-360"/>
        <w:jc w:val="right"/>
        <w:rPr>
          <w:sz w:val="24"/>
          <w:szCs w:val="24"/>
        </w:rPr>
      </w:pPr>
      <w:r>
        <w:rPr>
          <w:sz w:val="24"/>
          <w:szCs w:val="24"/>
        </w:rPr>
        <w:t>Carlos Heitor Marques da Silva Santos²</w:t>
      </w:r>
    </w:p>
    <w:p w14:paraId="7328BA7B" w14:textId="77777777" w:rsidR="000E37A6" w:rsidRDefault="00BF21CD">
      <w:pPr>
        <w:tabs>
          <w:tab w:val="left" w:pos="2060"/>
          <w:tab w:val="left" w:pos="7240"/>
        </w:tabs>
        <w:spacing w:line="360" w:lineRule="auto"/>
        <w:ind w:left="-360"/>
        <w:jc w:val="right"/>
        <w:rPr>
          <w:sz w:val="24"/>
          <w:szCs w:val="24"/>
        </w:rPr>
      </w:pPr>
      <w:r>
        <w:rPr>
          <w:sz w:val="24"/>
          <w:szCs w:val="24"/>
        </w:rPr>
        <w:t>João Gabriel de Araújo Dias³</w:t>
      </w:r>
    </w:p>
    <w:p w14:paraId="7C86F2CC" w14:textId="77777777" w:rsidR="000E37A6" w:rsidRDefault="00BF21CD">
      <w:pPr>
        <w:tabs>
          <w:tab w:val="left" w:pos="2060"/>
          <w:tab w:val="left" w:pos="7240"/>
        </w:tabs>
        <w:spacing w:line="360" w:lineRule="auto"/>
        <w:ind w:left="-360"/>
        <w:jc w:val="right"/>
        <w:rPr>
          <w:sz w:val="24"/>
          <w:szCs w:val="24"/>
          <w:vertAlign w:val="superscript"/>
        </w:rPr>
      </w:pPr>
      <w:r>
        <w:rPr>
          <w:sz w:val="24"/>
          <w:szCs w:val="24"/>
        </w:rPr>
        <w:t>Guilherme Antônio Lopes de Oliveira</w:t>
      </w:r>
      <w:r>
        <w:rPr>
          <w:sz w:val="24"/>
          <w:szCs w:val="24"/>
          <w:vertAlign w:val="superscript"/>
        </w:rPr>
        <w:t>4</w:t>
      </w:r>
    </w:p>
    <w:p w14:paraId="601D6E86" w14:textId="77777777" w:rsidR="000E37A6" w:rsidRDefault="000E37A6">
      <w:pPr>
        <w:tabs>
          <w:tab w:val="left" w:pos="2060"/>
          <w:tab w:val="left" w:pos="7240"/>
        </w:tabs>
        <w:spacing w:line="360" w:lineRule="auto"/>
        <w:ind w:left="-360"/>
        <w:jc w:val="right"/>
        <w:rPr>
          <w:sz w:val="24"/>
          <w:szCs w:val="24"/>
        </w:rPr>
      </w:pPr>
    </w:p>
    <w:p w14:paraId="6425F29A" w14:textId="77777777" w:rsidR="000E37A6" w:rsidRDefault="000E37A6">
      <w:pPr>
        <w:tabs>
          <w:tab w:val="left" w:pos="2060"/>
          <w:tab w:val="left" w:pos="7240"/>
        </w:tabs>
        <w:spacing w:line="360" w:lineRule="auto"/>
        <w:ind w:left="-360"/>
        <w:jc w:val="right"/>
        <w:rPr>
          <w:sz w:val="24"/>
          <w:szCs w:val="24"/>
        </w:rPr>
      </w:pPr>
    </w:p>
    <w:p w14:paraId="1ED8FBAD" w14:textId="77777777" w:rsidR="000E37A6" w:rsidRDefault="00BF21CD">
      <w:pPr>
        <w:spacing w:line="360" w:lineRule="auto"/>
        <w:rPr>
          <w:sz w:val="24"/>
          <w:szCs w:val="24"/>
        </w:rPr>
      </w:pPr>
      <w:r>
        <w:rPr>
          <w:b/>
          <w:bCs/>
          <w:sz w:val="24"/>
          <w:szCs w:val="24"/>
        </w:rPr>
        <w:t>RESUMO</w:t>
      </w:r>
    </w:p>
    <w:p w14:paraId="053BEDC0" w14:textId="77777777" w:rsidR="000E37A6" w:rsidRDefault="00BF21CD">
      <w:pPr>
        <w:spacing w:line="360" w:lineRule="auto"/>
        <w:jc w:val="both"/>
        <w:rPr>
          <w:sz w:val="24"/>
          <w:szCs w:val="24"/>
        </w:rPr>
      </w:pPr>
      <w:r>
        <w:rPr>
          <w:sz w:val="24"/>
          <w:szCs w:val="24"/>
        </w:rPr>
        <w:t xml:space="preserve">        O presente artigo examina o conflito entre a liberdade de expressão e a proteção dos direitos fundamentais da população negra, investigando a instrumentalização do racismo estrutural, do racismo recreativo e do discurso de ódio no ambiente virtual. Metodologicamente, caracteriza-se como uma pesq  uisa</w:t>
      </w:r>
      <w:r>
        <w:rPr>
          <w:sz w:val="24"/>
          <w:szCs w:val="24"/>
        </w:rPr>
        <w:t xml:space="preserve"> bibliográfica, de abordagem qualitativa e cunho descritivo-analítico, realizada por meio da revisão de sete artigos científicos publicados entre 2016 e 2026. A partir da sistematização em três eixos temáticos, avaliou-se que a livre manifestação do pensamento não possui caráter absoluto, encontrando barreiras intransponíveis na dignidade da pessoa humana e na vedação a práticas discriminatórias. Constatou-se que o uso de piadas, memes e do pretexto do animus jocandi mascara</w:t>
      </w:r>
      <w:r>
        <w:rPr>
          <w:sz w:val="24"/>
          <w:szCs w:val="24"/>
        </w:rPr>
        <w:t xml:space="preserve"> agressões raciais sob a roupagem de entretenimento inofensivo, perpetuando assimetrias históricas. Logo, conclui-se que a responsabilização efetiva dos excessos virtuais e uma postura rigorosa do Poder Judiciário são indispensáveis para coibir a impunidade digital e assegurar a proteção democrática dos grupos vulnerabilizados.</w:t>
      </w:r>
    </w:p>
    <w:p w14:paraId="671C8051" w14:textId="77777777" w:rsidR="000E37A6" w:rsidRDefault="000E37A6">
      <w:pPr>
        <w:spacing w:line="360" w:lineRule="auto"/>
        <w:rPr>
          <w:b/>
          <w:bCs/>
          <w:sz w:val="24"/>
          <w:szCs w:val="24"/>
        </w:rPr>
      </w:pPr>
    </w:p>
    <w:p w14:paraId="4B738BA7" w14:textId="77777777" w:rsidR="000E37A6" w:rsidRDefault="00BF21CD">
      <w:pPr>
        <w:spacing w:line="360" w:lineRule="auto"/>
        <w:rPr>
          <w:sz w:val="24"/>
          <w:szCs w:val="24"/>
        </w:rPr>
      </w:pPr>
      <w:r>
        <w:rPr>
          <w:b/>
          <w:bCs/>
          <w:sz w:val="24"/>
          <w:szCs w:val="24"/>
        </w:rPr>
        <w:t xml:space="preserve">Palavras-chave: </w:t>
      </w:r>
      <w:r>
        <w:rPr>
          <w:sz w:val="24"/>
          <w:szCs w:val="24"/>
        </w:rPr>
        <w:t>Liberdade de Expressão. Racismo Estrutural. Racismo Recreativo. Mídias Digitais.</w:t>
      </w:r>
    </w:p>
    <w:p w14:paraId="55888645" w14:textId="77777777" w:rsidR="000E37A6" w:rsidRDefault="000E37A6">
      <w:pPr>
        <w:rPr>
          <w:sz w:val="20"/>
          <w:szCs w:val="20"/>
        </w:rPr>
      </w:pPr>
    </w:p>
    <w:p w14:paraId="5182A5A8" w14:textId="77777777" w:rsidR="00434258" w:rsidRDefault="00434258">
      <w:pPr>
        <w:rPr>
          <w:sz w:val="20"/>
          <w:szCs w:val="20"/>
        </w:rPr>
      </w:pPr>
    </w:p>
    <w:p w14:paraId="7193F4DB" w14:textId="77777777" w:rsidR="000E37A6" w:rsidRDefault="00BF21CD">
      <w:pPr>
        <w:rPr>
          <w:sz w:val="20"/>
          <w:szCs w:val="20"/>
        </w:rPr>
      </w:pPr>
      <w:r>
        <w:rPr>
          <w:sz w:val="20"/>
          <w:szCs w:val="20"/>
        </w:rPr>
        <w:t>¹ Graduando em Direito – Centro Universitário Chrisfapi</w:t>
      </w:r>
    </w:p>
    <w:p w14:paraId="5425760F" w14:textId="77777777" w:rsidR="000E37A6" w:rsidRDefault="00BF21CD">
      <w:pPr>
        <w:rPr>
          <w:sz w:val="20"/>
          <w:szCs w:val="20"/>
        </w:rPr>
      </w:pPr>
      <w:r>
        <w:rPr>
          <w:sz w:val="20"/>
          <w:szCs w:val="20"/>
        </w:rPr>
        <w:t xml:space="preserve">² Graduando em Direito – Centro Universitário Chrisfapi </w:t>
      </w:r>
    </w:p>
    <w:p w14:paraId="3C2F0B12" w14:textId="77777777" w:rsidR="000E37A6" w:rsidRDefault="00BF21CD">
      <w:pPr>
        <w:rPr>
          <w:sz w:val="20"/>
          <w:szCs w:val="20"/>
        </w:rPr>
      </w:pPr>
      <w:r>
        <w:rPr>
          <w:sz w:val="20"/>
          <w:szCs w:val="20"/>
        </w:rPr>
        <w:t>³ Graduando em Direito – Centro Universitário Chrisfapi</w:t>
      </w:r>
    </w:p>
    <w:p w14:paraId="73C88169" w14:textId="77777777" w:rsidR="000E37A6" w:rsidRDefault="00BF21CD">
      <w:pPr>
        <w:rPr>
          <w:sz w:val="20"/>
          <w:szCs w:val="20"/>
        </w:rPr>
      </w:pPr>
      <w:r>
        <w:rPr>
          <w:sz w:val="20"/>
          <w:szCs w:val="20"/>
          <w:vertAlign w:val="superscript"/>
        </w:rPr>
        <w:t>4</w:t>
      </w:r>
      <w:r>
        <w:rPr>
          <w:sz w:val="20"/>
          <w:szCs w:val="20"/>
        </w:rPr>
        <w:t xml:space="preserve"> Doutor em Biotecnologia (UFPI), Docente do Centro Universitário Chrisfapi</w:t>
      </w:r>
    </w:p>
    <w:p w14:paraId="6E198B1C" w14:textId="77777777" w:rsidR="000E37A6" w:rsidRDefault="000E37A6">
      <w:pPr>
        <w:rPr>
          <w:sz w:val="20"/>
          <w:szCs w:val="20"/>
        </w:rPr>
      </w:pPr>
    </w:p>
    <w:p w14:paraId="45C8CEDE" w14:textId="77777777" w:rsidR="000E37A6" w:rsidRDefault="00BF21CD">
      <w:pPr>
        <w:spacing w:line="360" w:lineRule="auto"/>
        <w:rPr>
          <w:sz w:val="24"/>
          <w:szCs w:val="24"/>
        </w:rPr>
      </w:pPr>
      <w:r>
        <w:rPr>
          <w:b/>
          <w:bCs/>
          <w:sz w:val="24"/>
          <w:szCs w:val="24"/>
        </w:rPr>
        <w:t>1 INTRODUÇÃO</w:t>
      </w:r>
    </w:p>
    <w:p w14:paraId="43B4E461" w14:textId="77777777" w:rsidR="000E37A6" w:rsidRDefault="00BF21CD">
      <w:pPr>
        <w:tabs>
          <w:tab w:val="left" w:pos="0"/>
        </w:tabs>
        <w:spacing w:line="360" w:lineRule="auto"/>
        <w:jc w:val="both"/>
        <w:rPr>
          <w:sz w:val="24"/>
          <w:szCs w:val="24"/>
        </w:rPr>
      </w:pPr>
      <w:r>
        <w:rPr>
          <w:sz w:val="24"/>
          <w:szCs w:val="24"/>
        </w:rPr>
        <w:tab/>
      </w:r>
      <w:r>
        <w:rPr>
          <w:sz w:val="24"/>
          <w:szCs w:val="24"/>
        </w:rPr>
        <w:t>Com as transformações sociais decorridas ao longo do tempo, os direitos e deveres dos cidadãos passaram a ser incorporados ao ordenamento jurídico em prol do bem coletivo. Entre essas garantias, destaca-se a liberdade de expressão como um direito fundamental indispensável para o exercício pleno da cidadania e para a consolidação democrática. Portanto, entende-se que seu exercício possui limites legítimos para combater abusos, reduzir assimetrias sociais e proteger outros valores constitucionais essenciais (</w:t>
      </w:r>
      <w:r>
        <w:rPr>
          <w:sz w:val="24"/>
          <w:szCs w:val="24"/>
        </w:rPr>
        <w:t>Freitas; Castro, 2013).</w:t>
      </w:r>
    </w:p>
    <w:p w14:paraId="0DAA2CE4" w14:textId="77777777" w:rsidR="000E37A6" w:rsidRDefault="00BF21CD">
      <w:pPr>
        <w:tabs>
          <w:tab w:val="left" w:pos="0"/>
        </w:tabs>
        <w:spacing w:line="360" w:lineRule="auto"/>
        <w:jc w:val="both"/>
        <w:rPr>
          <w:sz w:val="24"/>
          <w:szCs w:val="24"/>
        </w:rPr>
      </w:pPr>
      <w:r>
        <w:rPr>
          <w:sz w:val="24"/>
          <w:szCs w:val="24"/>
        </w:rPr>
        <w:tab/>
      </w:r>
      <w:r>
        <w:rPr>
          <w:sz w:val="24"/>
          <w:szCs w:val="24"/>
        </w:rPr>
        <w:t>Nessa perspectiva, destaca-se a evolução histórica dos direitos fundamentais, reconhecidos de forma gradual ao longo do tempo para assegurar a harmonia na vida em coletividade. Inicialmente concebidos para proteger o indivíduo contra a arbitrariedade estatal, os direitos ganharam novas dimensões, tornando-se pilares indispensáveis para a consolidação democrática. Com o amadurecimento institucional, foram incorporados ajustes normativos e princípios para alinhar essas garantias à dignidade da pessoa humana (</w:t>
      </w:r>
      <w:r>
        <w:rPr>
          <w:sz w:val="24"/>
          <w:szCs w:val="24"/>
        </w:rPr>
        <w:t>Vieira Junior, 2015), evidenciando que a construção dos direitos fundamentais é um processo contínuo e essencial para a justiça social.</w:t>
      </w:r>
    </w:p>
    <w:p w14:paraId="5488DD86" w14:textId="0616A92B" w:rsidR="000E37A6" w:rsidRDefault="00BF21CD">
      <w:pPr>
        <w:tabs>
          <w:tab w:val="left" w:pos="0"/>
        </w:tabs>
        <w:spacing w:line="360" w:lineRule="auto"/>
        <w:jc w:val="both"/>
        <w:rPr>
          <w:sz w:val="24"/>
          <w:szCs w:val="24"/>
        </w:rPr>
      </w:pPr>
      <w:r>
        <w:rPr>
          <w:sz w:val="24"/>
          <w:szCs w:val="24"/>
        </w:rPr>
        <w:tab/>
        <w:t>Contudo, se por um lado o meio cibernético democratizou o fluxo de dados, por outro acentuou o dilema entre a desinformação e a proteção dos direitos fundamentais, tornando complexo o controle de excessos (Ribeiro, 2022). Desse modo, o sistema jurídico passou a ser desafiado a reinterpretar a garantia da liberdade de expressão sob a ótica das novas mídias.</w:t>
      </w:r>
    </w:p>
    <w:p w14:paraId="21A74E73" w14:textId="77777777" w:rsidR="000E37A6" w:rsidRDefault="00BF21CD">
      <w:pPr>
        <w:tabs>
          <w:tab w:val="left" w:pos="0"/>
        </w:tabs>
        <w:spacing w:line="360" w:lineRule="auto"/>
        <w:jc w:val="both"/>
        <w:rPr>
          <w:sz w:val="24"/>
          <w:szCs w:val="24"/>
        </w:rPr>
      </w:pPr>
      <w:r>
        <w:rPr>
          <w:sz w:val="24"/>
          <w:szCs w:val="24"/>
        </w:rPr>
        <w:tab/>
      </w:r>
      <w:r>
        <w:rPr>
          <w:sz w:val="24"/>
          <w:szCs w:val="24"/>
        </w:rPr>
        <w:t>Nesse sentido, constata-se que os meios digitais integram o cotidiano da sociedade contemporânea, haja vista que grande parte da população possui acesso às redes sociais. Outrossim, essas plataformas passaram a ocupar um espaço relevante no mercado de trabalho, impulsionando a atuação de influenciadores digitais, que veiculam conteúdos sobre consumo e comportamento. No entanto, a massificação dessas ferramentas também facilitou a propagação desenfreada de notícias falsas (</w:t>
      </w:r>
      <w:r>
        <w:rPr>
          <w:i/>
          <w:iCs/>
          <w:sz w:val="24"/>
          <w:szCs w:val="24"/>
        </w:rPr>
        <w:t>fake news</w:t>
      </w:r>
      <w:r>
        <w:rPr>
          <w:sz w:val="24"/>
          <w:szCs w:val="24"/>
        </w:rPr>
        <w:t>), impactando diretamente a formação da opinião pública e impondo novos desafios para a sociedade brasileira (Santana et al., 2009).</w:t>
      </w:r>
    </w:p>
    <w:p w14:paraId="2A79536B" w14:textId="2E649809" w:rsidR="000E37A6" w:rsidRDefault="00BF21CD">
      <w:pPr>
        <w:tabs>
          <w:tab w:val="left" w:pos="0"/>
        </w:tabs>
        <w:spacing w:line="360" w:lineRule="auto"/>
        <w:jc w:val="both"/>
        <w:rPr>
          <w:sz w:val="24"/>
          <w:szCs w:val="24"/>
        </w:rPr>
      </w:pPr>
      <w:r>
        <w:rPr>
          <w:sz w:val="24"/>
          <w:szCs w:val="24"/>
        </w:rPr>
        <w:tab/>
      </w:r>
      <w:r>
        <w:rPr>
          <w:sz w:val="24"/>
          <w:szCs w:val="24"/>
        </w:rPr>
        <w:t xml:space="preserve">Partindo dessa facilidade de inserção no meio virtual e do ganho de espaço relevante, diversos indivíduos passam a utilizar essas ferramentas para a prática de atos de má-fé. Isto é, parcela expressiva da sociedade incorre em excessos ao exercer a liberdade de expressão, ultrapassando os limites legais e éticos ao divulgar comentários ofensivos sob o pretexto da autonomia do uso das mídias. Essa conduta reflete uma falsa percepção de impunidade, </w:t>
      </w:r>
      <w:r>
        <w:rPr>
          <w:sz w:val="24"/>
          <w:szCs w:val="24"/>
        </w:rPr>
        <w:t xml:space="preserve">fomentando a disseminação de discursos de ódio, com destaque para o racismo estrutural e o racismo recreativo, que frequentemente utilizam o disfarce de "brincadeiras" para ferir a dignidade humana e perpetuar assimetrias sociais (Santos; Sá; Rocha, 2021). </w:t>
      </w:r>
    </w:p>
    <w:p w14:paraId="0B81E7D9" w14:textId="77777777" w:rsidR="000E37A6" w:rsidRDefault="00BF21CD">
      <w:pPr>
        <w:tabs>
          <w:tab w:val="left" w:pos="0"/>
        </w:tabs>
        <w:spacing w:line="360" w:lineRule="auto"/>
        <w:jc w:val="both"/>
        <w:rPr>
          <w:sz w:val="24"/>
          <w:szCs w:val="24"/>
        </w:rPr>
      </w:pPr>
      <w:r>
        <w:rPr>
          <w:sz w:val="24"/>
          <w:szCs w:val="24"/>
        </w:rPr>
        <w:tab/>
      </w:r>
      <w:r>
        <w:rPr>
          <w:sz w:val="24"/>
          <w:szCs w:val="24"/>
        </w:rPr>
        <w:t>Sob essa ótica, as mídias sociais passaram a ser instrumentalizadas como ferramentas para atentar contra o regime democrático, afetando de forma desproporcional os grupos historicamente vulnerabilizados, como a população negra. Nesse viés, identifica-se nas plataformas digitais a reprodução recorrente de estereótipos enraizados no meio social, em que essa parcela é frequentemente associada à marginalização. Conforme leciona Almeida (2019), o racismo estrutural se reflete nas práticas cotidianas e institucio</w:t>
      </w:r>
      <w:r>
        <w:rPr>
          <w:sz w:val="24"/>
          <w:szCs w:val="24"/>
        </w:rPr>
        <w:t>nais, encontrando no ambiente cibernético um terreno propício para a amplificação de discriminações e discursos preconceituosos travestidos de opinião.</w:t>
      </w:r>
    </w:p>
    <w:p w14:paraId="78909430" w14:textId="2E14BBCE" w:rsidR="000E37A6" w:rsidRDefault="00BF21CD">
      <w:pPr>
        <w:tabs>
          <w:tab w:val="left" w:pos="0"/>
        </w:tabs>
        <w:spacing w:line="360" w:lineRule="auto"/>
        <w:jc w:val="both"/>
        <w:rPr>
          <w:sz w:val="24"/>
          <w:szCs w:val="24"/>
        </w:rPr>
      </w:pPr>
      <w:r>
        <w:rPr>
          <w:sz w:val="24"/>
          <w:szCs w:val="24"/>
        </w:rPr>
        <w:tab/>
        <w:t>Desse modo, ao centralizar as ideias apresentadas, torna-se evidente a urgência de o Poder Judiciário e os operadores do direito repudiarem a tese de que o racismo, seja ele estrutural ou camuflado sob o manto do racismo recreativo, estaria protegido pela garantia da liberdade de expressão. Logo, é dever do ordenamento jurídico assegurar a proteção rigorosa dos grupos historicamente vulnerabilizados, especialmente a população negra, contra manifestações</w:t>
      </w:r>
      <w:r>
        <w:rPr>
          <w:sz w:val="24"/>
          <w:szCs w:val="24"/>
        </w:rPr>
        <w:t xml:space="preserve"> discriminatórias, discursos de ódio e ofensas disfarçadas de humor. A responsabilização efetiva e a punição dos excessos virtuais mostram-se, portanto, indispensáveis para coibir abusos, combater as assimetrias históricas e assegurar a proteção democrática da sociedade de forma equitativa (Broiano; Peixoto; Gomes, 2023).</w:t>
      </w:r>
    </w:p>
    <w:p w14:paraId="5D920081" w14:textId="77777777" w:rsidR="000E37A6" w:rsidRDefault="00BF21CD">
      <w:pPr>
        <w:tabs>
          <w:tab w:val="left" w:pos="0"/>
        </w:tabs>
        <w:spacing w:line="360" w:lineRule="auto"/>
        <w:jc w:val="both"/>
        <w:rPr>
          <w:sz w:val="24"/>
          <w:szCs w:val="24"/>
        </w:rPr>
      </w:pPr>
      <w:r>
        <w:rPr>
          <w:sz w:val="24"/>
          <w:szCs w:val="24"/>
        </w:rPr>
        <w:tab/>
      </w:r>
      <w:r>
        <w:rPr>
          <w:sz w:val="24"/>
          <w:szCs w:val="24"/>
        </w:rPr>
        <w:t>Ademais, diante da necessidade de atuação do Poder Judiciário no enfrentamento dos excessos praticados no ambiente virtual, especialmente quando envolvem discursos de ódio, torna-se fundamental considerar a proteção da dignidade da pessoa humana e dos direitos fundamentais. A atuação judicial mostra-se relevante para estabelecer limites às manifestações que ultrapassem o exercício legítimo da liberdade de expressão e causem prejuízos a indivíduos ou grupos sociais (Pezzella; Pannain, 2015)</w:t>
      </w:r>
    </w:p>
    <w:p w14:paraId="452A337F" w14:textId="77777777" w:rsidR="000E37A6" w:rsidRDefault="000E37A6">
      <w:pPr>
        <w:tabs>
          <w:tab w:val="left" w:pos="0"/>
        </w:tabs>
        <w:spacing w:line="360" w:lineRule="auto"/>
        <w:jc w:val="both"/>
        <w:rPr>
          <w:i/>
          <w:iCs/>
          <w:sz w:val="24"/>
          <w:szCs w:val="24"/>
        </w:rPr>
      </w:pPr>
    </w:p>
    <w:p w14:paraId="7F0678C8" w14:textId="77777777" w:rsidR="000E37A6" w:rsidRDefault="00BF21CD">
      <w:pPr>
        <w:spacing w:line="360" w:lineRule="auto"/>
        <w:rPr>
          <w:b/>
          <w:bCs/>
          <w:sz w:val="24"/>
          <w:szCs w:val="24"/>
        </w:rPr>
      </w:pPr>
      <w:r>
        <w:rPr>
          <w:b/>
          <w:bCs/>
          <w:sz w:val="24"/>
          <w:szCs w:val="24"/>
        </w:rPr>
        <w:t>2 OBJETIVOS</w:t>
      </w:r>
    </w:p>
    <w:p w14:paraId="36549535" w14:textId="4D6798BE" w:rsidR="000E37A6" w:rsidRDefault="00BF21CD">
      <w:pPr>
        <w:spacing w:line="360" w:lineRule="auto"/>
        <w:rPr>
          <w:sz w:val="24"/>
          <w:szCs w:val="24"/>
        </w:rPr>
      </w:pPr>
      <w:r>
        <w:rPr>
          <w:b/>
          <w:bCs/>
          <w:sz w:val="24"/>
          <w:szCs w:val="24"/>
        </w:rPr>
        <w:tab/>
      </w:r>
      <w:r w:rsidR="00434258" w:rsidRPr="00434258">
        <w:rPr>
          <w:sz w:val="24"/>
          <w:szCs w:val="24"/>
        </w:rPr>
        <w:t>O</w:t>
      </w:r>
      <w:r w:rsidRPr="00434258">
        <w:rPr>
          <w:sz w:val="24"/>
          <w:szCs w:val="24"/>
        </w:rPr>
        <w:t xml:space="preserve"> o</w:t>
      </w:r>
      <w:r>
        <w:rPr>
          <w:sz w:val="24"/>
          <w:szCs w:val="24"/>
        </w:rPr>
        <w:t xml:space="preserve">bjetivo desta pesquisa é examinar como o abuso da liberdade de expressão nas redes sociais impacta a garantia dos direitos fundamentais da população negra. </w:t>
      </w:r>
    </w:p>
    <w:p w14:paraId="65ECD22A" w14:textId="77777777" w:rsidR="000E37A6" w:rsidRDefault="000E37A6">
      <w:pPr>
        <w:spacing w:line="360" w:lineRule="auto"/>
        <w:rPr>
          <w:sz w:val="24"/>
          <w:szCs w:val="24"/>
        </w:rPr>
      </w:pPr>
    </w:p>
    <w:p w14:paraId="49479323" w14:textId="77777777" w:rsidR="000E37A6" w:rsidRDefault="00BF21CD">
      <w:pPr>
        <w:spacing w:line="360" w:lineRule="auto"/>
        <w:rPr>
          <w:sz w:val="24"/>
          <w:szCs w:val="24"/>
        </w:rPr>
      </w:pPr>
      <w:r>
        <w:rPr>
          <w:b/>
          <w:bCs/>
          <w:sz w:val="24"/>
          <w:szCs w:val="24"/>
        </w:rPr>
        <w:t>3 METODOLOGIA</w:t>
      </w:r>
    </w:p>
    <w:p w14:paraId="59E4858C" w14:textId="77777777" w:rsidR="000E37A6" w:rsidRDefault="00BF21CD">
      <w:pPr>
        <w:tabs>
          <w:tab w:val="left" w:pos="0"/>
        </w:tabs>
        <w:spacing w:line="360" w:lineRule="auto"/>
        <w:jc w:val="both"/>
        <w:rPr>
          <w:sz w:val="24"/>
          <w:szCs w:val="24"/>
        </w:rPr>
      </w:pPr>
      <w:r>
        <w:rPr>
          <w:sz w:val="24"/>
          <w:szCs w:val="24"/>
        </w:rPr>
        <w:tab/>
      </w:r>
      <w:r>
        <w:rPr>
          <w:sz w:val="24"/>
          <w:szCs w:val="24"/>
        </w:rPr>
        <w:t>O presente documento trata-se de uma pesquisa bibliográfica, de natureza qualitativa e de tipo descritivo-analítico. Quanto ao procedimento técnico adotado, realizou-se uma revisão da literatura jurídica e social, com o objetivo de analisar e sintetizar a arte referente aos limites da liberdade de expressão e o combate às agressões virtuais contra a população negra.</w:t>
      </w:r>
    </w:p>
    <w:p w14:paraId="2EE431EA" w14:textId="77777777" w:rsidR="000E37A6" w:rsidRDefault="00BF21CD">
      <w:pPr>
        <w:tabs>
          <w:tab w:val="left" w:pos="0"/>
        </w:tabs>
        <w:spacing w:line="360" w:lineRule="auto"/>
        <w:jc w:val="both"/>
        <w:rPr>
          <w:sz w:val="24"/>
          <w:szCs w:val="24"/>
        </w:rPr>
      </w:pPr>
      <w:r>
        <w:rPr>
          <w:sz w:val="24"/>
          <w:szCs w:val="24"/>
        </w:rPr>
        <w:tab/>
        <w:t xml:space="preserve">A coleta de dados ocorreu por meio de buscas em bases acadêmicas (como </w:t>
      </w:r>
      <w:r>
        <w:rPr>
          <w:i/>
          <w:iCs/>
          <w:sz w:val="24"/>
          <w:szCs w:val="24"/>
        </w:rPr>
        <w:t xml:space="preserve">Google </w:t>
      </w:r>
      <w:r>
        <w:rPr>
          <w:sz w:val="24"/>
          <w:szCs w:val="24"/>
        </w:rPr>
        <w:t xml:space="preserve">Acadêmico, </w:t>
      </w:r>
      <w:r>
        <w:rPr>
          <w:i/>
          <w:iCs/>
          <w:sz w:val="24"/>
          <w:szCs w:val="24"/>
        </w:rPr>
        <w:t xml:space="preserve">SciELO </w:t>
      </w:r>
      <w:r>
        <w:rPr>
          <w:sz w:val="24"/>
          <w:szCs w:val="24"/>
        </w:rPr>
        <w:t xml:space="preserve">e outros repositórios de periódicos), delimitando o recorte temporal entre os anos de 2016 e 2026. Utilizaram-se como descritores de busca as combinações em língua portuguesa: Liberdade de expressão AND racismo estrutural AND discurso de ódio AND mídias digitais. </w:t>
      </w:r>
    </w:p>
    <w:p w14:paraId="035BA0A0" w14:textId="77777777" w:rsidR="000E37A6" w:rsidRDefault="00BF21CD">
      <w:pPr>
        <w:tabs>
          <w:tab w:val="left" w:pos="0"/>
        </w:tabs>
        <w:spacing w:line="360" w:lineRule="auto"/>
        <w:jc w:val="both"/>
        <w:rPr>
          <w:sz w:val="24"/>
          <w:szCs w:val="24"/>
        </w:rPr>
      </w:pPr>
      <w:r>
        <w:rPr>
          <w:sz w:val="24"/>
          <w:szCs w:val="24"/>
        </w:rPr>
        <w:tab/>
      </w:r>
      <w:r>
        <w:rPr>
          <w:sz w:val="24"/>
          <w:szCs w:val="24"/>
        </w:rPr>
        <w:t xml:space="preserve">Para compor o corpo de análise, foram selecionados 7 artigos científicos que atendiam rigorosamente aos critérios de inclusão: disponibilidade na íntegra, aderência direta à temática investigada e publicação dentro do recorte temporal estabelecido. Os artigos selecionados foram organizados e categorizados em 3 eixos temáticos: </w:t>
      </w:r>
    </w:p>
    <w:p w14:paraId="6D2DB998" w14:textId="77777777" w:rsidR="000E37A6" w:rsidRDefault="00BF21CD">
      <w:pPr>
        <w:tabs>
          <w:tab w:val="left" w:pos="0"/>
        </w:tabs>
        <w:spacing w:line="360" w:lineRule="auto"/>
        <w:jc w:val="both"/>
        <w:rPr>
          <w:sz w:val="24"/>
          <w:szCs w:val="24"/>
        </w:rPr>
      </w:pPr>
      <w:r>
        <w:rPr>
          <w:b/>
          <w:bCs/>
          <w:sz w:val="24"/>
          <w:szCs w:val="24"/>
        </w:rPr>
        <w:t xml:space="preserve">(A)  Liberdade de Expressão e Limites Constitucionais: </w:t>
      </w:r>
      <w:r>
        <w:rPr>
          <w:sz w:val="24"/>
          <w:szCs w:val="24"/>
        </w:rPr>
        <w:t>trabalhos dedicados aos contornos normativos, à proibição do abuso de direito e à ponderação de princípios constitucionais;</w:t>
      </w:r>
    </w:p>
    <w:p w14:paraId="0E35E127" w14:textId="77777777" w:rsidR="000E37A6" w:rsidRDefault="00BF21CD">
      <w:pPr>
        <w:tabs>
          <w:tab w:val="left" w:pos="0"/>
        </w:tabs>
        <w:spacing w:line="360" w:lineRule="auto"/>
        <w:jc w:val="both"/>
        <w:rPr>
          <w:sz w:val="24"/>
          <w:szCs w:val="24"/>
        </w:rPr>
      </w:pPr>
      <w:r>
        <w:rPr>
          <w:b/>
          <w:bCs/>
          <w:sz w:val="24"/>
          <w:szCs w:val="24"/>
        </w:rPr>
        <w:t xml:space="preserve">(B)  Racismo Estrutural e Direitos Fundamentais: </w:t>
      </w:r>
      <w:r>
        <w:rPr>
          <w:sz w:val="24"/>
          <w:szCs w:val="24"/>
        </w:rPr>
        <w:t xml:space="preserve">estudos voltados às raízes históricas e institucionais da discriminação racial e à proteção de grupos vulnerabilizados; </w:t>
      </w:r>
    </w:p>
    <w:p w14:paraId="440B3C0E" w14:textId="77777777" w:rsidR="000E37A6" w:rsidRDefault="00BF21CD">
      <w:pPr>
        <w:tabs>
          <w:tab w:val="left" w:pos="0"/>
        </w:tabs>
        <w:spacing w:line="360" w:lineRule="auto"/>
        <w:jc w:val="both"/>
        <w:rPr>
          <w:sz w:val="24"/>
          <w:szCs w:val="24"/>
        </w:rPr>
      </w:pPr>
      <w:r>
        <w:rPr>
          <w:b/>
          <w:bCs/>
          <w:sz w:val="24"/>
          <w:szCs w:val="24"/>
        </w:rPr>
        <w:t>(C)</w:t>
      </w:r>
      <w:r>
        <w:rPr>
          <w:sz w:val="24"/>
          <w:szCs w:val="24"/>
        </w:rPr>
        <w:t xml:space="preserve">  </w:t>
      </w:r>
      <w:r>
        <w:rPr>
          <w:b/>
          <w:bCs/>
          <w:sz w:val="24"/>
          <w:szCs w:val="24"/>
        </w:rPr>
        <w:t>Racismo Recreativo e Discurso de Ódio no Ambiente Digital:</w:t>
      </w:r>
      <w:r>
        <w:rPr>
          <w:sz w:val="24"/>
          <w:szCs w:val="24"/>
        </w:rPr>
        <w:t xml:space="preserve"> produções focadas na instrumentalização do humor, memes e mídias virtuais como álibi para agressões e perpetuação de preconceitos. </w:t>
      </w:r>
    </w:p>
    <w:p w14:paraId="7E0BC956" w14:textId="77777777" w:rsidR="000E37A6" w:rsidRDefault="00BF21CD">
      <w:pPr>
        <w:tabs>
          <w:tab w:val="left" w:pos="0"/>
        </w:tabs>
        <w:spacing w:line="360" w:lineRule="auto"/>
        <w:jc w:val="both"/>
        <w:rPr>
          <w:b/>
          <w:bCs/>
          <w:sz w:val="24"/>
          <w:szCs w:val="24"/>
        </w:rPr>
      </w:pPr>
      <w:r>
        <w:rPr>
          <w:sz w:val="24"/>
          <w:szCs w:val="24"/>
        </w:rPr>
        <w:tab/>
        <w:t xml:space="preserve">A análise dos artigos foi sistematizada em uma matriz de síntese composta por 5 quesitos de caracterização: </w:t>
      </w:r>
      <w:r>
        <w:rPr>
          <w:b/>
          <w:bCs/>
          <w:sz w:val="24"/>
          <w:szCs w:val="24"/>
        </w:rPr>
        <w:t>Título</w:t>
      </w:r>
      <w:r>
        <w:rPr>
          <w:sz w:val="24"/>
          <w:szCs w:val="24"/>
        </w:rPr>
        <w:t xml:space="preserve">, </w:t>
      </w:r>
      <w:r>
        <w:rPr>
          <w:b/>
          <w:bCs/>
          <w:sz w:val="24"/>
          <w:szCs w:val="24"/>
        </w:rPr>
        <w:t>Autor(es)</w:t>
      </w:r>
      <w:r>
        <w:rPr>
          <w:sz w:val="24"/>
          <w:szCs w:val="24"/>
        </w:rPr>
        <w:t xml:space="preserve">, </w:t>
      </w:r>
      <w:r>
        <w:rPr>
          <w:b/>
          <w:bCs/>
          <w:sz w:val="24"/>
          <w:szCs w:val="24"/>
        </w:rPr>
        <w:t>Ano</w:t>
      </w:r>
      <w:r>
        <w:rPr>
          <w:sz w:val="24"/>
          <w:szCs w:val="24"/>
        </w:rPr>
        <w:t xml:space="preserve">, </w:t>
      </w:r>
      <w:r>
        <w:rPr>
          <w:b/>
          <w:bCs/>
          <w:sz w:val="24"/>
          <w:szCs w:val="24"/>
        </w:rPr>
        <w:t>Objetivo</w:t>
      </w:r>
      <w:r>
        <w:rPr>
          <w:sz w:val="24"/>
          <w:szCs w:val="24"/>
        </w:rPr>
        <w:t xml:space="preserve"> e </w:t>
      </w:r>
      <w:r>
        <w:rPr>
          <w:b/>
          <w:bCs/>
          <w:sz w:val="24"/>
          <w:szCs w:val="24"/>
        </w:rPr>
        <w:t>Desenho de Estudo</w:t>
      </w:r>
      <w:r>
        <w:rPr>
          <w:sz w:val="24"/>
          <w:szCs w:val="24"/>
        </w:rPr>
        <w:t>, permitindo a apreciação crítica dos achados e a posterior discussão dos resultados. Com tal análise crítica, foi possível examinar como o abuso da liberdade de expressão no ambiente digital impacta a garantia dos direitos fundamentais da população negra, fornecendo subsídios para compreender a atuação do Poder Judiciário no combate ao racismo e à desinformação nas redes.</w:t>
      </w:r>
    </w:p>
    <w:p w14:paraId="2537E9CC" w14:textId="77777777" w:rsidR="000E37A6" w:rsidRDefault="000E37A6">
      <w:pPr>
        <w:spacing w:line="360" w:lineRule="auto"/>
        <w:rPr>
          <w:b/>
          <w:bCs/>
          <w:sz w:val="24"/>
          <w:szCs w:val="24"/>
        </w:rPr>
      </w:pPr>
    </w:p>
    <w:p w14:paraId="7624C6BF" w14:textId="77777777" w:rsidR="00434258" w:rsidRDefault="00434258">
      <w:pPr>
        <w:spacing w:line="360" w:lineRule="auto"/>
        <w:rPr>
          <w:b/>
          <w:bCs/>
          <w:sz w:val="24"/>
          <w:szCs w:val="24"/>
        </w:rPr>
      </w:pPr>
    </w:p>
    <w:p w14:paraId="45B0DC3B" w14:textId="77777777" w:rsidR="00434258" w:rsidRDefault="00434258">
      <w:pPr>
        <w:spacing w:line="360" w:lineRule="auto"/>
        <w:rPr>
          <w:b/>
          <w:bCs/>
          <w:sz w:val="24"/>
          <w:szCs w:val="24"/>
        </w:rPr>
      </w:pPr>
    </w:p>
    <w:p w14:paraId="6D10ECD5" w14:textId="77777777" w:rsidR="000E37A6" w:rsidRDefault="00BF21CD">
      <w:pPr>
        <w:spacing w:line="360" w:lineRule="auto"/>
        <w:rPr>
          <w:b/>
          <w:bCs/>
          <w:sz w:val="24"/>
          <w:szCs w:val="24"/>
        </w:rPr>
      </w:pPr>
      <w:r>
        <w:rPr>
          <w:b/>
          <w:bCs/>
          <w:sz w:val="24"/>
          <w:szCs w:val="24"/>
        </w:rPr>
        <w:t>4 RESULTADOS E DISCUSSÃO</w:t>
      </w:r>
    </w:p>
    <w:p w14:paraId="3D5A8A49" w14:textId="77777777" w:rsidR="000E37A6" w:rsidRDefault="00BF21CD">
      <w:pPr>
        <w:tabs>
          <w:tab w:val="left" w:pos="0"/>
        </w:tabs>
        <w:spacing w:line="360" w:lineRule="auto"/>
        <w:jc w:val="both"/>
        <w:rPr>
          <w:sz w:val="24"/>
          <w:szCs w:val="24"/>
        </w:rPr>
      </w:pPr>
      <w:r>
        <w:rPr>
          <w:sz w:val="24"/>
          <w:szCs w:val="24"/>
        </w:rPr>
        <w:tab/>
      </w:r>
      <w:r>
        <w:rPr>
          <w:sz w:val="24"/>
          <w:szCs w:val="24"/>
        </w:rPr>
        <w:t xml:space="preserve">A coleta de trabalhos científicos publicados na literatura, realizada no portal de Periódicos </w:t>
      </w:r>
      <w:r>
        <w:rPr>
          <w:i/>
          <w:iCs/>
          <w:sz w:val="24"/>
          <w:szCs w:val="24"/>
        </w:rPr>
        <w:t xml:space="preserve">Google </w:t>
      </w:r>
      <w:r>
        <w:rPr>
          <w:sz w:val="24"/>
          <w:szCs w:val="24"/>
        </w:rPr>
        <w:t>Acadêmico, utilizando os descritores: “liberdade de expressão” AND “racismo estrutural” AND “discurso de ódio” AND “mídias digitais”, no corte temporal de 2016 a 2026, resultou em 8020 publicações. Dentre estas, foram escolhidas 7 publicações finais para análise, que atendiam todos os requisitos anteriormente delimitados. Os quesitos de caracterização estão expostos no Quadro 1.</w:t>
      </w:r>
    </w:p>
    <w:p w14:paraId="5577E35E" w14:textId="301F7787" w:rsidR="000E37A6" w:rsidRDefault="00BF21CD">
      <w:pPr>
        <w:tabs>
          <w:tab w:val="left" w:pos="0"/>
        </w:tabs>
        <w:spacing w:line="360" w:lineRule="auto"/>
        <w:jc w:val="both"/>
        <w:rPr>
          <w:sz w:val="24"/>
          <w:szCs w:val="24"/>
        </w:rPr>
      </w:pPr>
      <w:r w:rsidRPr="00434258">
        <w:rPr>
          <w:b/>
          <w:bCs/>
          <w:sz w:val="24"/>
          <w:szCs w:val="24"/>
        </w:rPr>
        <w:t>Quadro 1</w:t>
      </w:r>
      <w:r>
        <w:rPr>
          <w:sz w:val="24"/>
          <w:szCs w:val="24"/>
        </w:rPr>
        <w:t xml:space="preserve"> - Caracterização das Obras analisadas</w:t>
      </w:r>
    </w:p>
    <w:tbl>
      <w:tblPr>
        <w:tblStyle w:val="a"/>
        <w:tblW w:w="907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1371"/>
        <w:gridCol w:w="1181"/>
        <w:gridCol w:w="2693"/>
        <w:gridCol w:w="1568"/>
      </w:tblGrid>
      <w:tr w:rsidR="000E37A6" w14:paraId="503884CA" w14:textId="77777777" w:rsidTr="00434258">
        <w:tc>
          <w:tcPr>
            <w:tcW w:w="2258" w:type="dxa"/>
            <w:shd w:val="clear" w:color="auto" w:fill="DBE5F1" w:themeFill="accent1" w:themeFillTint="33"/>
            <w:vAlign w:val="center"/>
          </w:tcPr>
          <w:p w14:paraId="735A669C" w14:textId="55C27A0F" w:rsidR="000E37A6" w:rsidRDefault="00434258" w:rsidP="00434258">
            <w:pPr>
              <w:widowControl w:val="0"/>
              <w:jc w:val="center"/>
              <w:rPr>
                <w:sz w:val="24"/>
                <w:szCs w:val="24"/>
              </w:rPr>
            </w:pPr>
            <w:r>
              <w:rPr>
                <w:b/>
                <w:bCs/>
                <w:sz w:val="24"/>
                <w:szCs w:val="24"/>
              </w:rPr>
              <w:t>TÍTULO</w:t>
            </w:r>
          </w:p>
        </w:tc>
        <w:tc>
          <w:tcPr>
            <w:tcW w:w="1371" w:type="dxa"/>
            <w:shd w:val="clear" w:color="auto" w:fill="DBE5F1" w:themeFill="accent1" w:themeFillTint="33"/>
            <w:vAlign w:val="center"/>
          </w:tcPr>
          <w:p w14:paraId="6E1F6A3A" w14:textId="2074C05F" w:rsidR="000E37A6" w:rsidRDefault="00434258" w:rsidP="00434258">
            <w:pPr>
              <w:widowControl w:val="0"/>
              <w:jc w:val="center"/>
              <w:rPr>
                <w:sz w:val="24"/>
                <w:szCs w:val="24"/>
              </w:rPr>
            </w:pPr>
            <w:r>
              <w:rPr>
                <w:b/>
                <w:bCs/>
                <w:sz w:val="24"/>
                <w:szCs w:val="24"/>
              </w:rPr>
              <w:t>AUTORES</w:t>
            </w:r>
          </w:p>
        </w:tc>
        <w:tc>
          <w:tcPr>
            <w:tcW w:w="1181" w:type="dxa"/>
            <w:shd w:val="clear" w:color="auto" w:fill="DBE5F1" w:themeFill="accent1" w:themeFillTint="33"/>
            <w:vAlign w:val="center"/>
          </w:tcPr>
          <w:p w14:paraId="463B2124" w14:textId="5BD66271" w:rsidR="000E37A6" w:rsidRDefault="00434258" w:rsidP="00434258">
            <w:pPr>
              <w:widowControl w:val="0"/>
              <w:jc w:val="center"/>
              <w:rPr>
                <w:sz w:val="24"/>
                <w:szCs w:val="24"/>
              </w:rPr>
            </w:pPr>
            <w:r>
              <w:rPr>
                <w:b/>
                <w:bCs/>
                <w:sz w:val="24"/>
                <w:szCs w:val="24"/>
              </w:rPr>
              <w:t>ANO</w:t>
            </w:r>
          </w:p>
        </w:tc>
        <w:tc>
          <w:tcPr>
            <w:tcW w:w="2693" w:type="dxa"/>
            <w:shd w:val="clear" w:color="auto" w:fill="DBE5F1" w:themeFill="accent1" w:themeFillTint="33"/>
            <w:vAlign w:val="center"/>
          </w:tcPr>
          <w:p w14:paraId="65733579" w14:textId="715BD129" w:rsidR="000E37A6" w:rsidRDefault="00434258" w:rsidP="00434258">
            <w:pPr>
              <w:widowControl w:val="0"/>
              <w:jc w:val="center"/>
              <w:rPr>
                <w:sz w:val="24"/>
                <w:szCs w:val="24"/>
              </w:rPr>
            </w:pPr>
            <w:r>
              <w:rPr>
                <w:b/>
                <w:bCs/>
                <w:sz w:val="24"/>
                <w:szCs w:val="24"/>
              </w:rPr>
              <w:t>OBJETIVO</w:t>
            </w:r>
          </w:p>
        </w:tc>
        <w:tc>
          <w:tcPr>
            <w:tcW w:w="1568" w:type="dxa"/>
            <w:shd w:val="clear" w:color="auto" w:fill="DBE5F1" w:themeFill="accent1" w:themeFillTint="33"/>
            <w:vAlign w:val="center"/>
          </w:tcPr>
          <w:p w14:paraId="0FD7432B" w14:textId="01C77C2E" w:rsidR="000E37A6" w:rsidRDefault="00434258" w:rsidP="00434258">
            <w:pPr>
              <w:widowControl w:val="0"/>
              <w:jc w:val="center"/>
              <w:rPr>
                <w:sz w:val="24"/>
                <w:szCs w:val="24"/>
              </w:rPr>
            </w:pPr>
            <w:r>
              <w:rPr>
                <w:b/>
                <w:bCs/>
                <w:sz w:val="24"/>
                <w:szCs w:val="24"/>
              </w:rPr>
              <w:t>DESENHO DE ESTUDO</w:t>
            </w:r>
          </w:p>
        </w:tc>
      </w:tr>
      <w:tr w:rsidR="000E37A6" w14:paraId="1092687A" w14:textId="77777777" w:rsidTr="00434258">
        <w:tc>
          <w:tcPr>
            <w:tcW w:w="2258" w:type="dxa"/>
            <w:vAlign w:val="center"/>
          </w:tcPr>
          <w:p w14:paraId="234B0DC1" w14:textId="77777777" w:rsidR="000E37A6" w:rsidRDefault="00BF21CD" w:rsidP="00434258">
            <w:pPr>
              <w:widowControl w:val="0"/>
              <w:jc w:val="center"/>
              <w:rPr>
                <w:sz w:val="24"/>
                <w:szCs w:val="24"/>
              </w:rPr>
            </w:pPr>
            <w:r>
              <w:rPr>
                <w:sz w:val="24"/>
                <w:szCs w:val="24"/>
              </w:rPr>
              <w:t>O equilíbrio entre a liberdade de expressão e os limites constitucionais nas mídias sociais</w:t>
            </w:r>
          </w:p>
        </w:tc>
        <w:tc>
          <w:tcPr>
            <w:tcW w:w="1371" w:type="dxa"/>
            <w:vAlign w:val="center"/>
          </w:tcPr>
          <w:p w14:paraId="115B6CD3" w14:textId="77777777" w:rsidR="000E37A6" w:rsidRDefault="00BF21CD" w:rsidP="00434258">
            <w:pPr>
              <w:widowControl w:val="0"/>
              <w:jc w:val="center"/>
              <w:rPr>
                <w:sz w:val="24"/>
                <w:szCs w:val="24"/>
              </w:rPr>
            </w:pPr>
            <w:r>
              <w:rPr>
                <w:sz w:val="24"/>
                <w:szCs w:val="24"/>
              </w:rPr>
              <w:t>Botelho, G. C. X</w:t>
            </w:r>
          </w:p>
        </w:tc>
        <w:tc>
          <w:tcPr>
            <w:tcW w:w="1181" w:type="dxa"/>
            <w:vAlign w:val="center"/>
          </w:tcPr>
          <w:p w14:paraId="7B6A879B" w14:textId="77777777" w:rsidR="000E37A6" w:rsidRDefault="00BF21CD" w:rsidP="00434258">
            <w:pPr>
              <w:widowControl w:val="0"/>
              <w:jc w:val="center"/>
              <w:rPr>
                <w:sz w:val="24"/>
                <w:szCs w:val="24"/>
              </w:rPr>
            </w:pPr>
            <w:r>
              <w:rPr>
                <w:sz w:val="24"/>
                <w:szCs w:val="24"/>
              </w:rPr>
              <w:t>2024</w:t>
            </w:r>
          </w:p>
        </w:tc>
        <w:tc>
          <w:tcPr>
            <w:tcW w:w="2693" w:type="dxa"/>
            <w:vAlign w:val="center"/>
          </w:tcPr>
          <w:p w14:paraId="40E144E9" w14:textId="42394278" w:rsidR="000E37A6" w:rsidRDefault="00BF21CD" w:rsidP="00434258">
            <w:pPr>
              <w:widowControl w:val="0"/>
              <w:jc w:val="center"/>
              <w:rPr>
                <w:sz w:val="24"/>
                <w:szCs w:val="24"/>
              </w:rPr>
            </w:pPr>
            <w:r>
              <w:rPr>
                <w:sz w:val="24"/>
                <w:szCs w:val="24"/>
              </w:rPr>
              <w:t>Analisar o conflito entre a liberdade de expressão e os limites constitucionais nas redes sociais.</w:t>
            </w:r>
          </w:p>
        </w:tc>
        <w:tc>
          <w:tcPr>
            <w:tcW w:w="1568" w:type="dxa"/>
            <w:vAlign w:val="center"/>
          </w:tcPr>
          <w:p w14:paraId="1D1D8560" w14:textId="77777777" w:rsidR="000E37A6" w:rsidRDefault="00BF21CD" w:rsidP="00434258">
            <w:pPr>
              <w:widowControl w:val="0"/>
              <w:jc w:val="center"/>
              <w:rPr>
                <w:sz w:val="24"/>
                <w:szCs w:val="24"/>
              </w:rPr>
            </w:pPr>
            <w:r>
              <w:rPr>
                <w:sz w:val="24"/>
                <w:szCs w:val="24"/>
              </w:rPr>
              <w:t>Revisão Bibliográfico-Documental.</w:t>
            </w:r>
          </w:p>
        </w:tc>
      </w:tr>
      <w:tr w:rsidR="000E37A6" w14:paraId="60C56F81" w14:textId="77777777" w:rsidTr="00434258">
        <w:tc>
          <w:tcPr>
            <w:tcW w:w="2258" w:type="dxa"/>
            <w:vAlign w:val="center"/>
          </w:tcPr>
          <w:p w14:paraId="5BBED76D" w14:textId="77777777" w:rsidR="000E37A6" w:rsidRDefault="00BF21CD" w:rsidP="00434258">
            <w:pPr>
              <w:widowControl w:val="0"/>
              <w:jc w:val="center"/>
              <w:rPr>
                <w:sz w:val="24"/>
                <w:szCs w:val="24"/>
              </w:rPr>
            </w:pPr>
            <w:r>
              <w:rPr>
                <w:sz w:val="24"/>
                <w:szCs w:val="24"/>
              </w:rPr>
              <w:t>A liberdade de expressão:</w:t>
            </w:r>
          </w:p>
          <w:p w14:paraId="435B58E6" w14:textId="77777777" w:rsidR="000E37A6" w:rsidRDefault="00BF21CD" w:rsidP="00434258">
            <w:pPr>
              <w:widowControl w:val="0"/>
              <w:jc w:val="center"/>
              <w:rPr>
                <w:sz w:val="24"/>
                <w:szCs w:val="24"/>
              </w:rPr>
            </w:pPr>
            <w:r>
              <w:rPr>
                <w:sz w:val="24"/>
                <w:szCs w:val="24"/>
              </w:rPr>
              <w:t>Os limites ao discurso de ódio à luz da Constituição Federal</w:t>
            </w:r>
          </w:p>
        </w:tc>
        <w:tc>
          <w:tcPr>
            <w:tcW w:w="1371" w:type="dxa"/>
            <w:vAlign w:val="center"/>
          </w:tcPr>
          <w:p w14:paraId="226E4367" w14:textId="77777777" w:rsidR="000E37A6" w:rsidRDefault="00BF21CD" w:rsidP="00434258">
            <w:pPr>
              <w:widowControl w:val="0"/>
              <w:jc w:val="center"/>
              <w:rPr>
                <w:sz w:val="24"/>
                <w:szCs w:val="24"/>
              </w:rPr>
            </w:pPr>
            <w:r>
              <w:rPr>
                <w:sz w:val="24"/>
                <w:szCs w:val="24"/>
              </w:rPr>
              <w:t>Dantas Júnior, J. F</w:t>
            </w:r>
          </w:p>
        </w:tc>
        <w:tc>
          <w:tcPr>
            <w:tcW w:w="1181" w:type="dxa"/>
            <w:vAlign w:val="center"/>
          </w:tcPr>
          <w:p w14:paraId="7B1C83B5" w14:textId="77777777" w:rsidR="000E37A6" w:rsidRDefault="00BF21CD" w:rsidP="00434258">
            <w:pPr>
              <w:widowControl w:val="0"/>
              <w:jc w:val="center"/>
              <w:rPr>
                <w:sz w:val="24"/>
                <w:szCs w:val="24"/>
              </w:rPr>
            </w:pPr>
            <w:r>
              <w:rPr>
                <w:sz w:val="24"/>
                <w:szCs w:val="24"/>
              </w:rPr>
              <w:t>2023</w:t>
            </w:r>
          </w:p>
        </w:tc>
        <w:tc>
          <w:tcPr>
            <w:tcW w:w="2693" w:type="dxa"/>
            <w:vAlign w:val="center"/>
          </w:tcPr>
          <w:p w14:paraId="0FF5A6ED" w14:textId="29B7D9ED" w:rsidR="000E37A6" w:rsidRDefault="00BF21CD" w:rsidP="00434258">
            <w:pPr>
              <w:widowControl w:val="0"/>
              <w:jc w:val="center"/>
              <w:rPr>
                <w:sz w:val="24"/>
                <w:szCs w:val="24"/>
              </w:rPr>
            </w:pPr>
            <w:r>
              <w:rPr>
                <w:sz w:val="24"/>
                <w:szCs w:val="24"/>
              </w:rPr>
              <w:t>Investigar os limites constitucionais da liberdade de expressão frente à vedação ao discurso de ódio. discurso de ódio (</w:t>
            </w:r>
            <w:r>
              <w:rPr>
                <w:i/>
                <w:iCs/>
                <w:sz w:val="24"/>
                <w:szCs w:val="24"/>
              </w:rPr>
              <w:t>hate speech</w:t>
            </w:r>
            <w:r>
              <w:rPr>
                <w:sz w:val="24"/>
                <w:szCs w:val="24"/>
              </w:rPr>
              <w:t>) em prol dos direitos fundamentais e da dignidade da pessoa humana.</w:t>
            </w:r>
          </w:p>
        </w:tc>
        <w:tc>
          <w:tcPr>
            <w:tcW w:w="1568" w:type="dxa"/>
            <w:vAlign w:val="center"/>
          </w:tcPr>
          <w:p w14:paraId="5E11826D" w14:textId="77777777" w:rsidR="000E37A6" w:rsidRDefault="00BF21CD" w:rsidP="00434258">
            <w:pPr>
              <w:widowControl w:val="0"/>
              <w:jc w:val="center"/>
              <w:rPr>
                <w:sz w:val="24"/>
                <w:szCs w:val="24"/>
              </w:rPr>
            </w:pPr>
            <w:r>
              <w:rPr>
                <w:sz w:val="24"/>
                <w:szCs w:val="24"/>
              </w:rPr>
              <w:t>Revisão Bibliográfico-Documental.</w:t>
            </w:r>
          </w:p>
        </w:tc>
      </w:tr>
      <w:tr w:rsidR="000E37A6" w14:paraId="1DA11A84" w14:textId="77777777" w:rsidTr="00434258">
        <w:tc>
          <w:tcPr>
            <w:tcW w:w="2258" w:type="dxa"/>
            <w:vAlign w:val="center"/>
          </w:tcPr>
          <w:p w14:paraId="115394E3" w14:textId="0D3014E5" w:rsidR="000E37A6" w:rsidRDefault="00BF21CD" w:rsidP="00434258">
            <w:pPr>
              <w:widowControl w:val="0"/>
              <w:jc w:val="center"/>
              <w:rPr>
                <w:sz w:val="24"/>
                <w:szCs w:val="24"/>
              </w:rPr>
            </w:pPr>
            <w:r>
              <w:rPr>
                <w:sz w:val="24"/>
                <w:szCs w:val="24"/>
              </w:rPr>
              <w:t>RACISMO</w:t>
            </w:r>
          </w:p>
          <w:p w14:paraId="4E8386F4" w14:textId="77777777" w:rsidR="000E37A6" w:rsidRDefault="00BF21CD" w:rsidP="00434258">
            <w:pPr>
              <w:widowControl w:val="0"/>
              <w:jc w:val="center"/>
              <w:rPr>
                <w:sz w:val="24"/>
                <w:szCs w:val="24"/>
              </w:rPr>
            </w:pPr>
            <w:r>
              <w:rPr>
                <w:sz w:val="24"/>
                <w:szCs w:val="24"/>
              </w:rPr>
              <w:t>ESTRUTURAL: um estudo da violação dos direitos humano no sistema penal brasileiro.</w:t>
            </w:r>
          </w:p>
        </w:tc>
        <w:tc>
          <w:tcPr>
            <w:tcW w:w="1371" w:type="dxa"/>
            <w:vAlign w:val="center"/>
          </w:tcPr>
          <w:p w14:paraId="26DD2B37" w14:textId="77777777" w:rsidR="000E37A6" w:rsidRDefault="00BF21CD" w:rsidP="00434258">
            <w:pPr>
              <w:widowControl w:val="0"/>
              <w:jc w:val="center"/>
              <w:rPr>
                <w:sz w:val="24"/>
                <w:szCs w:val="24"/>
              </w:rPr>
            </w:pPr>
            <w:r>
              <w:rPr>
                <w:sz w:val="24"/>
                <w:szCs w:val="24"/>
              </w:rPr>
              <w:t>Medina, I. C., Goulart, L. K., &amp; Resgala Júnior, R. M</w:t>
            </w:r>
          </w:p>
        </w:tc>
        <w:tc>
          <w:tcPr>
            <w:tcW w:w="1181" w:type="dxa"/>
            <w:vAlign w:val="center"/>
          </w:tcPr>
          <w:p w14:paraId="0DCF9807" w14:textId="77777777" w:rsidR="000E37A6" w:rsidRDefault="00BF21CD" w:rsidP="00434258">
            <w:pPr>
              <w:widowControl w:val="0"/>
              <w:jc w:val="center"/>
              <w:rPr>
                <w:sz w:val="24"/>
                <w:szCs w:val="24"/>
              </w:rPr>
            </w:pPr>
            <w:r>
              <w:rPr>
                <w:sz w:val="24"/>
                <w:szCs w:val="24"/>
              </w:rPr>
              <w:t>2023</w:t>
            </w:r>
          </w:p>
        </w:tc>
        <w:tc>
          <w:tcPr>
            <w:tcW w:w="2693" w:type="dxa"/>
            <w:vAlign w:val="center"/>
          </w:tcPr>
          <w:p w14:paraId="7007FD1C" w14:textId="089E46B9" w:rsidR="000E37A6" w:rsidRDefault="00BF21CD" w:rsidP="00434258">
            <w:pPr>
              <w:widowControl w:val="0"/>
              <w:jc w:val="center"/>
              <w:rPr>
                <w:sz w:val="24"/>
                <w:szCs w:val="24"/>
              </w:rPr>
            </w:pPr>
            <w:r>
              <w:rPr>
                <w:sz w:val="24"/>
                <w:szCs w:val="24"/>
              </w:rPr>
              <w:t>Avaliar os impactos do racismo estrutural e da seletividade penal nos direitos humanos no Brasil.</w:t>
            </w:r>
          </w:p>
        </w:tc>
        <w:tc>
          <w:tcPr>
            <w:tcW w:w="1568" w:type="dxa"/>
            <w:vAlign w:val="center"/>
          </w:tcPr>
          <w:p w14:paraId="7D8620B1" w14:textId="3B0BDD28" w:rsidR="000E37A6" w:rsidRDefault="00BF21CD" w:rsidP="00434258">
            <w:pPr>
              <w:widowControl w:val="0"/>
              <w:jc w:val="center"/>
              <w:rPr>
                <w:sz w:val="24"/>
                <w:szCs w:val="24"/>
              </w:rPr>
            </w:pPr>
            <w:r>
              <w:rPr>
                <w:sz w:val="24"/>
                <w:szCs w:val="24"/>
              </w:rPr>
              <w:t>Revisão Bibliográfico-Documental.</w:t>
            </w:r>
          </w:p>
        </w:tc>
      </w:tr>
      <w:tr w:rsidR="000E37A6" w14:paraId="284BC50A" w14:textId="77777777" w:rsidTr="00434258">
        <w:tc>
          <w:tcPr>
            <w:tcW w:w="2258" w:type="dxa"/>
            <w:vAlign w:val="center"/>
          </w:tcPr>
          <w:p w14:paraId="4883094D" w14:textId="513018FA" w:rsidR="000E37A6" w:rsidRDefault="00BF21CD" w:rsidP="00434258">
            <w:pPr>
              <w:widowControl w:val="0"/>
              <w:jc w:val="center"/>
              <w:rPr>
                <w:sz w:val="24"/>
                <w:szCs w:val="24"/>
              </w:rPr>
            </w:pPr>
            <w:r>
              <w:rPr>
                <w:sz w:val="24"/>
                <w:szCs w:val="24"/>
              </w:rPr>
              <w:t>RACISMO E LIBERDADE DE EXPRESSÃO: uma leitura a partir da dignidade humana</w:t>
            </w:r>
          </w:p>
        </w:tc>
        <w:tc>
          <w:tcPr>
            <w:tcW w:w="1371" w:type="dxa"/>
            <w:vAlign w:val="center"/>
          </w:tcPr>
          <w:p w14:paraId="6608B686" w14:textId="3D3B19AB" w:rsidR="000E37A6" w:rsidRDefault="00BF21CD" w:rsidP="00434258">
            <w:pPr>
              <w:widowControl w:val="0"/>
              <w:jc w:val="center"/>
              <w:rPr>
                <w:sz w:val="24"/>
                <w:szCs w:val="24"/>
              </w:rPr>
            </w:pPr>
            <w:r>
              <w:rPr>
                <w:sz w:val="24"/>
                <w:szCs w:val="24"/>
              </w:rPr>
              <w:t>Oliveira, H. K. C</w:t>
            </w:r>
          </w:p>
        </w:tc>
        <w:tc>
          <w:tcPr>
            <w:tcW w:w="1181" w:type="dxa"/>
            <w:vAlign w:val="center"/>
          </w:tcPr>
          <w:p w14:paraId="774F0D91" w14:textId="77777777" w:rsidR="000E37A6" w:rsidRDefault="00BF21CD" w:rsidP="00434258">
            <w:pPr>
              <w:widowControl w:val="0"/>
              <w:jc w:val="center"/>
              <w:rPr>
                <w:sz w:val="24"/>
                <w:szCs w:val="24"/>
              </w:rPr>
            </w:pPr>
            <w:r>
              <w:rPr>
                <w:sz w:val="24"/>
                <w:szCs w:val="24"/>
              </w:rPr>
              <w:t>2026</w:t>
            </w:r>
          </w:p>
        </w:tc>
        <w:tc>
          <w:tcPr>
            <w:tcW w:w="2693" w:type="dxa"/>
            <w:vAlign w:val="center"/>
          </w:tcPr>
          <w:p w14:paraId="2EC85A2E" w14:textId="1F548FB6" w:rsidR="000E37A6" w:rsidRDefault="00BF21CD" w:rsidP="00434258">
            <w:pPr>
              <w:widowControl w:val="0"/>
              <w:jc w:val="center"/>
              <w:rPr>
                <w:sz w:val="24"/>
                <w:szCs w:val="24"/>
              </w:rPr>
            </w:pPr>
            <w:r>
              <w:rPr>
                <w:sz w:val="24"/>
                <w:szCs w:val="24"/>
              </w:rPr>
              <w:t>Analisar o conflito entre liberdade de expressão e racismo sob a ótica da dignidade humana.</w:t>
            </w:r>
          </w:p>
        </w:tc>
        <w:tc>
          <w:tcPr>
            <w:tcW w:w="1568" w:type="dxa"/>
            <w:vAlign w:val="center"/>
          </w:tcPr>
          <w:p w14:paraId="57385CC5" w14:textId="77777777" w:rsidR="000E37A6" w:rsidRDefault="000E37A6" w:rsidP="00434258">
            <w:pPr>
              <w:widowControl w:val="0"/>
              <w:jc w:val="center"/>
              <w:rPr>
                <w:sz w:val="24"/>
                <w:szCs w:val="24"/>
              </w:rPr>
            </w:pPr>
          </w:p>
        </w:tc>
      </w:tr>
      <w:tr w:rsidR="000E37A6" w14:paraId="5FA29845" w14:textId="77777777" w:rsidTr="00434258">
        <w:tc>
          <w:tcPr>
            <w:tcW w:w="2258" w:type="dxa"/>
            <w:vAlign w:val="center"/>
          </w:tcPr>
          <w:p w14:paraId="7DD2D171" w14:textId="77777777" w:rsidR="000E37A6" w:rsidRDefault="00BF21CD" w:rsidP="00434258">
            <w:pPr>
              <w:widowControl w:val="0"/>
              <w:jc w:val="center"/>
              <w:rPr>
                <w:sz w:val="24"/>
                <w:szCs w:val="24"/>
              </w:rPr>
            </w:pPr>
            <w:r>
              <w:rPr>
                <w:sz w:val="24"/>
                <w:szCs w:val="24"/>
              </w:rPr>
              <w:t>A toxicidade do racismo recreativo em forma de brincadeira.</w:t>
            </w:r>
          </w:p>
        </w:tc>
        <w:tc>
          <w:tcPr>
            <w:tcW w:w="1371" w:type="dxa"/>
            <w:vAlign w:val="center"/>
          </w:tcPr>
          <w:p w14:paraId="1BB9E0D4" w14:textId="77777777" w:rsidR="000E37A6" w:rsidRDefault="00BF21CD" w:rsidP="00434258">
            <w:pPr>
              <w:widowControl w:val="0"/>
              <w:jc w:val="center"/>
              <w:rPr>
                <w:sz w:val="24"/>
                <w:szCs w:val="24"/>
              </w:rPr>
            </w:pPr>
            <w:r>
              <w:rPr>
                <w:sz w:val="24"/>
                <w:szCs w:val="24"/>
              </w:rPr>
              <w:t>Araujo, C. L. M</w:t>
            </w:r>
          </w:p>
        </w:tc>
        <w:tc>
          <w:tcPr>
            <w:tcW w:w="1181" w:type="dxa"/>
            <w:vAlign w:val="center"/>
          </w:tcPr>
          <w:p w14:paraId="44F2D365" w14:textId="77777777" w:rsidR="000E37A6" w:rsidRDefault="00BF21CD" w:rsidP="00434258">
            <w:pPr>
              <w:widowControl w:val="0"/>
              <w:jc w:val="center"/>
              <w:rPr>
                <w:sz w:val="24"/>
                <w:szCs w:val="24"/>
              </w:rPr>
            </w:pPr>
            <w:r>
              <w:rPr>
                <w:sz w:val="24"/>
                <w:szCs w:val="24"/>
              </w:rPr>
              <w:t>2022</w:t>
            </w:r>
          </w:p>
        </w:tc>
        <w:tc>
          <w:tcPr>
            <w:tcW w:w="2693" w:type="dxa"/>
            <w:vAlign w:val="center"/>
          </w:tcPr>
          <w:p w14:paraId="32A4B43E" w14:textId="0A1A03C0" w:rsidR="000E37A6" w:rsidRDefault="00BF21CD" w:rsidP="00434258">
            <w:pPr>
              <w:widowControl w:val="0"/>
              <w:jc w:val="center"/>
              <w:rPr>
                <w:sz w:val="24"/>
                <w:szCs w:val="24"/>
              </w:rPr>
            </w:pPr>
            <w:r>
              <w:rPr>
                <w:sz w:val="24"/>
                <w:szCs w:val="24"/>
              </w:rPr>
              <w:t>Examinar como o racismo recreativo disfarça a discriminação sob a forma de humor e entretenimento.</w:t>
            </w:r>
          </w:p>
        </w:tc>
        <w:tc>
          <w:tcPr>
            <w:tcW w:w="1568" w:type="dxa"/>
            <w:vAlign w:val="center"/>
          </w:tcPr>
          <w:p w14:paraId="73A36D3C" w14:textId="77777777" w:rsidR="000E37A6" w:rsidRDefault="00BF21CD" w:rsidP="00434258">
            <w:pPr>
              <w:widowControl w:val="0"/>
              <w:jc w:val="center"/>
              <w:rPr>
                <w:sz w:val="24"/>
                <w:szCs w:val="24"/>
              </w:rPr>
            </w:pPr>
            <w:r>
              <w:rPr>
                <w:sz w:val="24"/>
                <w:szCs w:val="24"/>
              </w:rPr>
              <w:t>Revisão Bibliográfico-Documental.</w:t>
            </w:r>
          </w:p>
        </w:tc>
      </w:tr>
      <w:tr w:rsidR="000E37A6" w14:paraId="31A39452" w14:textId="77777777" w:rsidTr="00434258">
        <w:tc>
          <w:tcPr>
            <w:tcW w:w="2258" w:type="dxa"/>
            <w:vAlign w:val="center"/>
          </w:tcPr>
          <w:p w14:paraId="7BB88A78" w14:textId="77777777" w:rsidR="000E37A6" w:rsidRDefault="00BF21CD" w:rsidP="00434258">
            <w:pPr>
              <w:widowControl w:val="0"/>
              <w:jc w:val="center"/>
              <w:rPr>
                <w:sz w:val="24"/>
                <w:szCs w:val="24"/>
              </w:rPr>
            </w:pPr>
            <w:r>
              <w:rPr>
                <w:sz w:val="24"/>
                <w:szCs w:val="24"/>
              </w:rPr>
              <w:t>RACISMO RECREATIVO E SEU IMPACTO NO AMBIENTE VIRTUAL</w:t>
            </w:r>
          </w:p>
        </w:tc>
        <w:tc>
          <w:tcPr>
            <w:tcW w:w="1371" w:type="dxa"/>
            <w:vAlign w:val="center"/>
          </w:tcPr>
          <w:p w14:paraId="71A52403" w14:textId="77777777" w:rsidR="000E37A6" w:rsidRDefault="00BF21CD" w:rsidP="00434258">
            <w:pPr>
              <w:widowControl w:val="0"/>
              <w:jc w:val="center"/>
              <w:rPr>
                <w:sz w:val="24"/>
                <w:szCs w:val="24"/>
              </w:rPr>
            </w:pPr>
            <w:r>
              <w:rPr>
                <w:sz w:val="24"/>
                <w:szCs w:val="24"/>
              </w:rPr>
              <w:t>BARBOSA, Esdras Silva Sales; SILVA JUNIOR, Jorge Adriano.</w:t>
            </w:r>
          </w:p>
        </w:tc>
        <w:tc>
          <w:tcPr>
            <w:tcW w:w="1181" w:type="dxa"/>
            <w:vAlign w:val="center"/>
          </w:tcPr>
          <w:p w14:paraId="67638232" w14:textId="77777777" w:rsidR="000E37A6" w:rsidRDefault="00BF21CD" w:rsidP="00434258">
            <w:pPr>
              <w:widowControl w:val="0"/>
              <w:jc w:val="center"/>
              <w:rPr>
                <w:sz w:val="24"/>
                <w:szCs w:val="24"/>
              </w:rPr>
            </w:pPr>
            <w:r>
              <w:rPr>
                <w:sz w:val="24"/>
                <w:szCs w:val="24"/>
              </w:rPr>
              <w:t>2025</w:t>
            </w:r>
          </w:p>
        </w:tc>
        <w:tc>
          <w:tcPr>
            <w:tcW w:w="2693" w:type="dxa"/>
            <w:vAlign w:val="center"/>
          </w:tcPr>
          <w:p w14:paraId="6F86A2C9" w14:textId="230E8CEE" w:rsidR="000E37A6" w:rsidRDefault="00BF21CD" w:rsidP="00434258">
            <w:pPr>
              <w:widowControl w:val="0"/>
              <w:jc w:val="center"/>
              <w:rPr>
                <w:sz w:val="24"/>
                <w:szCs w:val="24"/>
              </w:rPr>
            </w:pPr>
            <w:r>
              <w:rPr>
                <w:sz w:val="24"/>
                <w:szCs w:val="24"/>
              </w:rPr>
              <w:t>Analisar a propagação do racismo recreativo e de agressões maquiadas de humor nas redes sociais.</w:t>
            </w:r>
          </w:p>
        </w:tc>
        <w:tc>
          <w:tcPr>
            <w:tcW w:w="1568" w:type="dxa"/>
            <w:vAlign w:val="center"/>
          </w:tcPr>
          <w:p w14:paraId="1B1FE512" w14:textId="77777777" w:rsidR="000E37A6" w:rsidRDefault="00BF21CD" w:rsidP="00434258">
            <w:pPr>
              <w:widowControl w:val="0"/>
              <w:jc w:val="center"/>
              <w:rPr>
                <w:sz w:val="24"/>
                <w:szCs w:val="24"/>
              </w:rPr>
            </w:pPr>
            <w:r>
              <w:rPr>
                <w:sz w:val="24"/>
                <w:szCs w:val="24"/>
              </w:rPr>
              <w:t>Revisão Bibliográfico-Documental.</w:t>
            </w:r>
          </w:p>
        </w:tc>
      </w:tr>
      <w:tr w:rsidR="000E37A6" w14:paraId="066252E0" w14:textId="77777777" w:rsidTr="00434258">
        <w:tc>
          <w:tcPr>
            <w:tcW w:w="2258" w:type="dxa"/>
            <w:vAlign w:val="center"/>
          </w:tcPr>
          <w:p w14:paraId="6B7DCAC7" w14:textId="77777777" w:rsidR="000E37A6" w:rsidRDefault="00BF21CD" w:rsidP="00434258">
            <w:pPr>
              <w:widowControl w:val="0"/>
              <w:jc w:val="center"/>
              <w:rPr>
                <w:sz w:val="24"/>
                <w:szCs w:val="24"/>
              </w:rPr>
            </w:pPr>
            <w:r>
              <w:rPr>
                <w:sz w:val="24"/>
                <w:szCs w:val="24"/>
              </w:rPr>
              <w:t>Racismo recreativo e injúria racial: uma análise jurisprudencial do animus jocandi</w:t>
            </w:r>
          </w:p>
        </w:tc>
        <w:tc>
          <w:tcPr>
            <w:tcW w:w="1371" w:type="dxa"/>
            <w:vAlign w:val="center"/>
          </w:tcPr>
          <w:p w14:paraId="53D92EF3" w14:textId="00415870" w:rsidR="000E37A6" w:rsidRDefault="00BF21CD" w:rsidP="00434258">
            <w:pPr>
              <w:widowControl w:val="0"/>
              <w:jc w:val="center"/>
              <w:rPr>
                <w:sz w:val="24"/>
                <w:szCs w:val="24"/>
              </w:rPr>
            </w:pPr>
            <w:r>
              <w:rPr>
                <w:sz w:val="24"/>
                <w:szCs w:val="24"/>
              </w:rPr>
              <w:t>FIGUEIREDO, Beatriz Ferreira,</w:t>
            </w:r>
          </w:p>
          <w:p w14:paraId="4DEB0774" w14:textId="77777777" w:rsidR="000E37A6" w:rsidRDefault="00BF21CD" w:rsidP="00434258">
            <w:pPr>
              <w:widowControl w:val="0"/>
              <w:jc w:val="center"/>
              <w:rPr>
                <w:sz w:val="24"/>
                <w:szCs w:val="24"/>
              </w:rPr>
            </w:pPr>
            <w:r>
              <w:rPr>
                <w:sz w:val="24"/>
                <w:szCs w:val="24"/>
              </w:rPr>
              <w:t>CRUZ, Maria José Amorim da.</w:t>
            </w:r>
          </w:p>
        </w:tc>
        <w:tc>
          <w:tcPr>
            <w:tcW w:w="1181" w:type="dxa"/>
            <w:vAlign w:val="center"/>
          </w:tcPr>
          <w:p w14:paraId="4C89CB8D" w14:textId="77777777" w:rsidR="000E37A6" w:rsidRDefault="00BF21CD" w:rsidP="00434258">
            <w:pPr>
              <w:widowControl w:val="0"/>
              <w:jc w:val="center"/>
              <w:rPr>
                <w:sz w:val="24"/>
                <w:szCs w:val="24"/>
              </w:rPr>
            </w:pPr>
            <w:r>
              <w:rPr>
                <w:sz w:val="24"/>
                <w:szCs w:val="24"/>
              </w:rPr>
              <w:t>2021</w:t>
            </w:r>
          </w:p>
        </w:tc>
        <w:tc>
          <w:tcPr>
            <w:tcW w:w="2693" w:type="dxa"/>
            <w:vAlign w:val="center"/>
          </w:tcPr>
          <w:p w14:paraId="5D52B4F7" w14:textId="65EA6939" w:rsidR="000E37A6" w:rsidRDefault="00BF21CD" w:rsidP="00434258">
            <w:pPr>
              <w:widowControl w:val="0"/>
              <w:jc w:val="center"/>
              <w:rPr>
                <w:sz w:val="24"/>
                <w:szCs w:val="24"/>
              </w:rPr>
            </w:pPr>
            <w:r>
              <w:rPr>
                <w:sz w:val="24"/>
                <w:szCs w:val="24"/>
              </w:rPr>
              <w:t xml:space="preserve">Investigar a aplicação da tese do </w:t>
            </w:r>
            <w:r>
              <w:rPr>
                <w:i/>
                <w:iCs/>
                <w:sz w:val="24"/>
                <w:szCs w:val="24"/>
              </w:rPr>
              <w:t>animus jocandi</w:t>
            </w:r>
            <w:r>
              <w:rPr>
                <w:sz w:val="24"/>
                <w:szCs w:val="24"/>
              </w:rPr>
              <w:t xml:space="preserve"> pelos tribunais em casos de racismo e injúria racial.</w:t>
            </w:r>
          </w:p>
        </w:tc>
        <w:tc>
          <w:tcPr>
            <w:tcW w:w="1568" w:type="dxa"/>
            <w:vAlign w:val="center"/>
          </w:tcPr>
          <w:p w14:paraId="48F55247" w14:textId="6CD393CF" w:rsidR="000E37A6" w:rsidRDefault="00BF21CD" w:rsidP="00434258">
            <w:pPr>
              <w:widowControl w:val="0"/>
              <w:jc w:val="center"/>
              <w:rPr>
                <w:sz w:val="24"/>
                <w:szCs w:val="24"/>
              </w:rPr>
            </w:pPr>
            <w:r>
              <w:rPr>
                <w:sz w:val="24"/>
                <w:szCs w:val="24"/>
              </w:rPr>
              <w:t>Pesquisa Qualitativa / Análise Jurisprudencial e Doutrinária.</w:t>
            </w:r>
          </w:p>
        </w:tc>
      </w:tr>
    </w:tbl>
    <w:p w14:paraId="05121021" w14:textId="77777777" w:rsidR="000E37A6" w:rsidRDefault="000E37A6">
      <w:pPr>
        <w:tabs>
          <w:tab w:val="left" w:pos="0"/>
        </w:tabs>
        <w:spacing w:line="360" w:lineRule="auto"/>
        <w:jc w:val="both"/>
        <w:rPr>
          <w:sz w:val="24"/>
          <w:szCs w:val="24"/>
        </w:rPr>
      </w:pPr>
    </w:p>
    <w:p w14:paraId="210170AC" w14:textId="77777777" w:rsidR="000E37A6" w:rsidRDefault="00BF21CD">
      <w:pPr>
        <w:spacing w:line="360" w:lineRule="auto"/>
        <w:rPr>
          <w:sz w:val="24"/>
          <w:szCs w:val="24"/>
        </w:rPr>
      </w:pPr>
      <w:r>
        <w:rPr>
          <w:b/>
          <w:bCs/>
          <w:sz w:val="24"/>
          <w:szCs w:val="24"/>
        </w:rPr>
        <w:t xml:space="preserve">        </w:t>
      </w:r>
      <w:r>
        <w:rPr>
          <w:sz w:val="24"/>
          <w:szCs w:val="24"/>
        </w:rPr>
        <w:t>A análise dos artigos selecionados permitiu compreender de que forma a literatura científica aborda os choques entre as garantias fundamentais e as práticas discriminatórias na atualidade, sobretudo quando se refere as redes sociais. Para melhor sistematização, os artigos foram organizados em três categorias temáticas fundamentais:</w:t>
      </w:r>
    </w:p>
    <w:p w14:paraId="4F4C302E" w14:textId="77777777" w:rsidR="000E37A6" w:rsidRDefault="00BF21CD">
      <w:pPr>
        <w:numPr>
          <w:ilvl w:val="0"/>
          <w:numId w:val="1"/>
        </w:numPr>
        <w:spacing w:line="360" w:lineRule="auto"/>
        <w:rPr>
          <w:b/>
          <w:bCs/>
          <w:sz w:val="24"/>
          <w:szCs w:val="24"/>
        </w:rPr>
      </w:pPr>
      <w:r>
        <w:rPr>
          <w:b/>
          <w:bCs/>
          <w:sz w:val="24"/>
          <w:szCs w:val="24"/>
        </w:rPr>
        <w:t>Liberdade de Expressão e Limites Constitucionais</w:t>
      </w:r>
    </w:p>
    <w:p w14:paraId="38E1294E" w14:textId="77777777" w:rsidR="000E37A6" w:rsidRDefault="00BF21CD">
      <w:pPr>
        <w:spacing w:line="360" w:lineRule="auto"/>
        <w:jc w:val="both"/>
        <w:rPr>
          <w:b/>
          <w:bCs/>
          <w:sz w:val="24"/>
          <w:szCs w:val="24"/>
        </w:rPr>
      </w:pPr>
      <w:r>
        <w:rPr>
          <w:sz w:val="24"/>
          <w:szCs w:val="24"/>
        </w:rPr>
        <w:t xml:space="preserve">        A discussão acerca do conflito entre liberdade de expressão e limites constitucionais reflete que o direito à liberdade é essencial; no entanto, nenhum direito fundamental é absoluto, prevalecendo sempre a dignidade humana. É possível analisar as barreiras impostas pela Constituição Federal, conhecida como Constituição Cidadã justamente por tutelar os direitos dos cidadãos, que assegura bens jurídicos essenciais como a vida, a igualdade e a dignidade.</w:t>
      </w:r>
    </w:p>
    <w:p w14:paraId="30FA71F3" w14:textId="77777777" w:rsidR="000E37A6" w:rsidRDefault="00BF21CD">
      <w:pPr>
        <w:spacing w:line="360" w:lineRule="auto"/>
        <w:jc w:val="both"/>
        <w:rPr>
          <w:sz w:val="24"/>
          <w:szCs w:val="24"/>
        </w:rPr>
      </w:pPr>
      <w:r>
        <w:rPr>
          <w:sz w:val="24"/>
          <w:szCs w:val="24"/>
        </w:rPr>
        <w:t xml:space="preserve">​        Sob essa ótica, Botelho (2024) analisa de forma mais aprofundada o desafio de manter esse equilíbrio no contexto das mídias sociais. O autor destaca que, embora a internet tenha democratizado a comunicação e facilitado a troca de ideias, ela também gerou um ambiente onde muitos usuários se amparam em uma falsa sensação de impunidade. Botelho argumenta que o meio virtual não pode ser tratado como um território sem regras. Para ele, o exercício da </w:t>
      </w:r>
      <w:r>
        <w:rPr>
          <w:sz w:val="24"/>
          <w:szCs w:val="24"/>
        </w:rPr>
        <w:t>liberdade de expressão nas redes precisa respeitar as garantias constitucionais, evitando que as plataformas digitais sejam usadas para normalizar ofensas e ataques.</w:t>
      </w:r>
    </w:p>
    <w:p w14:paraId="12F23E3D" w14:textId="77777777" w:rsidR="000E37A6" w:rsidRDefault="00BF21CD">
      <w:pPr>
        <w:spacing w:line="360" w:lineRule="auto"/>
        <w:jc w:val="both"/>
        <w:rPr>
          <w:b/>
          <w:bCs/>
          <w:sz w:val="24"/>
          <w:szCs w:val="24"/>
        </w:rPr>
      </w:pPr>
      <w:r>
        <w:rPr>
          <w:sz w:val="24"/>
          <w:szCs w:val="24"/>
        </w:rPr>
        <w:t>​        Complementando essa linha de raciocínio, o estudo de Dantas Júnior (2023) investiga especificamente a questão do discurso de ódio (</w:t>
      </w:r>
      <w:r>
        <w:rPr>
          <w:i/>
          <w:iCs/>
          <w:sz w:val="24"/>
          <w:szCs w:val="24"/>
        </w:rPr>
        <w:t>hate speech</w:t>
      </w:r>
      <w:r>
        <w:rPr>
          <w:sz w:val="24"/>
          <w:szCs w:val="24"/>
        </w:rPr>
        <w:t>) frente à Constituição. O autor esclarece que o texto constitucional protege o direito de opinar, mas repudia firmemente qualquer discurso que promova a intolerância e a discriminação. Dantas Júnior demonstra que o discurso de ódio é uma violência que atinge a essência da dignidade da pessoa humana. Com isso, o autor reforça que o sistema jurídico exige limites rigorosos contra essas manifestações, provando que o direito de falar jamais pode servir como um escudo para ferir os direitos fundamentais e a exi</w:t>
      </w:r>
      <w:r>
        <w:rPr>
          <w:sz w:val="24"/>
          <w:szCs w:val="24"/>
        </w:rPr>
        <w:t>stência de outras pessoas.</w:t>
      </w:r>
    </w:p>
    <w:p w14:paraId="724A5E28" w14:textId="77777777" w:rsidR="000E37A6" w:rsidRDefault="00BF21CD">
      <w:pPr>
        <w:numPr>
          <w:ilvl w:val="0"/>
          <w:numId w:val="1"/>
        </w:numPr>
        <w:spacing w:line="360" w:lineRule="auto"/>
        <w:rPr>
          <w:b/>
          <w:bCs/>
          <w:sz w:val="24"/>
          <w:szCs w:val="24"/>
        </w:rPr>
      </w:pPr>
      <w:r>
        <w:rPr>
          <w:b/>
          <w:bCs/>
          <w:sz w:val="24"/>
          <w:szCs w:val="24"/>
        </w:rPr>
        <w:t>Racismo Estrutural e Direitos Fundamentais</w:t>
      </w:r>
    </w:p>
    <w:p w14:paraId="2A0B26FC" w14:textId="77777777" w:rsidR="000E37A6" w:rsidRDefault="00BF21CD">
      <w:pPr>
        <w:spacing w:line="360" w:lineRule="auto"/>
        <w:jc w:val="both"/>
        <w:rPr>
          <w:sz w:val="24"/>
          <w:szCs w:val="24"/>
        </w:rPr>
      </w:pPr>
      <w:r>
        <w:rPr>
          <w:sz w:val="24"/>
          <w:szCs w:val="24"/>
        </w:rPr>
        <w:t xml:space="preserve">        Diante das discussões acerca dos limites constitucionais e da liberdade de expressão, é possível analisar que as plataformas digitais se tornaram ferramentas para a ofensa em massa às pessoas, sobretudo ao grupo escolhido para esta análise. Com essa revolução na internet, foi possível constatar como o racismo está profundamente enraizado em nossa sociedade; isto é, nota-se, por meio de postagens e interações virtuais, a forma discriminatória como parte dos usuários age em relação à população negra.</w:t>
      </w:r>
    </w:p>
    <w:p w14:paraId="08E34E2B" w14:textId="77777777" w:rsidR="000E37A6" w:rsidRDefault="00BF21CD">
      <w:pPr>
        <w:spacing w:line="360" w:lineRule="auto"/>
        <w:jc w:val="both"/>
        <w:rPr>
          <w:sz w:val="24"/>
          <w:szCs w:val="24"/>
        </w:rPr>
      </w:pPr>
      <w:r>
        <w:rPr>
          <w:sz w:val="24"/>
          <w:szCs w:val="24"/>
        </w:rPr>
        <w:t>​        Nesse sentido, o artigo conduzido por Medina, Goulart e Resgala</w:t>
      </w:r>
      <w:r>
        <w:rPr>
          <w:sz w:val="24"/>
          <w:szCs w:val="24"/>
        </w:rPr>
        <w:t xml:space="preserve"> Júnior (2023) examina de que maneira o racismo estrutural se capilariza não apenas na cultura, mas também nas instituições e no sistema penal. A pesquisa analisa a seletividade e as barreiras que historicamente marginalizam a população negra, evidenciando que as desigualdades e as violências sofridas por esses indivíduos não são fatos isolados, mas reflexos de uma engrenagem social que nega sistematicamente a efetividade de seus direitos fundamentais.</w:t>
      </w:r>
    </w:p>
    <w:p w14:paraId="133A7914" w14:textId="77777777" w:rsidR="000E37A6" w:rsidRDefault="00BF21CD">
      <w:pPr>
        <w:spacing w:line="360" w:lineRule="auto"/>
        <w:jc w:val="both"/>
        <w:rPr>
          <w:sz w:val="24"/>
          <w:szCs w:val="24"/>
        </w:rPr>
      </w:pPr>
      <w:r>
        <w:rPr>
          <w:sz w:val="24"/>
          <w:szCs w:val="24"/>
        </w:rPr>
        <w:t xml:space="preserve">​        Complementando essa perspectiva, o estudo de H. K. C. Oliveira (2026) aprofunda a discussão sobre o colapso entre a livre manifestação do pensamento e as práticas discriminatórias, tendo como fio condutor a dignidade humana. O artigo investiga como o ordenamento jurídico deve responder às manifestações racistas, defendendo que a proteção aos direitos fundamentais da população negra deve prevalecer de forma inegociável sobre qualquer tentativa de justificar o preconceito sob o pretexto de liberdade </w:t>
      </w:r>
      <w:r>
        <w:rPr>
          <w:sz w:val="24"/>
          <w:szCs w:val="24"/>
        </w:rPr>
        <w:t>de expressão.</w:t>
      </w:r>
    </w:p>
    <w:p w14:paraId="6F432624" w14:textId="77777777" w:rsidR="000E37A6" w:rsidRDefault="00BF21CD">
      <w:pPr>
        <w:numPr>
          <w:ilvl w:val="0"/>
          <w:numId w:val="1"/>
        </w:numPr>
        <w:spacing w:line="360" w:lineRule="auto"/>
        <w:rPr>
          <w:b/>
          <w:bCs/>
          <w:sz w:val="24"/>
          <w:szCs w:val="24"/>
        </w:rPr>
      </w:pPr>
      <w:r>
        <w:rPr>
          <w:b/>
          <w:bCs/>
          <w:sz w:val="24"/>
          <w:szCs w:val="24"/>
        </w:rPr>
        <w:t>Racismo Recreativo e Discurso de Ódio no Ambiente Digital</w:t>
      </w:r>
    </w:p>
    <w:p w14:paraId="7E1B38AC" w14:textId="77777777" w:rsidR="000E37A6" w:rsidRDefault="00BF21CD">
      <w:pPr>
        <w:spacing w:line="360" w:lineRule="auto"/>
        <w:jc w:val="both"/>
        <w:rPr>
          <w:sz w:val="24"/>
          <w:szCs w:val="24"/>
        </w:rPr>
      </w:pPr>
      <w:r>
        <w:rPr>
          <w:sz w:val="24"/>
          <w:szCs w:val="24"/>
        </w:rPr>
        <w:t xml:space="preserve">        Essa última categoria de análise permitiu compreender como o racismo recreativo faz parte da sociedade por meio de piadas mascaradas e comentários desnecessários. Com a expansão das plataformas digitais, as práticas discriminatórias ganharam novas roupagens, utilizando-se do humor como ferramenta de perpetuação do preconceito.</w:t>
      </w:r>
    </w:p>
    <w:p w14:paraId="755A1997" w14:textId="77777777" w:rsidR="000E37A6" w:rsidRDefault="00BF21CD">
      <w:pPr>
        <w:spacing w:line="360" w:lineRule="auto"/>
        <w:jc w:val="both"/>
        <w:rPr>
          <w:sz w:val="24"/>
          <w:szCs w:val="24"/>
        </w:rPr>
      </w:pPr>
      <w:r>
        <w:rPr>
          <w:sz w:val="24"/>
          <w:szCs w:val="24"/>
        </w:rPr>
        <w:t>​        Nesse contexto, o artigo de Clecio</w:t>
      </w:r>
      <w:r>
        <w:rPr>
          <w:sz w:val="24"/>
          <w:szCs w:val="24"/>
        </w:rPr>
        <w:t xml:space="preserve"> Leonardo Mendes Araujo (2022) examina a toxicidade do racismo recreativo, detalhando como essa prática opera ao disfarçar a discriminação sob a forma de entretenimento e diversão. A pesquisa demonstra que o uso de piadas cotidianas funciona como um mecanismo sutil, mas altamente prejudicial, que desumaniza a população negra enquanto tenta tornar a agressão socialmente aceitável e inofensiva.</w:t>
      </w:r>
    </w:p>
    <w:p w14:paraId="1C94A07B" w14:textId="77777777" w:rsidR="000E37A6" w:rsidRDefault="00BF21CD">
      <w:pPr>
        <w:spacing w:line="360" w:lineRule="auto"/>
        <w:jc w:val="both"/>
        <w:rPr>
          <w:sz w:val="24"/>
          <w:szCs w:val="24"/>
        </w:rPr>
      </w:pPr>
      <w:r>
        <w:rPr>
          <w:sz w:val="24"/>
          <w:szCs w:val="24"/>
        </w:rPr>
        <w:t>​        No mesmo sentido, o estudo conduzido por Esdras Silva Sales Barbosa e Jorge Adriano Silva Junior (2025) analisa a propagação e o impacto desse fenômeno específico no ambiente virtual. Os autores investigam como as redes sociais amplificam conteúdos preconceituosos maquiados de humor, criando um cenário de violência simbólica constante contra grupos vulnerabilizados, onde a barreira entre a ofensa e a "brincadeira" é deliberadamente apagada para blindar os agressores.</w:t>
      </w:r>
    </w:p>
    <w:p w14:paraId="0CDD5472" w14:textId="77777777" w:rsidR="000E37A6" w:rsidRDefault="00BF21CD">
      <w:pPr>
        <w:spacing w:line="360" w:lineRule="auto"/>
        <w:jc w:val="both"/>
        <w:rPr>
          <w:sz w:val="24"/>
          <w:szCs w:val="24"/>
        </w:rPr>
      </w:pPr>
      <w:r>
        <w:rPr>
          <w:sz w:val="24"/>
          <w:szCs w:val="24"/>
        </w:rPr>
        <w:t xml:space="preserve">​        Complementando a discussão, o trabalho de Beatriz Ferreira Figueiredo e Maria José Amorim da Cruz (2021) traz uma investigação de cunho jurisprudencial e doutrinário sobre o uso da tese do </w:t>
      </w:r>
      <w:r>
        <w:rPr>
          <w:i/>
          <w:iCs/>
          <w:sz w:val="24"/>
          <w:szCs w:val="24"/>
        </w:rPr>
        <w:t>animus jocandi</w:t>
      </w:r>
      <w:r>
        <w:rPr>
          <w:sz w:val="24"/>
          <w:szCs w:val="24"/>
        </w:rPr>
        <w:t xml:space="preserve"> (o pretexto do ânimo de brincar) em casos de racismo e injúria racial. O artigo analisa como os tribunais enfrentam essa justificativa utilizada por autores de ofensas, reforçando a necessidade de uma atuação judicial firme que recuse a tentativa de utilizar o humor como álibi para legitimar crimes de ódio no meio virtual.</w:t>
      </w:r>
    </w:p>
    <w:p w14:paraId="21FD5103" w14:textId="77777777" w:rsidR="000E37A6" w:rsidRDefault="000E37A6">
      <w:pPr>
        <w:spacing w:line="360" w:lineRule="auto"/>
        <w:rPr>
          <w:sz w:val="24"/>
          <w:szCs w:val="24"/>
        </w:rPr>
      </w:pPr>
    </w:p>
    <w:p w14:paraId="0E19B164" w14:textId="77777777" w:rsidR="000E37A6" w:rsidRDefault="00BF21CD">
      <w:pPr>
        <w:spacing w:line="360" w:lineRule="auto"/>
        <w:rPr>
          <w:b/>
          <w:bCs/>
          <w:sz w:val="24"/>
          <w:szCs w:val="24"/>
        </w:rPr>
      </w:pPr>
      <w:r>
        <w:rPr>
          <w:b/>
          <w:bCs/>
          <w:sz w:val="24"/>
          <w:szCs w:val="24"/>
        </w:rPr>
        <w:t>5 CONSIDERAÇÕES FINAIS</w:t>
      </w:r>
    </w:p>
    <w:p w14:paraId="0AB6FFE1" w14:textId="77777777" w:rsidR="000E37A6" w:rsidRDefault="00BF21CD">
      <w:pPr>
        <w:spacing w:line="360" w:lineRule="auto"/>
        <w:jc w:val="both"/>
        <w:rPr>
          <w:sz w:val="24"/>
          <w:szCs w:val="24"/>
        </w:rPr>
      </w:pPr>
      <w:r>
        <w:rPr>
          <w:sz w:val="24"/>
          <w:szCs w:val="24"/>
        </w:rPr>
        <w:t>​        O presente estudo demonstrou que a liberdade de expressão, embora seja um pilar indispensável do Estado Democrático de Direito, não constitui um direito absoluto. Sua aplicação encontra barreiras intransponíveis na Constituição Federal e nos princípios da igualdade e da dignidade da pessoa humana.</w:t>
      </w:r>
    </w:p>
    <w:p w14:paraId="251E1623" w14:textId="0EA5B4D3" w:rsidR="000E37A6" w:rsidRDefault="00BF21CD">
      <w:pPr>
        <w:spacing w:line="360" w:lineRule="auto"/>
        <w:jc w:val="both"/>
        <w:rPr>
          <w:sz w:val="24"/>
          <w:szCs w:val="24"/>
        </w:rPr>
      </w:pPr>
      <w:r>
        <w:rPr>
          <w:sz w:val="24"/>
          <w:szCs w:val="24"/>
        </w:rPr>
        <w:t>​        Conclui-se, portanto, que a responsabilização rigorosa dos excessos discursivos e uma postura firme do Poder Judiciário são imprescindíveis. Coibir o discurso de ódio e o preconceito racial na internet não configura censura, mas uma exigência democrática para garantir que o meio digital deixe de ser um espaço de impunidade e passe a assegurar o respeito efetivo aos direitos fundamentais e à dignidade humana.</w:t>
      </w:r>
    </w:p>
    <w:p w14:paraId="0E43F3F1" w14:textId="77777777" w:rsidR="000E37A6" w:rsidRDefault="000E37A6">
      <w:pPr>
        <w:spacing w:line="360" w:lineRule="auto"/>
        <w:rPr>
          <w:sz w:val="24"/>
          <w:szCs w:val="24"/>
        </w:rPr>
      </w:pPr>
    </w:p>
    <w:p w14:paraId="64CFFEE1" w14:textId="77777777" w:rsidR="000E37A6" w:rsidRDefault="00BF21CD">
      <w:pPr>
        <w:spacing w:line="360" w:lineRule="auto"/>
        <w:jc w:val="center"/>
        <w:rPr>
          <w:b/>
          <w:bCs/>
          <w:sz w:val="24"/>
          <w:szCs w:val="24"/>
        </w:rPr>
      </w:pPr>
      <w:r>
        <w:rPr>
          <w:b/>
          <w:bCs/>
          <w:sz w:val="24"/>
          <w:szCs w:val="24"/>
        </w:rPr>
        <w:t>REFERÊNCIAS</w:t>
      </w:r>
    </w:p>
    <w:p w14:paraId="1A71DEB3" w14:textId="77777777" w:rsidR="000E37A6" w:rsidRDefault="00BF21CD">
      <w:pPr>
        <w:spacing w:after="240"/>
        <w:rPr>
          <w:sz w:val="24"/>
          <w:szCs w:val="24"/>
        </w:rPr>
      </w:pPr>
      <w:r>
        <w:rPr>
          <w:sz w:val="24"/>
          <w:szCs w:val="24"/>
        </w:rPr>
        <w:t xml:space="preserve">ALMEIDA, Silvio. </w:t>
      </w:r>
      <w:r>
        <w:rPr>
          <w:b/>
          <w:bCs/>
          <w:sz w:val="24"/>
          <w:szCs w:val="24"/>
        </w:rPr>
        <w:t>Racismo estrutural</w:t>
      </w:r>
      <w:r>
        <w:rPr>
          <w:sz w:val="24"/>
          <w:szCs w:val="24"/>
        </w:rPr>
        <w:t>. São Paulo: Sueli Carneiro; Pólen, 2019.</w:t>
      </w:r>
    </w:p>
    <w:p w14:paraId="1D792E27" w14:textId="77777777" w:rsidR="000E37A6" w:rsidRDefault="00BF21CD">
      <w:pPr>
        <w:spacing w:after="240"/>
        <w:rPr>
          <w:sz w:val="24"/>
          <w:szCs w:val="24"/>
        </w:rPr>
      </w:pPr>
      <w:r>
        <w:rPr>
          <w:sz w:val="24"/>
          <w:szCs w:val="24"/>
        </w:rPr>
        <w:t xml:space="preserve">ARAUJO, Clecio Leonardo Mendes. A toxicidade do racismo recreativo em forma de brincadeira. </w:t>
      </w:r>
      <w:r>
        <w:rPr>
          <w:b/>
          <w:bCs/>
          <w:sz w:val="24"/>
          <w:szCs w:val="24"/>
        </w:rPr>
        <w:t>Revista da Associação Brasileira de Pesquisadores/as Negros/as (ABPN)</w:t>
      </w:r>
      <w:r>
        <w:rPr>
          <w:sz w:val="24"/>
          <w:szCs w:val="24"/>
        </w:rPr>
        <w:t>, [S. l.], v. 14, n. 42, p. 464–468, 2022. Disponível em:</w:t>
      </w:r>
      <w:hyperlink r:id="rId7">
        <w:r w:rsidR="000E37A6">
          <w:rPr>
            <w:sz w:val="24"/>
            <w:szCs w:val="24"/>
          </w:rPr>
          <w:t xml:space="preserve"> </w:t>
        </w:r>
      </w:hyperlink>
      <w:hyperlink r:id="rId8">
        <w:r w:rsidR="000E37A6">
          <w:rPr>
            <w:color w:val="1155CC"/>
            <w:sz w:val="24"/>
            <w:szCs w:val="24"/>
            <w:u w:val="single"/>
          </w:rPr>
          <w:t>https://abpn.emnuvens.com.br/site/article/view/1353</w:t>
        </w:r>
      </w:hyperlink>
      <w:r>
        <w:rPr>
          <w:sz w:val="24"/>
          <w:szCs w:val="24"/>
        </w:rPr>
        <w:t>. Acesso em: 26 ago. 2026.</w:t>
      </w:r>
    </w:p>
    <w:p w14:paraId="4CEC5FB1" w14:textId="77777777" w:rsidR="000E37A6" w:rsidRDefault="00BF21CD">
      <w:pPr>
        <w:spacing w:after="240"/>
        <w:rPr>
          <w:sz w:val="24"/>
          <w:szCs w:val="24"/>
        </w:rPr>
      </w:pPr>
      <w:r>
        <w:rPr>
          <w:sz w:val="24"/>
          <w:szCs w:val="24"/>
        </w:rPr>
        <w:t xml:space="preserve">BARBOSA, Esdras Silva Sales; SILVA JUNIOR, Jorge Adriano. Racismo recreativo e seu impacto no ambiente virtual. </w:t>
      </w:r>
      <w:r>
        <w:rPr>
          <w:b/>
          <w:bCs/>
          <w:sz w:val="24"/>
          <w:szCs w:val="24"/>
        </w:rPr>
        <w:t>Revista Em Favor de Igualdade Racial</w:t>
      </w:r>
      <w:r>
        <w:rPr>
          <w:sz w:val="24"/>
          <w:szCs w:val="24"/>
        </w:rPr>
        <w:t>, [S. l.], v. 8, n. 1, p. 88–102, 2025. DOI:</w:t>
      </w:r>
      <w:hyperlink r:id="rId9">
        <w:r w:rsidR="000E37A6">
          <w:rPr>
            <w:sz w:val="24"/>
            <w:szCs w:val="24"/>
          </w:rPr>
          <w:t xml:space="preserve"> </w:t>
        </w:r>
      </w:hyperlink>
      <w:hyperlink r:id="rId10">
        <w:r w:rsidR="000E37A6">
          <w:rPr>
            <w:color w:val="1155CC"/>
            <w:sz w:val="24"/>
            <w:szCs w:val="24"/>
            <w:u w:val="single"/>
          </w:rPr>
          <w:t>https://doi.org/10.29327/269579.8.1-8</w:t>
        </w:r>
      </w:hyperlink>
      <w:r>
        <w:rPr>
          <w:sz w:val="24"/>
          <w:szCs w:val="24"/>
        </w:rPr>
        <w:t xml:space="preserve"> Disponível em:</w:t>
      </w:r>
      <w:hyperlink r:id="rId11">
        <w:r w:rsidR="000E37A6">
          <w:rPr>
            <w:sz w:val="24"/>
            <w:szCs w:val="24"/>
          </w:rPr>
          <w:t xml:space="preserve"> </w:t>
        </w:r>
      </w:hyperlink>
      <w:hyperlink r:id="rId12">
        <w:r w:rsidR="000E37A6">
          <w:rPr>
            <w:color w:val="1155CC"/>
            <w:sz w:val="24"/>
            <w:szCs w:val="24"/>
            <w:u w:val="single"/>
          </w:rPr>
          <w:t>https://periodicos.ufac.br/index.php/RFIR/article/view/7199</w:t>
        </w:r>
      </w:hyperlink>
      <w:r>
        <w:rPr>
          <w:sz w:val="24"/>
          <w:szCs w:val="24"/>
        </w:rPr>
        <w:t>. Acesso em: 26 ago. 2026.</w:t>
      </w:r>
    </w:p>
    <w:p w14:paraId="231FD4C1" w14:textId="77777777" w:rsidR="000E37A6" w:rsidRDefault="00BF21CD">
      <w:pPr>
        <w:spacing w:after="240"/>
        <w:rPr>
          <w:sz w:val="24"/>
          <w:szCs w:val="24"/>
        </w:rPr>
      </w:pPr>
      <w:r>
        <w:rPr>
          <w:sz w:val="24"/>
          <w:szCs w:val="24"/>
        </w:rPr>
        <w:t xml:space="preserve">BOTELHO, Gilson Carlos Xavier. O equilíbrio entre a liberdade de expressão e os limites constitucionais nas mídias sociais. </w:t>
      </w:r>
      <w:r>
        <w:rPr>
          <w:b/>
          <w:bCs/>
          <w:sz w:val="24"/>
          <w:szCs w:val="24"/>
        </w:rPr>
        <w:t>Revista Processus Multidisciplinar</w:t>
      </w:r>
      <w:r>
        <w:rPr>
          <w:sz w:val="24"/>
          <w:szCs w:val="24"/>
        </w:rPr>
        <w:t>, [S. l.], v. 5, n. 9, p. e091116, 2024. Disponível em:</w:t>
      </w:r>
      <w:hyperlink r:id="rId13">
        <w:r w:rsidR="000E37A6">
          <w:rPr>
            <w:sz w:val="24"/>
            <w:szCs w:val="24"/>
          </w:rPr>
          <w:t xml:space="preserve"> </w:t>
        </w:r>
      </w:hyperlink>
      <w:hyperlink r:id="rId14">
        <w:r w:rsidR="000E37A6">
          <w:rPr>
            <w:color w:val="1155CC"/>
            <w:sz w:val="24"/>
            <w:szCs w:val="24"/>
            <w:u w:val="single"/>
          </w:rPr>
          <w:t>https://periodicos.processus.com.br/index.php/multi/article/view/1116</w:t>
        </w:r>
      </w:hyperlink>
      <w:r>
        <w:rPr>
          <w:sz w:val="24"/>
          <w:szCs w:val="24"/>
        </w:rPr>
        <w:t>. Acesso em: 25 ago. 2026.</w:t>
      </w:r>
    </w:p>
    <w:p w14:paraId="1731C695" w14:textId="77777777" w:rsidR="000E37A6" w:rsidRDefault="00BF21CD">
      <w:pPr>
        <w:spacing w:after="240"/>
        <w:rPr>
          <w:sz w:val="24"/>
          <w:szCs w:val="24"/>
        </w:rPr>
      </w:pPr>
      <w:r>
        <w:rPr>
          <w:sz w:val="24"/>
          <w:szCs w:val="24"/>
        </w:rPr>
        <w:t xml:space="preserve">BROIANO, Paulo Henrique Rocha; PEIXOTO, Graziela Filgueira; GOMES, Sebastião Edilson Rodrigues. O discurso de ódio: um olhar sob a ótica da garantia constitutional da liberdade de expressão frente as redes sociais. </w:t>
      </w:r>
      <w:r>
        <w:rPr>
          <w:b/>
          <w:bCs/>
          <w:sz w:val="24"/>
          <w:szCs w:val="24"/>
        </w:rPr>
        <w:t>Revista Ibero-Americana de Humanidades, Ciências e Educação</w:t>
      </w:r>
      <w:r>
        <w:rPr>
          <w:sz w:val="24"/>
          <w:szCs w:val="24"/>
        </w:rPr>
        <w:t>, [S. l.], v. 9, n. 4, p. 1157–1175, 2023. DOI:</w:t>
      </w:r>
      <w:hyperlink r:id="rId15">
        <w:r w:rsidR="000E37A6">
          <w:rPr>
            <w:sz w:val="24"/>
            <w:szCs w:val="24"/>
          </w:rPr>
          <w:t xml:space="preserve"> </w:t>
        </w:r>
      </w:hyperlink>
      <w:hyperlink r:id="rId16">
        <w:r w:rsidR="000E37A6">
          <w:rPr>
            <w:color w:val="1155CC"/>
            <w:sz w:val="24"/>
            <w:szCs w:val="24"/>
            <w:u w:val="single"/>
          </w:rPr>
          <w:t>https://doi.org/10.51891/rease.v9i4.9306</w:t>
        </w:r>
      </w:hyperlink>
      <w:r>
        <w:rPr>
          <w:sz w:val="24"/>
          <w:szCs w:val="24"/>
        </w:rPr>
        <w:t xml:space="preserve"> Disponível em:</w:t>
      </w:r>
      <w:hyperlink r:id="rId17">
        <w:r w:rsidR="000E37A6">
          <w:rPr>
            <w:sz w:val="24"/>
            <w:szCs w:val="24"/>
          </w:rPr>
          <w:t xml:space="preserve"> </w:t>
        </w:r>
      </w:hyperlink>
      <w:hyperlink r:id="rId18">
        <w:r w:rsidR="000E37A6">
          <w:rPr>
            <w:color w:val="1155CC"/>
            <w:sz w:val="24"/>
            <w:szCs w:val="24"/>
            <w:u w:val="single"/>
          </w:rPr>
          <w:t>https://periodicorease.pro.br/rease/article/view/9306</w:t>
        </w:r>
      </w:hyperlink>
      <w:r>
        <w:rPr>
          <w:sz w:val="24"/>
          <w:szCs w:val="24"/>
        </w:rPr>
        <w:t>. Acesso em: 26 ago. 2026.</w:t>
      </w:r>
    </w:p>
    <w:p w14:paraId="6B9C0D21" w14:textId="77777777" w:rsidR="000E37A6" w:rsidRDefault="00BF21CD">
      <w:pPr>
        <w:spacing w:after="240"/>
        <w:rPr>
          <w:sz w:val="24"/>
          <w:szCs w:val="24"/>
        </w:rPr>
      </w:pPr>
      <w:r>
        <w:rPr>
          <w:sz w:val="24"/>
          <w:szCs w:val="24"/>
        </w:rPr>
        <w:t xml:space="preserve">DANTAS JÚNIOR, João Fabrício. A liberdade de expressão: os limites ao discurso de ódio à luz da Constituição Federal. </w:t>
      </w:r>
      <w:r>
        <w:rPr>
          <w:b/>
          <w:bCs/>
          <w:sz w:val="24"/>
          <w:szCs w:val="24"/>
        </w:rPr>
        <w:t>JURIS - Revista da Faculdade de Direito</w:t>
      </w:r>
      <w:r>
        <w:rPr>
          <w:sz w:val="24"/>
          <w:szCs w:val="24"/>
        </w:rPr>
        <w:t>, [S. l.], v. 31, n. 2, p. 52–73, 2023. DOI:</w:t>
      </w:r>
      <w:hyperlink r:id="rId19">
        <w:r w:rsidR="000E37A6">
          <w:rPr>
            <w:sz w:val="24"/>
            <w:szCs w:val="24"/>
          </w:rPr>
          <w:t xml:space="preserve"> </w:t>
        </w:r>
      </w:hyperlink>
      <w:hyperlink r:id="rId20">
        <w:r w:rsidR="000E37A6">
          <w:rPr>
            <w:color w:val="1155CC"/>
            <w:sz w:val="24"/>
            <w:szCs w:val="24"/>
            <w:u w:val="single"/>
          </w:rPr>
          <w:t>https://doi.org/10.14295/juris.v31i2.14451</w:t>
        </w:r>
      </w:hyperlink>
      <w:r>
        <w:rPr>
          <w:sz w:val="24"/>
          <w:szCs w:val="24"/>
        </w:rPr>
        <w:t xml:space="preserve"> Disponível em:</w:t>
      </w:r>
      <w:hyperlink r:id="rId21">
        <w:r w:rsidR="000E37A6">
          <w:rPr>
            <w:sz w:val="24"/>
            <w:szCs w:val="24"/>
          </w:rPr>
          <w:t xml:space="preserve"> </w:t>
        </w:r>
      </w:hyperlink>
      <w:hyperlink r:id="rId22">
        <w:r w:rsidR="000E37A6">
          <w:rPr>
            <w:color w:val="1155CC"/>
            <w:sz w:val="24"/>
            <w:szCs w:val="24"/>
            <w:u w:val="single"/>
          </w:rPr>
          <w:t>https://periodicos.furg.br/juris/article/view/14451</w:t>
        </w:r>
      </w:hyperlink>
      <w:r>
        <w:rPr>
          <w:sz w:val="24"/>
          <w:szCs w:val="24"/>
        </w:rPr>
        <w:t>. Acesso em: 25 ago. 2026.</w:t>
      </w:r>
    </w:p>
    <w:p w14:paraId="5CB0A45F" w14:textId="77777777" w:rsidR="000E37A6" w:rsidRDefault="00BF21CD">
      <w:pPr>
        <w:spacing w:after="240"/>
        <w:rPr>
          <w:sz w:val="24"/>
          <w:szCs w:val="24"/>
        </w:rPr>
      </w:pPr>
      <w:r>
        <w:rPr>
          <w:sz w:val="24"/>
          <w:szCs w:val="24"/>
        </w:rPr>
        <w:t xml:space="preserve">FIGUEIREDO, Beatriz Ferreira; CRUZ, Maria José Amorim da. Racismo recreativo e injúria racial: uma análise jurisprudencial do </w:t>
      </w:r>
      <w:r>
        <w:rPr>
          <w:i/>
          <w:iCs/>
          <w:sz w:val="24"/>
          <w:szCs w:val="24"/>
        </w:rPr>
        <w:t>animus jocandi</w:t>
      </w:r>
      <w:r>
        <w:rPr>
          <w:sz w:val="24"/>
          <w:szCs w:val="24"/>
        </w:rPr>
        <w:t xml:space="preserve">. </w:t>
      </w:r>
      <w:r>
        <w:rPr>
          <w:b/>
          <w:bCs/>
          <w:sz w:val="24"/>
          <w:szCs w:val="24"/>
        </w:rPr>
        <w:t>Revista Meio Ambiente e Sustentabilidade</w:t>
      </w:r>
      <w:r>
        <w:rPr>
          <w:sz w:val="24"/>
          <w:szCs w:val="24"/>
        </w:rPr>
        <w:t>, v. 9, n. 4, 2020. Disponível em:</w:t>
      </w:r>
      <w:hyperlink r:id="rId23">
        <w:r w:rsidR="000E37A6">
          <w:rPr>
            <w:sz w:val="24"/>
            <w:szCs w:val="24"/>
          </w:rPr>
          <w:t xml:space="preserve"> </w:t>
        </w:r>
      </w:hyperlink>
      <w:hyperlink r:id="rId24">
        <w:r w:rsidR="000E37A6">
          <w:rPr>
            <w:color w:val="1155CC"/>
            <w:sz w:val="24"/>
            <w:szCs w:val="24"/>
            <w:u w:val="single"/>
          </w:rPr>
          <w:t>https://periodicos.ufersa.edu.br/index.php/rmi/article/view/9931</w:t>
        </w:r>
      </w:hyperlink>
      <w:r>
        <w:rPr>
          <w:sz w:val="24"/>
          <w:szCs w:val="24"/>
        </w:rPr>
        <w:t>. Acesso em: 26 ago. 2026.</w:t>
      </w:r>
    </w:p>
    <w:p w14:paraId="7F9EB43D" w14:textId="77777777" w:rsidR="000E37A6" w:rsidRDefault="00BF21CD">
      <w:pPr>
        <w:spacing w:after="240"/>
        <w:rPr>
          <w:sz w:val="24"/>
          <w:szCs w:val="24"/>
        </w:rPr>
      </w:pPr>
      <w:r>
        <w:rPr>
          <w:sz w:val="24"/>
          <w:szCs w:val="24"/>
        </w:rPr>
        <w:t xml:space="preserve">FREITAS, Riva Sobrado de; CASTRO, Matheus Felipe de. Liberdade de expressão e discurso do ódio: um exame sobre as possíveis limitações à liberdade de expressão. </w:t>
      </w:r>
      <w:r>
        <w:rPr>
          <w:b/>
          <w:bCs/>
          <w:sz w:val="24"/>
          <w:szCs w:val="24"/>
        </w:rPr>
        <w:t>Seqüência: Estudos Jurídicos e Políticos</w:t>
      </w:r>
      <w:r>
        <w:rPr>
          <w:sz w:val="24"/>
          <w:szCs w:val="24"/>
        </w:rPr>
        <w:t>, Florianópolis, v. 34, n. 66, p. 327–355, 2013. DOI:</w:t>
      </w:r>
      <w:hyperlink r:id="rId25">
        <w:r w:rsidR="000E37A6">
          <w:rPr>
            <w:sz w:val="24"/>
            <w:szCs w:val="24"/>
          </w:rPr>
          <w:t xml:space="preserve"> </w:t>
        </w:r>
      </w:hyperlink>
      <w:hyperlink r:id="rId26">
        <w:r w:rsidR="000E37A6">
          <w:rPr>
            <w:color w:val="1155CC"/>
            <w:sz w:val="24"/>
            <w:szCs w:val="24"/>
            <w:u w:val="single"/>
          </w:rPr>
          <w:t>https://doi.org/10.5007/2177-7055.2013v34n66p327</w:t>
        </w:r>
      </w:hyperlink>
      <w:r>
        <w:rPr>
          <w:sz w:val="24"/>
          <w:szCs w:val="24"/>
        </w:rPr>
        <w:t xml:space="preserve"> Disponível em:</w:t>
      </w:r>
      <w:hyperlink r:id="rId27">
        <w:r w:rsidR="000E37A6">
          <w:rPr>
            <w:sz w:val="24"/>
            <w:szCs w:val="24"/>
          </w:rPr>
          <w:t xml:space="preserve"> </w:t>
        </w:r>
      </w:hyperlink>
      <w:hyperlink r:id="rId28">
        <w:r w:rsidR="000E37A6">
          <w:rPr>
            <w:color w:val="1155CC"/>
            <w:sz w:val="24"/>
            <w:szCs w:val="24"/>
            <w:u w:val="single"/>
          </w:rPr>
          <w:t>https://periodicos.ufsc.br/index.php/sequencia/article/view/2177-7055.2013v34n66p327</w:t>
        </w:r>
      </w:hyperlink>
      <w:r>
        <w:rPr>
          <w:sz w:val="24"/>
          <w:szCs w:val="24"/>
        </w:rPr>
        <w:t>. Acesso em: 26 ago. 2026.</w:t>
      </w:r>
    </w:p>
    <w:p w14:paraId="06757F4D" w14:textId="77777777" w:rsidR="000E37A6" w:rsidRDefault="00BF21CD">
      <w:pPr>
        <w:spacing w:after="240"/>
        <w:rPr>
          <w:sz w:val="24"/>
          <w:szCs w:val="24"/>
        </w:rPr>
      </w:pPr>
      <w:r>
        <w:rPr>
          <w:sz w:val="24"/>
          <w:szCs w:val="24"/>
        </w:rPr>
        <w:t xml:space="preserve">MEDINA, Ingrid Corcino; GOULART, Libia Kicela; RESGALA JÚNIOR, Renato Marcelo. Racismo estrutural: um estudo da violação dos direitos humanos no sistema penal brasileiro. </w:t>
      </w:r>
      <w:r>
        <w:rPr>
          <w:b/>
          <w:bCs/>
          <w:sz w:val="24"/>
          <w:szCs w:val="24"/>
        </w:rPr>
        <w:t>Revista Ibero-Americana de Humanidades, Ciências e Educação</w:t>
      </w:r>
      <w:r>
        <w:rPr>
          <w:sz w:val="24"/>
          <w:szCs w:val="24"/>
        </w:rPr>
        <w:t>, [S. l.], v. 9, n. 9, p. 2504–2521, 2023. DOI:</w:t>
      </w:r>
      <w:hyperlink r:id="rId29">
        <w:r w:rsidR="000E37A6">
          <w:rPr>
            <w:sz w:val="24"/>
            <w:szCs w:val="24"/>
          </w:rPr>
          <w:t xml:space="preserve"> </w:t>
        </w:r>
      </w:hyperlink>
      <w:hyperlink r:id="rId30">
        <w:r w:rsidR="000E37A6">
          <w:rPr>
            <w:color w:val="1155CC"/>
            <w:sz w:val="24"/>
            <w:szCs w:val="24"/>
            <w:u w:val="single"/>
          </w:rPr>
          <w:t>https://doi.org/10.51891/rease.v9i9.11353</w:t>
        </w:r>
      </w:hyperlink>
      <w:r>
        <w:rPr>
          <w:sz w:val="24"/>
          <w:szCs w:val="24"/>
        </w:rPr>
        <w:t xml:space="preserve"> Disponível em:</w:t>
      </w:r>
      <w:hyperlink r:id="rId31">
        <w:r w:rsidR="000E37A6">
          <w:rPr>
            <w:sz w:val="24"/>
            <w:szCs w:val="24"/>
          </w:rPr>
          <w:t xml:space="preserve"> </w:t>
        </w:r>
      </w:hyperlink>
      <w:hyperlink r:id="rId32">
        <w:r w:rsidR="000E37A6">
          <w:rPr>
            <w:color w:val="1155CC"/>
            <w:sz w:val="24"/>
            <w:szCs w:val="24"/>
            <w:u w:val="single"/>
          </w:rPr>
          <w:t>https://periodicorease.pro.br/rease/article/view/11353</w:t>
        </w:r>
      </w:hyperlink>
      <w:r>
        <w:rPr>
          <w:sz w:val="24"/>
          <w:szCs w:val="24"/>
        </w:rPr>
        <w:t>. Acesso em: 25 ago. 2026.</w:t>
      </w:r>
    </w:p>
    <w:p w14:paraId="64A15941" w14:textId="77777777" w:rsidR="000E37A6" w:rsidRDefault="00BF21CD">
      <w:pPr>
        <w:spacing w:after="240"/>
        <w:rPr>
          <w:sz w:val="24"/>
          <w:szCs w:val="24"/>
        </w:rPr>
      </w:pPr>
      <w:r>
        <w:rPr>
          <w:sz w:val="24"/>
          <w:szCs w:val="24"/>
        </w:rPr>
        <w:t xml:space="preserve">PEZZELLA, Maria Cristina Cereser; PANNAIN, Camila Nunes. Novas tecnologias e tutela dos direitos fundamentais: o discurso de ódio nas redes sociais. </w:t>
      </w:r>
      <w:r>
        <w:rPr>
          <w:b/>
          <w:bCs/>
          <w:sz w:val="24"/>
          <w:szCs w:val="24"/>
        </w:rPr>
        <w:t>Revista de Direito, Inovação, Propriedade Intelectual e Concorrência</w:t>
      </w:r>
      <w:r>
        <w:rPr>
          <w:sz w:val="24"/>
          <w:szCs w:val="24"/>
        </w:rPr>
        <w:t>, Florianópolis, v. 1, n. 1, p. 88–103, 2015. DOI:</w:t>
      </w:r>
      <w:hyperlink r:id="rId33">
        <w:r w:rsidR="000E37A6">
          <w:rPr>
            <w:sz w:val="24"/>
            <w:szCs w:val="24"/>
          </w:rPr>
          <w:t xml:space="preserve"> </w:t>
        </w:r>
      </w:hyperlink>
      <w:hyperlink r:id="rId34">
        <w:r w:rsidR="000E37A6">
          <w:rPr>
            <w:color w:val="1155CC"/>
            <w:sz w:val="24"/>
            <w:szCs w:val="24"/>
            <w:u w:val="single"/>
          </w:rPr>
          <w:t>https://doi.org/10.26668/IndexLawJournals/2526-0014/2015.v1i1.103</w:t>
        </w:r>
      </w:hyperlink>
      <w:r>
        <w:rPr>
          <w:sz w:val="24"/>
          <w:szCs w:val="24"/>
        </w:rPr>
        <w:t xml:space="preserve"> Disponível em:</w:t>
      </w:r>
      <w:hyperlink r:id="rId35">
        <w:r w:rsidR="000E37A6">
          <w:rPr>
            <w:sz w:val="24"/>
            <w:szCs w:val="24"/>
          </w:rPr>
          <w:t xml:space="preserve"> </w:t>
        </w:r>
      </w:hyperlink>
      <w:hyperlink r:id="rId36">
        <w:r w:rsidR="000E37A6">
          <w:rPr>
            <w:color w:val="1155CC"/>
            <w:sz w:val="24"/>
            <w:szCs w:val="24"/>
            <w:u w:val="single"/>
          </w:rPr>
          <w:t>https://indexlaw.org/index.php/revistadipic/article/view/103</w:t>
        </w:r>
      </w:hyperlink>
      <w:r>
        <w:rPr>
          <w:sz w:val="24"/>
          <w:szCs w:val="24"/>
        </w:rPr>
        <w:t>. Acesso em: 25 ago. 2026.</w:t>
      </w:r>
    </w:p>
    <w:p w14:paraId="572378A9" w14:textId="77777777" w:rsidR="000E37A6" w:rsidRDefault="00BF21CD">
      <w:pPr>
        <w:spacing w:after="240"/>
        <w:rPr>
          <w:sz w:val="24"/>
          <w:szCs w:val="24"/>
        </w:rPr>
      </w:pPr>
      <w:r>
        <w:rPr>
          <w:sz w:val="24"/>
          <w:szCs w:val="24"/>
        </w:rPr>
        <w:t xml:space="preserve">RIBEIRO, N. A. Aparecida. A atuação e responsabilidade das redes sociais diante do dilema entre a desinformação e a liberdade de expressão. </w:t>
      </w:r>
      <w:r>
        <w:rPr>
          <w:b/>
          <w:bCs/>
          <w:sz w:val="24"/>
          <w:szCs w:val="24"/>
        </w:rPr>
        <w:t>Revista Extensão</w:t>
      </w:r>
      <w:r>
        <w:rPr>
          <w:sz w:val="24"/>
          <w:szCs w:val="24"/>
        </w:rPr>
        <w:t>, v. 6, n. 1, p. 95–102, 29 ago. 2022.</w:t>
      </w:r>
    </w:p>
    <w:p w14:paraId="06D8E262" w14:textId="77777777" w:rsidR="000E37A6" w:rsidRDefault="00BF21CD">
      <w:pPr>
        <w:spacing w:after="240"/>
        <w:rPr>
          <w:sz w:val="24"/>
          <w:szCs w:val="24"/>
        </w:rPr>
      </w:pPr>
      <w:r>
        <w:rPr>
          <w:sz w:val="24"/>
          <w:szCs w:val="24"/>
        </w:rPr>
        <w:t>SANTANA, Vagner Figuerêdo</w:t>
      </w:r>
      <w:r>
        <w:rPr>
          <w:sz w:val="24"/>
          <w:szCs w:val="24"/>
        </w:rPr>
        <w:t xml:space="preserve"> de; MELO-SOLARTE, Diego Samir; NERIS, Vânia Paula de Almeida; MIRANDA, Leonardo Cunha de; BARANAUSKAS, M. Cecília C. Redes sociais online: desafios e possibilidades para o contexto brasileiro. </w:t>
      </w:r>
      <w:r>
        <w:rPr>
          <w:i/>
          <w:iCs/>
          <w:sz w:val="24"/>
          <w:szCs w:val="24"/>
        </w:rPr>
        <w:t>In</w:t>
      </w:r>
      <w:r>
        <w:rPr>
          <w:sz w:val="24"/>
          <w:szCs w:val="24"/>
        </w:rPr>
        <w:t xml:space="preserve">: SEMINÁRIO INTEGRADO DE SOFTWARE E HARDWARE (SEMISH), 36., 2009, Bento Gonçalves. </w:t>
      </w:r>
      <w:r>
        <w:rPr>
          <w:b/>
          <w:bCs/>
          <w:sz w:val="24"/>
          <w:szCs w:val="24"/>
        </w:rPr>
        <w:t>Anais [...]</w:t>
      </w:r>
      <w:r>
        <w:rPr>
          <w:sz w:val="24"/>
          <w:szCs w:val="24"/>
        </w:rPr>
        <w:t>. Porto Alegre: Sociedade Brasileira de Computação, 2009. p. 339–353.</w:t>
      </w:r>
    </w:p>
    <w:p w14:paraId="49718E29" w14:textId="77777777" w:rsidR="000E37A6" w:rsidRDefault="00BF21CD">
      <w:pPr>
        <w:spacing w:after="240"/>
        <w:rPr>
          <w:sz w:val="24"/>
          <w:szCs w:val="24"/>
        </w:rPr>
      </w:pPr>
      <w:r>
        <w:rPr>
          <w:sz w:val="24"/>
          <w:szCs w:val="24"/>
        </w:rPr>
        <w:t xml:space="preserve">SANTOS, P. H. A.; SÁ, R. S. T. de; ROCHA, R. F. Racismo estrutural e racismo recreativo: um diálogo entre a produção teórica de Adilson Moreira, Silvio Almeida e Thiago Teixeira. </w:t>
      </w:r>
      <w:r>
        <w:rPr>
          <w:b/>
          <w:bCs/>
          <w:sz w:val="24"/>
          <w:szCs w:val="24"/>
        </w:rPr>
        <w:t>Revista Jurídica Legalislux</w:t>
      </w:r>
      <w:r>
        <w:rPr>
          <w:sz w:val="24"/>
          <w:szCs w:val="24"/>
        </w:rPr>
        <w:t>, [S. l.], v. 3, n. 2, p. 21–29, 2021. Disponível em:</w:t>
      </w:r>
      <w:hyperlink r:id="rId37">
        <w:r w:rsidR="000E37A6">
          <w:rPr>
            <w:sz w:val="24"/>
            <w:szCs w:val="24"/>
          </w:rPr>
          <w:t xml:space="preserve"> </w:t>
        </w:r>
      </w:hyperlink>
      <w:hyperlink r:id="rId38">
        <w:r w:rsidR="000E37A6">
          <w:rPr>
            <w:color w:val="1155CC"/>
            <w:sz w:val="24"/>
            <w:szCs w:val="24"/>
            <w:u w:val="single"/>
          </w:rPr>
          <w:t>https://periodicosfacesf.com.br/index.php/Legalislux/article/view/311</w:t>
        </w:r>
      </w:hyperlink>
      <w:r>
        <w:rPr>
          <w:sz w:val="24"/>
          <w:szCs w:val="24"/>
        </w:rPr>
        <w:t>. Acesso em: 25 ago. 2026.</w:t>
      </w:r>
    </w:p>
    <w:p w14:paraId="24679C74" w14:textId="77777777" w:rsidR="000E37A6" w:rsidRDefault="00BF21CD">
      <w:pPr>
        <w:spacing w:after="240"/>
        <w:rPr>
          <w:sz w:val="24"/>
          <w:szCs w:val="24"/>
        </w:rPr>
      </w:pPr>
      <w:r>
        <w:rPr>
          <w:sz w:val="24"/>
          <w:szCs w:val="24"/>
        </w:rPr>
        <w:t xml:space="preserve">VIEIRA JUNIOR, Dicesar Beches. Teoria dos direitos fundamentais: evolução histórico-positiva, regras e princípios. </w:t>
      </w:r>
      <w:r>
        <w:rPr>
          <w:b/>
          <w:bCs/>
          <w:sz w:val="24"/>
          <w:szCs w:val="24"/>
        </w:rPr>
        <w:t>Revista da Faculdade de Direito da UERJ</w:t>
      </w:r>
      <w:r>
        <w:rPr>
          <w:sz w:val="24"/>
          <w:szCs w:val="24"/>
        </w:rPr>
        <w:t>, Rio de Janeiro, n. 28, p. 73–96, 2015. DOI:</w:t>
      </w:r>
      <w:hyperlink r:id="rId39">
        <w:r w:rsidR="000E37A6">
          <w:rPr>
            <w:sz w:val="24"/>
            <w:szCs w:val="24"/>
          </w:rPr>
          <w:t xml:space="preserve"> </w:t>
        </w:r>
      </w:hyperlink>
      <w:hyperlink r:id="rId40">
        <w:r w:rsidR="000E37A6">
          <w:rPr>
            <w:color w:val="1155CC"/>
            <w:sz w:val="24"/>
            <w:szCs w:val="24"/>
            <w:u w:val="single"/>
          </w:rPr>
          <w:t>https://doi.org/10.12957/rfd.2015.20298</w:t>
        </w:r>
      </w:hyperlink>
      <w:r>
        <w:rPr>
          <w:sz w:val="24"/>
          <w:szCs w:val="24"/>
        </w:rPr>
        <w:t xml:space="preserve"> Disponível em:</w:t>
      </w:r>
      <w:hyperlink r:id="rId41">
        <w:r w:rsidR="000E37A6">
          <w:rPr>
            <w:sz w:val="24"/>
            <w:szCs w:val="24"/>
          </w:rPr>
          <w:t xml:space="preserve"> </w:t>
        </w:r>
      </w:hyperlink>
      <w:hyperlink r:id="rId42">
        <w:r w:rsidR="000E37A6">
          <w:rPr>
            <w:color w:val="1155CC"/>
            <w:sz w:val="24"/>
            <w:szCs w:val="24"/>
            <w:u w:val="single"/>
          </w:rPr>
          <w:t>https://www.e-publicacoes.uerj.br/rfduerj/article/view/20298</w:t>
        </w:r>
      </w:hyperlink>
      <w:r>
        <w:rPr>
          <w:sz w:val="24"/>
          <w:szCs w:val="24"/>
        </w:rPr>
        <w:t>. Acesso em: 25 ago. 2026.</w:t>
      </w:r>
    </w:p>
    <w:sectPr w:rsidR="000E37A6">
      <w:headerReference w:type="default" r:id="rId43"/>
      <w:footerReference w:type="default" r:id="rId44"/>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FB8C" w14:textId="77777777" w:rsidR="00657B71" w:rsidRDefault="00657B71">
      <w:r>
        <w:separator/>
      </w:r>
    </w:p>
  </w:endnote>
  <w:endnote w:type="continuationSeparator" w:id="0">
    <w:p w14:paraId="59C84FD1" w14:textId="77777777" w:rsidR="00657B71" w:rsidRDefault="00657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742D5F5-C176-4B04-B86B-0E2613ABCDE6}"/>
  </w:font>
  <w:font w:name="Calibri">
    <w:panose1 w:val="020F0502020204030204"/>
    <w:charset w:val="00"/>
    <w:family w:val="swiss"/>
    <w:pitch w:val="variable"/>
    <w:sig w:usb0="E4002EFF" w:usb1="C200ACFF" w:usb2="00000009" w:usb3="00000000" w:csb0="000001FF" w:csb1="00000000"/>
    <w:embedRegular r:id="rId2" w:fontKey="{6C573FE4-17D4-4BC6-BA03-A556CB592216}"/>
  </w:font>
  <w:font w:name="Cambria">
    <w:panose1 w:val="02040503050406030204"/>
    <w:charset w:val="00"/>
    <w:family w:val="roman"/>
    <w:pitch w:val="variable"/>
    <w:sig w:usb0="E00006FF" w:usb1="420024FF" w:usb2="02000000" w:usb3="00000000" w:csb0="0000019F" w:csb1="00000000"/>
    <w:embedRegular r:id="rId3" w:fontKey="{EC7C7838-93EF-4FE4-A6A6-F7AC56638B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A8E4" w14:textId="77777777" w:rsidR="000E37A6" w:rsidRDefault="00BF21CD">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3CBE9725" wp14:editId="76B92F92">
          <wp:simplePos x="0" y="0"/>
          <wp:positionH relativeFrom="column">
            <wp:posOffset>-161923</wp:posOffset>
          </wp:positionH>
          <wp:positionV relativeFrom="paragraph">
            <wp:posOffset>0</wp:posOffset>
          </wp:positionV>
          <wp:extent cx="5643037" cy="103759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2B9AD7FE" w14:textId="77777777" w:rsidR="000E37A6" w:rsidRDefault="000E37A6">
    <w:pPr>
      <w:pBdr>
        <w:top w:val="nil"/>
        <w:left w:val="nil"/>
        <w:bottom w:val="nil"/>
        <w:right w:val="nil"/>
        <w:between w:val="nil"/>
      </w:pBdr>
      <w:tabs>
        <w:tab w:val="center" w:pos="4252"/>
        <w:tab w:val="right" w:pos="8504"/>
      </w:tabs>
      <w:ind w:hanging="1418"/>
      <w:rPr>
        <w:color w:val="000000"/>
      </w:rPr>
    </w:pPr>
  </w:p>
  <w:p w14:paraId="6E5D08B5" w14:textId="77777777" w:rsidR="000E37A6" w:rsidRDefault="000E37A6">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96407" w14:textId="77777777" w:rsidR="00657B71" w:rsidRDefault="00657B71">
      <w:r>
        <w:separator/>
      </w:r>
    </w:p>
  </w:footnote>
  <w:footnote w:type="continuationSeparator" w:id="0">
    <w:p w14:paraId="598ED4C1" w14:textId="77777777" w:rsidR="00657B71" w:rsidRDefault="00657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D1CCB" w14:textId="77777777" w:rsidR="000E37A6" w:rsidRDefault="00BF21CD">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0" locked="0" layoutInCell="1" hidden="0" allowOverlap="1" wp14:anchorId="19A6E335" wp14:editId="3267373B">
          <wp:simplePos x="0" y="0"/>
          <wp:positionH relativeFrom="column">
            <wp:posOffset>-1076322</wp:posOffset>
          </wp:positionH>
          <wp:positionV relativeFrom="paragraph">
            <wp:posOffset>-449577</wp:posOffset>
          </wp:positionV>
          <wp:extent cx="7573328" cy="1400175"/>
          <wp:effectExtent l="0" t="0" r="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66B07"/>
    <w:multiLevelType w:val="multilevel"/>
    <w:tmpl w:val="8DCC4C16"/>
    <w:lvl w:ilvl="0">
      <w:start w:val="1"/>
      <w:numFmt w:val="upperLetter"/>
      <w:lvlText w:val="(%1)"/>
      <w:lvlJc w:val="left"/>
      <w:pPr>
        <w:ind w:left="810" w:hanging="45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785075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TrueTypeFonts/>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7A6"/>
    <w:rsid w:val="000E37A6"/>
    <w:rsid w:val="00434258"/>
    <w:rsid w:val="004B52B5"/>
    <w:rsid w:val="00657B71"/>
    <w:rsid w:val="00BF21CD"/>
    <w:rsid w:val="00EB2A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99016"/>
  <w15:docId w15:val="{B7415EF6-7307-45D0-8C64-FD67496F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bpn.emnuvens.com.br/site/article/view/1353" TargetMode="External" /><Relationship Id="rId13" Type="http://schemas.openxmlformats.org/officeDocument/2006/relationships/hyperlink" Target="https://periodicos.processus.com.br/index.php/multi/article/view/1116" TargetMode="External" /><Relationship Id="rId18" Type="http://schemas.openxmlformats.org/officeDocument/2006/relationships/hyperlink" Target="https://periodicorease.pro.br/rease/article/view/9306" TargetMode="External" /><Relationship Id="rId26" Type="http://schemas.openxmlformats.org/officeDocument/2006/relationships/hyperlink" Target="https://doi.org/10.5007/2177-7055.2013v34n66p327" TargetMode="External" /><Relationship Id="rId39" Type="http://schemas.openxmlformats.org/officeDocument/2006/relationships/hyperlink" Target="https://doi.org/10.12957/rfd.2015.20298" TargetMode="External" /><Relationship Id="rId3" Type="http://schemas.openxmlformats.org/officeDocument/2006/relationships/settings" Target="settings.xml" /><Relationship Id="rId21" Type="http://schemas.openxmlformats.org/officeDocument/2006/relationships/hyperlink" Target="https://periodicos.furg.br/juris/article/view/14451" TargetMode="External" /><Relationship Id="rId34" Type="http://schemas.openxmlformats.org/officeDocument/2006/relationships/hyperlink" Target="https://doi.org/10.26668/IndexLawJournals/2526-0014/2015.v1i1.103" TargetMode="External" /><Relationship Id="rId42" Type="http://schemas.openxmlformats.org/officeDocument/2006/relationships/hyperlink" Target="https://www.e-publicacoes.uerj.br/rfduerj/article/view/20298" TargetMode="External" /><Relationship Id="rId7" Type="http://schemas.openxmlformats.org/officeDocument/2006/relationships/hyperlink" Target="https://abpn.emnuvens.com.br/site/article/view/1353" TargetMode="External" /><Relationship Id="rId12" Type="http://schemas.openxmlformats.org/officeDocument/2006/relationships/hyperlink" Target="https://periodicos.ufac.br/index.php/RFIR/article/view/7199" TargetMode="External" /><Relationship Id="rId17" Type="http://schemas.openxmlformats.org/officeDocument/2006/relationships/hyperlink" Target="https://periodicorease.pro.br/rease/article/view/9306" TargetMode="External" /><Relationship Id="rId25" Type="http://schemas.openxmlformats.org/officeDocument/2006/relationships/hyperlink" Target="https://doi.org/10.5007/2177-7055.2013v34n66p327" TargetMode="External" /><Relationship Id="rId33" Type="http://schemas.openxmlformats.org/officeDocument/2006/relationships/hyperlink" Target="https://doi.org/10.26668/IndexLawJournals/2526-0014/2015.v1i1.103" TargetMode="External" /><Relationship Id="rId38" Type="http://schemas.openxmlformats.org/officeDocument/2006/relationships/hyperlink" Target="https://periodicosfacesf.com.br/index.php/Legalislux/article/view/311" TargetMode="External" /><Relationship Id="rId46"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hyperlink" Target="https://doi.org/10.51891/rease.v9i4.9306" TargetMode="External" /><Relationship Id="rId20" Type="http://schemas.openxmlformats.org/officeDocument/2006/relationships/hyperlink" Target="https://doi.org/10.14295/juris.v31i2.14451" TargetMode="External" /><Relationship Id="rId29" Type="http://schemas.openxmlformats.org/officeDocument/2006/relationships/hyperlink" Target="https://doi.org/10.51891/rease.v9i9.11353" TargetMode="External" /><Relationship Id="rId41" Type="http://schemas.openxmlformats.org/officeDocument/2006/relationships/hyperlink" Target="https://www.e-publicacoes.uerj.br/rfduerj/article/view/20298"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periodicos.ufac.br/index.php/RFIR/article/view/7199" TargetMode="External" /><Relationship Id="rId24" Type="http://schemas.openxmlformats.org/officeDocument/2006/relationships/hyperlink" Target="https://periodicos.ufersa.edu.br/index.php/rmi/article/view/9931" TargetMode="External" /><Relationship Id="rId32" Type="http://schemas.openxmlformats.org/officeDocument/2006/relationships/hyperlink" Target="https://periodicorease.pro.br/rease/article/view/11353" TargetMode="External" /><Relationship Id="rId37" Type="http://schemas.openxmlformats.org/officeDocument/2006/relationships/hyperlink" Target="https://periodicosfacesf.com.br/index.php/Legalislux/article/view/311" TargetMode="External" /><Relationship Id="rId40" Type="http://schemas.openxmlformats.org/officeDocument/2006/relationships/hyperlink" Target="https://doi.org/10.12957/rfd.2015.20298" TargetMode="External" /><Relationship Id="rId45" Type="http://schemas.openxmlformats.org/officeDocument/2006/relationships/fontTable" Target="fontTable.xml" /><Relationship Id="rId5" Type="http://schemas.openxmlformats.org/officeDocument/2006/relationships/footnotes" Target="footnotes.xml" /><Relationship Id="rId15" Type="http://schemas.openxmlformats.org/officeDocument/2006/relationships/hyperlink" Target="https://doi.org/10.51891/rease.v9i4.9306" TargetMode="External" /><Relationship Id="rId23" Type="http://schemas.openxmlformats.org/officeDocument/2006/relationships/hyperlink" Target="https://periodicos.ufersa.edu.br/index.php/rmi/article/view/9931" TargetMode="External" /><Relationship Id="rId28" Type="http://schemas.openxmlformats.org/officeDocument/2006/relationships/hyperlink" Target="https://periodicos.ufsc.br/index.php/sequencia/article/view/2177-7055.2013v34n66p327" TargetMode="External" /><Relationship Id="rId36" Type="http://schemas.openxmlformats.org/officeDocument/2006/relationships/hyperlink" Target="https://indexlaw.org/index.php/revistadipic/article/view/103" TargetMode="External" /><Relationship Id="rId10" Type="http://schemas.openxmlformats.org/officeDocument/2006/relationships/hyperlink" Target="https://doi.org/10.29327/269579.8.1-8" TargetMode="External" /><Relationship Id="rId19" Type="http://schemas.openxmlformats.org/officeDocument/2006/relationships/hyperlink" Target="https://doi.org/10.14295/juris.v31i2.14451" TargetMode="External" /><Relationship Id="rId31" Type="http://schemas.openxmlformats.org/officeDocument/2006/relationships/hyperlink" Target="https://periodicorease.pro.br/rease/article/view/11353" TargetMode="External" /><Relationship Id="rId44"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yperlink" Target="https://doi.org/10.29327/269579.8.1-8" TargetMode="External" /><Relationship Id="rId14" Type="http://schemas.openxmlformats.org/officeDocument/2006/relationships/hyperlink" Target="https://periodicos.processus.com.br/index.php/multi/article/view/1116" TargetMode="External" /><Relationship Id="rId22" Type="http://schemas.openxmlformats.org/officeDocument/2006/relationships/hyperlink" Target="https://periodicos.furg.br/juris/article/view/14451" TargetMode="External" /><Relationship Id="rId27" Type="http://schemas.openxmlformats.org/officeDocument/2006/relationships/hyperlink" Target="https://periodicos.ufsc.br/index.php/sequencia/article/view/2177-7055.2013v34n66p327" TargetMode="External" /><Relationship Id="rId30" Type="http://schemas.openxmlformats.org/officeDocument/2006/relationships/hyperlink" Target="https://doi.org/10.51891/rease.v9i9.11353" TargetMode="External" /><Relationship Id="rId35" Type="http://schemas.openxmlformats.org/officeDocument/2006/relationships/hyperlink" Target="https://indexlaw.org/index.php/revistadipic/article/view/103" TargetMode="External" /><Relationship Id="rId43"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2" Type="http://schemas.openxmlformats.org/officeDocument/2006/relationships/font" Target="fonts/font2.odttf" /><Relationship Id="rId1" Type="http://schemas.openxmlformats.org/officeDocument/2006/relationships/font" Target="fonts/font1.odttf" /></Relationships>
</file>

<file path=word/_rels/footer1.xml.rels><?xml version="1.0" encoding="UTF-8" standalone="yes"?>
<Relationships xmlns="http://schemas.openxmlformats.org/package/2006/relationships"><Relationship Id="rId1" Type="http://schemas.openxmlformats.org/officeDocument/2006/relationships/image" Target="media/image2.png"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3922</Words>
  <Characters>21181</Characters>
  <Application>Microsoft Office Word</Application>
  <DocSecurity>0</DocSecurity>
  <Lines>176</Lines>
  <Paragraphs>50</Paragraphs>
  <ScaleCrop>false</ScaleCrop>
  <Company/>
  <LinksUpToDate>false</LinksUpToDate>
  <CharactersWithSpaces>25053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Andrêina Silva</cp:lastModifiedBy>
  <cp:revision>2</cp:revision>
  <dcterms:created xsi:type="dcterms:W3CDTF">2026-09-05T18:35:00Z</dcterms:created>
  <dcterms:modified xsi:type="dcterms:W3CDTF">2026-09-05T18:35:00Z</dcterms:modified>
</cp:coreProperties>
</file>