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D846" w14:textId="5D5033A3" w:rsidR="00D22A2A" w:rsidRPr="00B86EC5" w:rsidRDefault="00BA7B9A" w:rsidP="00B86EC5">
      <w:pPr>
        <w:spacing w:line="276" w:lineRule="auto"/>
        <w:jc w:val="center"/>
        <w:rPr>
          <w:rFonts w:ascii="Times" w:hAnsi="Times"/>
          <w:b/>
          <w:sz w:val="28"/>
          <w:szCs w:val="24"/>
          <w:lang w:val="es-ES"/>
        </w:rPr>
      </w:pPr>
      <w:r w:rsidRPr="00BA7B9A">
        <w:rPr>
          <w:rFonts w:ascii="Times" w:hAnsi="Times"/>
          <w:b/>
          <w:sz w:val="28"/>
          <w:szCs w:val="24"/>
          <w:lang w:val="en-US"/>
        </w:rPr>
        <w:t>MORPHOLOGY AND PHENOTYPIC PLASTICITY OF</w:t>
      </w:r>
      <w:r w:rsidR="009B10F3">
        <w:rPr>
          <w:rFonts w:ascii="Times" w:hAnsi="Times"/>
          <w:b/>
          <w:sz w:val="28"/>
          <w:szCs w:val="24"/>
          <w:lang w:val="en-US"/>
        </w:rPr>
        <w:t xml:space="preserve"> THE MICROALGA</w:t>
      </w:r>
      <w:r w:rsidR="009B10F3" w:rsidRPr="00BA7B9A">
        <w:rPr>
          <w:rFonts w:ascii="Times" w:hAnsi="Times"/>
          <w:b/>
          <w:sz w:val="28"/>
          <w:szCs w:val="24"/>
          <w:lang w:val="en-US"/>
        </w:rPr>
        <w:t xml:space="preserve"> </w:t>
      </w:r>
      <w:proofErr w:type="spellStart"/>
      <w:r w:rsidRPr="00BA7B9A">
        <w:rPr>
          <w:rFonts w:ascii="Times" w:hAnsi="Times"/>
          <w:b/>
          <w:i/>
          <w:sz w:val="28"/>
          <w:szCs w:val="24"/>
          <w:lang w:val="en-US"/>
        </w:rPr>
        <w:t>Diplosphaera</w:t>
      </w:r>
      <w:proofErr w:type="spellEnd"/>
      <w:r w:rsidRPr="00BA7B9A">
        <w:rPr>
          <w:rFonts w:ascii="Times" w:hAnsi="Times"/>
          <w:b/>
          <w:sz w:val="28"/>
          <w:szCs w:val="24"/>
          <w:lang w:val="en-US"/>
        </w:rPr>
        <w:t xml:space="preserve"> sp. </w:t>
      </w:r>
      <w:r w:rsidR="00265659" w:rsidRPr="00B86EC5">
        <w:rPr>
          <w:rFonts w:ascii="Times" w:hAnsi="Times"/>
          <w:b/>
          <w:sz w:val="28"/>
          <w:szCs w:val="24"/>
          <w:lang w:val="es-ES"/>
        </w:rPr>
        <w:t xml:space="preserve">ASSOCIATED WITH </w:t>
      </w:r>
      <w:r w:rsidRPr="00B86EC5">
        <w:rPr>
          <w:rFonts w:ascii="Times" w:hAnsi="Times"/>
          <w:b/>
          <w:i/>
          <w:sz w:val="28"/>
          <w:szCs w:val="24"/>
          <w:lang w:val="es-ES"/>
        </w:rPr>
        <w:t>Buellia zoharyi</w:t>
      </w:r>
      <w:r w:rsidRPr="00B86EC5">
        <w:rPr>
          <w:rFonts w:ascii="Times" w:hAnsi="Times"/>
          <w:b/>
          <w:sz w:val="28"/>
          <w:szCs w:val="24"/>
          <w:lang w:val="es-ES"/>
        </w:rPr>
        <w:t xml:space="preserve"> </w:t>
      </w:r>
      <w:r w:rsidR="009B10F3" w:rsidRPr="00B86EC5">
        <w:rPr>
          <w:rFonts w:ascii="Times" w:hAnsi="Times"/>
          <w:b/>
          <w:sz w:val="28"/>
          <w:szCs w:val="24"/>
          <w:lang w:val="es-ES"/>
        </w:rPr>
        <w:t>LICHEN THALLI</w:t>
      </w:r>
    </w:p>
    <w:p w14:paraId="7F7EA3F3" w14:textId="73524652" w:rsidR="00BA7B9A" w:rsidRPr="00F0113F" w:rsidRDefault="00BA7B9A" w:rsidP="00B86EC5">
      <w:pPr>
        <w:spacing w:after="120" w:line="276" w:lineRule="auto"/>
        <w:jc w:val="center"/>
        <w:rPr>
          <w:rFonts w:ascii="Times" w:hAnsi="Times"/>
          <w:sz w:val="24"/>
          <w:szCs w:val="24"/>
          <w:lang w:val="es-ES"/>
        </w:rPr>
      </w:pPr>
      <w:r w:rsidRPr="00F0113F">
        <w:rPr>
          <w:rFonts w:ascii="Times" w:hAnsi="Times"/>
          <w:sz w:val="24"/>
          <w:szCs w:val="24"/>
          <w:lang w:val="es-ES"/>
        </w:rPr>
        <w:t xml:space="preserve">Salvador </w:t>
      </w:r>
      <w:r w:rsidRPr="00CA00C3">
        <w:rPr>
          <w:rFonts w:ascii="Times" w:hAnsi="Times"/>
          <w:sz w:val="24"/>
          <w:szCs w:val="24"/>
          <w:lang w:val="es-ES"/>
        </w:rPr>
        <w:t>Chiva*;</w:t>
      </w:r>
      <w:r w:rsidR="00862434" w:rsidRPr="00CA00C3">
        <w:rPr>
          <w:rFonts w:ascii="Times" w:hAnsi="Times"/>
          <w:sz w:val="24"/>
          <w:szCs w:val="24"/>
          <w:lang w:val="es-ES"/>
        </w:rPr>
        <w:t xml:space="preserve"> </w:t>
      </w:r>
      <w:r w:rsidR="00CA00C3" w:rsidRPr="00CA00C3">
        <w:rPr>
          <w:rFonts w:ascii="Times" w:hAnsi="Times"/>
          <w:sz w:val="24"/>
          <w:szCs w:val="24"/>
          <w:lang w:val="es-ES"/>
        </w:rPr>
        <w:t xml:space="preserve">César Daniel </w:t>
      </w:r>
      <w:proofErr w:type="spellStart"/>
      <w:r w:rsidR="00CA00C3" w:rsidRPr="00CA00C3">
        <w:rPr>
          <w:rFonts w:ascii="Times" w:hAnsi="Times"/>
          <w:sz w:val="24"/>
          <w:szCs w:val="24"/>
          <w:lang w:val="es-ES"/>
        </w:rPr>
        <w:t>Bordenave</w:t>
      </w:r>
      <w:proofErr w:type="spellEnd"/>
      <w:r w:rsidR="00862434" w:rsidRPr="00CA00C3">
        <w:rPr>
          <w:rFonts w:ascii="Times" w:hAnsi="Times"/>
          <w:sz w:val="24"/>
          <w:szCs w:val="24"/>
          <w:lang w:val="es-ES"/>
        </w:rPr>
        <w:t>;</w:t>
      </w:r>
      <w:r w:rsidRPr="00CA00C3">
        <w:rPr>
          <w:rFonts w:ascii="Times" w:hAnsi="Times"/>
          <w:sz w:val="24"/>
          <w:szCs w:val="24"/>
          <w:lang w:val="es-ES"/>
        </w:rPr>
        <w:t xml:space="preserve"> Patricia Moya;</w:t>
      </w:r>
      <w:r w:rsidRPr="00F0113F">
        <w:rPr>
          <w:rFonts w:ascii="Times" w:hAnsi="Times"/>
          <w:sz w:val="24"/>
          <w:szCs w:val="24"/>
          <w:lang w:val="es-ES"/>
        </w:rPr>
        <w:t xml:space="preserve"> Eva Barreno</w:t>
      </w:r>
    </w:p>
    <w:p w14:paraId="47BFE893" w14:textId="465DDD38" w:rsidR="00D22A2A" w:rsidRDefault="00BA7B9A" w:rsidP="00B86EC5">
      <w:pPr>
        <w:spacing w:after="120" w:line="276" w:lineRule="auto"/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B47417">
        <w:rPr>
          <w:rFonts w:ascii="Times" w:hAnsi="Times"/>
          <w:sz w:val="24"/>
          <w:szCs w:val="24"/>
          <w:lang w:val="es-ES"/>
        </w:rPr>
        <w:t xml:space="preserve">Botánica, ICBIBE, </w:t>
      </w:r>
      <w:proofErr w:type="spellStart"/>
      <w:r w:rsidRPr="00B47417">
        <w:rPr>
          <w:rFonts w:ascii="Times" w:hAnsi="Times"/>
          <w:sz w:val="24"/>
          <w:szCs w:val="24"/>
          <w:lang w:val="es-ES"/>
        </w:rPr>
        <w:t>Fac</w:t>
      </w:r>
      <w:proofErr w:type="spellEnd"/>
      <w:r w:rsidRPr="00B47417">
        <w:rPr>
          <w:rFonts w:ascii="Times" w:hAnsi="Times"/>
          <w:sz w:val="24"/>
          <w:szCs w:val="24"/>
          <w:lang w:val="es-ES"/>
        </w:rPr>
        <w:t xml:space="preserve">. CC. Biológicas, Universitat de València, C/ Dr. Moliner, 50. </w:t>
      </w:r>
      <w:r w:rsidRPr="00BA7B9A">
        <w:rPr>
          <w:rFonts w:ascii="Times" w:hAnsi="Times"/>
          <w:sz w:val="24"/>
          <w:szCs w:val="24"/>
          <w:lang w:val="en-US"/>
        </w:rPr>
        <w:t>46100-Burjassot, Valencia, Spain; *E-mail: salvador.chiva@uv.es</w:t>
      </w:r>
      <w:r w:rsidR="0041562C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</w:p>
    <w:p w14:paraId="19FC80E4" w14:textId="77777777" w:rsidR="00EF2A7D" w:rsidRPr="00EF2A7D" w:rsidRDefault="00EF2A7D" w:rsidP="00B86EC5">
      <w:pPr>
        <w:spacing w:after="120" w:line="276" w:lineRule="auto"/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</w:p>
    <w:p w14:paraId="1348DDA8" w14:textId="760C9F82" w:rsidR="00260A60" w:rsidRPr="00EF2A7D" w:rsidRDefault="00133982" w:rsidP="00B86EC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improved assessment of organismal diversity in lichens has been possible by applying </w:t>
      </w:r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environmental DNA </w:t>
      </w:r>
      <w:proofErr w:type="spellStart"/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>metabarcoding</w:t>
      </w:r>
      <w:proofErr w:type="spellEnd"/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analyses</w:t>
      </w:r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co</w:t>
      </w:r>
      <w:bookmarkStart w:id="0" w:name="_GoBack"/>
      <w:bookmarkEnd w:id="0"/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rroborate the concept </w:t>
      </w:r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lichen </w:t>
      </w:r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>thalli</w:t>
      </w:r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125B5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as </w:t>
      </w:r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potential source </w:t>
      </w:r>
      <w:r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of </w:t>
      </w:r>
      <w:r w:rsidR="00A125B5" w:rsidRPr="001339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green microalgae diversity and variability. </w:t>
      </w:r>
      <w:proofErr w:type="spellStart"/>
      <w:r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Diplosphaera</w:t>
      </w:r>
      <w:proofErr w:type="spellEnd"/>
      <w:r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10F3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spp. </w:t>
      </w:r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microalgae have been reported as main </w:t>
      </w:r>
      <w:proofErr w:type="spellStart"/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phycobiont</w:t>
      </w:r>
      <w:r w:rsidR="009B10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</w:t>
      </w:r>
      <w:proofErr w:type="spellEnd"/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in several </w:t>
      </w:r>
      <w:proofErr w:type="spellStart"/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Verrucariaceae</w:t>
      </w:r>
      <w:proofErr w:type="spellEnd"/>
      <w:r w:rsidR="009B10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;</w:t>
      </w:r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B10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therefore</w:t>
      </w:r>
      <w:r w:rsidR="00B47417" w:rsidRPr="00B4741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even though its best known mode of life is as a lichen symbiont, it can also be found associated with the surface of</w:t>
      </w:r>
      <w:r w:rsidR="009B10F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lichens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this study, a </w:t>
      </w:r>
      <w:proofErr w:type="spellStart"/>
      <w:r w:rsidR="00BA7B9A"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Diplosphaera</w:t>
      </w:r>
      <w:proofErr w:type="spellEnd"/>
      <w:r w:rsid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strain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isolated from </w:t>
      </w:r>
      <w:proofErr w:type="spellStart"/>
      <w:r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Buellia</w:t>
      </w:r>
      <w:proofErr w:type="spellEnd"/>
      <w:r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zoharyi</w:t>
      </w:r>
      <w:proofErr w:type="spellEnd"/>
      <w:r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was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subjected to different treatments to test the </w:t>
      </w:r>
      <w:r w:rsid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described</w:t>
      </w:r>
      <w:r w:rsidR="005B2BBE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phenotypic plasticity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assigned to </w:t>
      </w:r>
      <w:proofErr w:type="spellStart"/>
      <w:r w:rsidR="004211C6" w:rsidRPr="00862434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>Stichococcus</w:t>
      </w:r>
      <w:proofErr w:type="spellEnd"/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-like organism </w:t>
      </w:r>
      <w:r w:rsid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cultivated under different c</w:t>
      </w:r>
      <w:r w:rsidR="005B2BBE" w:rsidRPr="005B2B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onditions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. The strain was cultivated under these different conditions: a) </w:t>
      </w:r>
      <w:r w:rsidR="00BA7B9A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standard conditions: 18°C</w:t>
      </w:r>
      <w:r w:rsidR="004211C6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, 16:8 h light in 3N-BBM+V</w:t>
      </w:r>
      <w:r w:rsidR="00BA7B9A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r w:rsidR="004211C6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b) </w:t>
      </w:r>
      <w:r w:rsidR="00BA7B9A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poor conditions: </w:t>
      </w:r>
      <w:r w:rsidR="004211C6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18°C, 16:8 h light in BBM, c) </w:t>
      </w:r>
      <w:r w:rsidR="00BA7B9A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rich conditions: </w:t>
      </w:r>
      <w:r w:rsidR="004211C6" w:rsidRP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18°C, 16:8 h light in 3N-BBM+GC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low temperature: 8°C, same conditions as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d)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standard,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e)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poor and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f)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rich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Ultraestructural</w:t>
      </w:r>
      <w:proofErr w:type="spellEnd"/>
      <w:r w:rsidR="00F83826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observations were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performed using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BA7B9A" w:rsidRPr="00F0113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GB"/>
        </w:rPr>
        <w:t xml:space="preserve">light microscopy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at three we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eks old cultures. T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he response to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these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different conditions was characterized using </w:t>
      </w:r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pulse</w:t>
      </w:r>
      <w:r w:rsidR="0086243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-</w:t>
      </w:r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modulated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chlorophyll fluorescence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measurements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</w:t>
      </w:r>
      <w:r w:rsidR="00E04A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610EA" w:rsidRP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Cell</w:t>
      </w:r>
      <w:r w:rsidR="009610E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ular </w:t>
      </w:r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morphology</w:t>
      </w:r>
      <w:r w:rsidR="009610E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of the </w:t>
      </w:r>
      <w:r w:rsidR="00F83826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strain 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seems not to be affected by the t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emperature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and</w:t>
      </w:r>
      <w:r w:rsidR="00F8382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9610E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elongated shape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is maintained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at both low and standard temperatures. 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However, culture media composition clearly affects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 morphology and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rich 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media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showed the bigger and more elongated cells.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According to the chlorophyll fluorescenc</w:t>
      </w:r>
      <w:r w:rsidR="00EF2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e measurements, </w:t>
      </w:r>
      <w:proofErr w:type="spellStart"/>
      <w:r w:rsidR="00EF2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Fv</w:t>
      </w:r>
      <w:proofErr w:type="spellEnd"/>
      <w:r w:rsidR="00EF2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="00EF2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</w:t>
      </w:r>
      <w:proofErr w:type="spellEnd"/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values were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higher at low temperatur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es (d, e, f) than at standard conditions (a, b, c) and showed a s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ignificant decrease 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in </w:t>
      </w:r>
      <w:r w:rsidR="004211C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rich+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18ºC conditions </w:t>
      </w:r>
      <w:r w:rsidR="009610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(c). 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We hypothesized </w:t>
      </w:r>
      <w:r w:rsidR="00E04A09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combination of rich media and high temperatures can lead to cell damage.</w:t>
      </w:r>
      <w:r w:rsidR="00E04A0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Our results confirmed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the characteristic phenotypical plasticity of the genus</w:t>
      </w:r>
      <w:r w:rsidR="00BA7B9A" w:rsidRPr="00133982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E04A09" w:rsidRP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and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highlight the importance of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microscopic analyses </w:t>
      </w:r>
      <w:r w:rsidR="00EF2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of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the different cel</w:t>
      </w:r>
      <w:r w:rsidR="00E04A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l morphologies for their accurate description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and characterization.</w:t>
      </w:r>
      <w:r w:rsidR="00EF2A7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7B9A" w:rsidRPr="0013398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Funding: PROMETEO/2017/039(GVA).</w:t>
      </w:r>
    </w:p>
    <w:sectPr w:rsidR="00260A60" w:rsidRPr="00EF2A7D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35DF"/>
    <w:multiLevelType w:val="hybridMultilevel"/>
    <w:tmpl w:val="EEE6A7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A"/>
    <w:rsid w:val="000C0216"/>
    <w:rsid w:val="000F146E"/>
    <w:rsid w:val="00133982"/>
    <w:rsid w:val="00200EAE"/>
    <w:rsid w:val="00215F6C"/>
    <w:rsid w:val="00226CB5"/>
    <w:rsid w:val="002416A1"/>
    <w:rsid w:val="00260A60"/>
    <w:rsid w:val="00265659"/>
    <w:rsid w:val="002822A0"/>
    <w:rsid w:val="002F4395"/>
    <w:rsid w:val="003911A7"/>
    <w:rsid w:val="0041562C"/>
    <w:rsid w:val="004211C6"/>
    <w:rsid w:val="005B2BBE"/>
    <w:rsid w:val="0062477E"/>
    <w:rsid w:val="006C6BAE"/>
    <w:rsid w:val="00862434"/>
    <w:rsid w:val="00894CF2"/>
    <w:rsid w:val="009610EA"/>
    <w:rsid w:val="009B10F3"/>
    <w:rsid w:val="00A125B5"/>
    <w:rsid w:val="00B47417"/>
    <w:rsid w:val="00B63FA9"/>
    <w:rsid w:val="00B86EC5"/>
    <w:rsid w:val="00BA7B9A"/>
    <w:rsid w:val="00BD2764"/>
    <w:rsid w:val="00C87271"/>
    <w:rsid w:val="00CA00C3"/>
    <w:rsid w:val="00D22A2A"/>
    <w:rsid w:val="00D33B09"/>
    <w:rsid w:val="00E04A09"/>
    <w:rsid w:val="00E74D8F"/>
    <w:rsid w:val="00E7764D"/>
    <w:rsid w:val="00EF2A7D"/>
    <w:rsid w:val="00F0113F"/>
    <w:rsid w:val="00F22FA2"/>
    <w:rsid w:val="00F44110"/>
    <w:rsid w:val="00F83826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A7B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7B9A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7B9A"/>
    <w:rPr>
      <w:rFonts w:eastAsiaTheme="minorHAns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59"/>
    <w:rPr>
      <w:rFonts w:ascii="Segoe UI" w:eastAsiaTheme="minorHAnsi" w:hAnsi="Segoe UI" w:cs="Segoe UI"/>
      <w:sz w:val="18"/>
      <w:szCs w:val="18"/>
      <w:lang w:val="pt-BR"/>
    </w:rPr>
  </w:style>
  <w:style w:type="paragraph" w:styleId="Prrafodelista">
    <w:name w:val="List Paragraph"/>
    <w:basedOn w:val="Normal"/>
    <w:uiPriority w:val="34"/>
    <w:qFormat/>
    <w:rsid w:val="0042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Salva</cp:lastModifiedBy>
  <cp:revision>2</cp:revision>
  <cp:lastPrinted>2021-04-13T15:59:00Z</cp:lastPrinted>
  <dcterms:created xsi:type="dcterms:W3CDTF">2021-04-14T10:21:00Z</dcterms:created>
  <dcterms:modified xsi:type="dcterms:W3CDTF">2021-04-14T10:21:00Z</dcterms:modified>
</cp:coreProperties>
</file>