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C4EA" w14:textId="7D57D535" w:rsidR="008625E4" w:rsidRPr="00501425" w:rsidRDefault="008056F0">
      <w:pPr>
        <w:rPr>
          <w:lang w:val="en-US"/>
        </w:rPr>
      </w:pPr>
      <w:r w:rsidRPr="00501425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D9B3A68" wp14:editId="7F4A8731">
            <wp:simplePos x="0" y="0"/>
            <wp:positionH relativeFrom="margin">
              <wp:posOffset>-1066165</wp:posOffset>
            </wp:positionH>
            <wp:positionV relativeFrom="paragraph">
              <wp:posOffset>-753708</wp:posOffset>
            </wp:positionV>
            <wp:extent cx="7530353" cy="1035685"/>
            <wp:effectExtent l="0" t="0" r="0" b="0"/>
            <wp:wrapNone/>
            <wp:docPr id="14791486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48633" name="Imagem 147914863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 b="28377"/>
                    <a:stretch/>
                  </pic:blipFill>
                  <pic:spPr bwMode="auto">
                    <a:xfrm>
                      <a:off x="0" y="0"/>
                      <a:ext cx="7530353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F6" w:rsidRPr="00501425">
        <w:rPr>
          <w:lang w:val="en-US"/>
        </w:rPr>
        <w:t xml:space="preserve"> </w:t>
      </w:r>
    </w:p>
    <w:p w14:paraId="2BFC7D59" w14:textId="77777777" w:rsidR="003B14D0" w:rsidRDefault="003B14D0" w:rsidP="003B14D0">
      <w:pPr>
        <w:spacing w:after="120"/>
        <w:ind w:right="-427"/>
        <w:jc w:val="center"/>
        <w:rPr>
          <w:color w:val="FF0000"/>
          <w:lang w:val="en-US"/>
        </w:rPr>
      </w:pPr>
    </w:p>
    <w:p w14:paraId="4570D7CF" w14:textId="092B05D3" w:rsidR="00015FC6" w:rsidRDefault="00015FC6" w:rsidP="00015FC6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15FC6">
        <w:rPr>
          <w:rFonts w:ascii="Arial" w:hAnsi="Arial" w:cs="Arial"/>
          <w:b/>
          <w:bCs/>
          <w:color w:val="auto"/>
          <w:sz w:val="28"/>
          <w:szCs w:val="28"/>
        </w:rPr>
        <w:t>VALIDATION OF A H</w:t>
      </w:r>
      <w:r w:rsidR="00E344AE">
        <w:rPr>
          <w:rFonts w:ascii="Arial" w:hAnsi="Arial" w:cs="Arial"/>
          <w:b/>
          <w:bCs/>
          <w:color w:val="auto"/>
          <w:sz w:val="28"/>
          <w:szCs w:val="28"/>
        </w:rPr>
        <w:t xml:space="preserve">PLC </w:t>
      </w:r>
      <w:r w:rsidRPr="00015FC6">
        <w:rPr>
          <w:rFonts w:ascii="Arial" w:hAnsi="Arial" w:cs="Arial"/>
          <w:b/>
          <w:bCs/>
          <w:color w:val="auto"/>
          <w:sz w:val="28"/>
          <w:szCs w:val="28"/>
        </w:rPr>
        <w:t xml:space="preserve">METHOD FOR THE </w:t>
      </w:r>
      <w:r w:rsidR="00E344AE">
        <w:rPr>
          <w:rFonts w:ascii="Arial" w:hAnsi="Arial" w:cs="Arial"/>
          <w:b/>
          <w:bCs/>
          <w:color w:val="auto"/>
          <w:sz w:val="28"/>
          <w:szCs w:val="28"/>
        </w:rPr>
        <w:t xml:space="preserve">SIMULTANEOUS </w:t>
      </w:r>
      <w:r w:rsidRPr="00015FC6">
        <w:rPr>
          <w:rFonts w:ascii="Arial" w:hAnsi="Arial" w:cs="Arial"/>
          <w:b/>
          <w:bCs/>
          <w:color w:val="auto"/>
          <w:sz w:val="28"/>
          <w:szCs w:val="28"/>
        </w:rPr>
        <w:t xml:space="preserve">ANALYSIS OF NORFLOXACIN AND </w:t>
      </w:r>
      <w:r w:rsidR="00E344AE">
        <w:rPr>
          <w:rFonts w:ascii="Arial" w:hAnsi="Arial" w:cs="Arial"/>
          <w:b/>
          <w:bCs/>
          <w:color w:val="auto"/>
          <w:sz w:val="28"/>
          <w:szCs w:val="28"/>
        </w:rPr>
        <w:t xml:space="preserve">A </w:t>
      </w:r>
      <w:r w:rsidRPr="00015FC6">
        <w:rPr>
          <w:rFonts w:ascii="Arial" w:hAnsi="Arial" w:cs="Arial"/>
          <w:b/>
          <w:bCs/>
          <w:color w:val="auto"/>
          <w:sz w:val="28"/>
          <w:szCs w:val="28"/>
        </w:rPr>
        <w:t>THIOPHEN</w:t>
      </w:r>
      <w:r w:rsidR="00E344AE">
        <w:rPr>
          <w:rFonts w:ascii="Arial" w:hAnsi="Arial" w:cs="Arial"/>
          <w:b/>
          <w:bCs/>
          <w:color w:val="auto"/>
          <w:sz w:val="28"/>
          <w:szCs w:val="28"/>
        </w:rPr>
        <w:t>E</w:t>
      </w:r>
      <w:r w:rsidRPr="00015FC6">
        <w:rPr>
          <w:rFonts w:ascii="Arial" w:hAnsi="Arial" w:cs="Arial"/>
          <w:b/>
          <w:bCs/>
          <w:color w:val="auto"/>
          <w:sz w:val="28"/>
          <w:szCs w:val="28"/>
        </w:rPr>
        <w:t xml:space="preserve"> DERIVATIVE </w:t>
      </w:r>
    </w:p>
    <w:p w14:paraId="24103F81" w14:textId="77777777" w:rsidR="00015FC6" w:rsidRDefault="00015FC6" w:rsidP="00015FC6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087AC9C" w14:textId="09AFCCEB" w:rsidR="00936C7A" w:rsidRDefault="005F0753" w:rsidP="00015FC6">
      <w:pPr>
        <w:pStyle w:val="Default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  <w:lang w:val="en-US"/>
        </w:rPr>
        <w:t>Aléxia G. Dias</w:t>
      </w:r>
      <w:r w:rsidR="00936C7A" w:rsidRPr="00501425">
        <w:rPr>
          <w:rFonts w:ascii="Arial" w:eastAsia="Arial" w:hAnsi="Arial" w:cs="Arial"/>
          <w:b/>
          <w:sz w:val="20"/>
          <w:szCs w:val="20"/>
          <w:lang w:val="en-US"/>
        </w:rPr>
        <w:t xml:space="preserve"> (</w:t>
      </w:r>
      <w:r w:rsidR="008056F0" w:rsidRPr="00501425">
        <w:rPr>
          <w:rFonts w:ascii="Arial" w:eastAsia="Arial" w:hAnsi="Arial" w:cs="Arial"/>
          <w:b/>
          <w:sz w:val="20"/>
          <w:szCs w:val="20"/>
          <w:lang w:val="en-US"/>
        </w:rPr>
        <w:t>PG</w:t>
      </w:r>
      <w:r w:rsidR="00936C7A" w:rsidRPr="00501425">
        <w:rPr>
          <w:rFonts w:ascii="Arial" w:eastAsia="Arial" w:hAnsi="Arial" w:cs="Arial"/>
          <w:b/>
          <w:sz w:val="20"/>
          <w:szCs w:val="20"/>
          <w:lang w:val="en-US"/>
        </w:rPr>
        <w:t>)</w:t>
      </w:r>
      <w:r w:rsidR="00936C7A" w:rsidRPr="00501425">
        <w:rPr>
          <w:rFonts w:ascii="Arial" w:eastAsia="Arial" w:hAnsi="Arial" w:cs="Arial"/>
          <w:b/>
          <w:sz w:val="20"/>
          <w:szCs w:val="20"/>
          <w:vertAlign w:val="superscript"/>
          <w:lang w:val="en-US"/>
        </w:rPr>
        <w:t>1</w:t>
      </w:r>
      <w:r w:rsidRPr="005F0753">
        <w:rPr>
          <w:rFonts w:ascii="Arial" w:hAnsi="Arial" w:cs="Arial"/>
          <w:b/>
          <w:bCs/>
          <w:sz w:val="20"/>
          <w:szCs w:val="20"/>
        </w:rPr>
        <w:t xml:space="preserve">; </w:t>
      </w:r>
      <w:proofErr w:type="spellStart"/>
      <w:r w:rsidRPr="005F0753">
        <w:rPr>
          <w:rFonts w:ascii="Arial" w:hAnsi="Arial" w:cs="Arial"/>
          <w:b/>
          <w:bCs/>
          <w:sz w:val="20"/>
          <w:szCs w:val="20"/>
        </w:rPr>
        <w:t>Izabele</w:t>
      </w:r>
      <w:proofErr w:type="spellEnd"/>
      <w:r w:rsidRPr="005F07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S.</w:t>
      </w:r>
      <w:r w:rsidR="002D51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753">
        <w:rPr>
          <w:rFonts w:ascii="Arial" w:hAnsi="Arial" w:cs="Arial"/>
          <w:b/>
          <w:bCs/>
          <w:sz w:val="20"/>
          <w:szCs w:val="20"/>
        </w:rPr>
        <w:t>Araújo</w:t>
      </w:r>
      <w:r>
        <w:rPr>
          <w:rFonts w:ascii="Arial" w:hAnsi="Arial" w:cs="Arial"/>
          <w:b/>
          <w:bCs/>
          <w:sz w:val="20"/>
          <w:szCs w:val="20"/>
        </w:rPr>
        <w:t xml:space="preserve"> (PG)</w:t>
      </w:r>
      <w:r w:rsidRPr="005F0753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5F0753">
        <w:rPr>
          <w:rFonts w:ascii="Arial" w:hAnsi="Arial" w:cs="Arial"/>
          <w:b/>
          <w:bCs/>
          <w:sz w:val="20"/>
          <w:szCs w:val="20"/>
        </w:rPr>
        <w:t>;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753">
        <w:rPr>
          <w:rFonts w:ascii="Arial" w:hAnsi="Arial" w:cs="Arial"/>
          <w:b/>
          <w:bCs/>
          <w:sz w:val="20"/>
          <w:szCs w:val="20"/>
        </w:rPr>
        <w:t>Priscilla A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5F075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S.</w:t>
      </w:r>
      <w:r w:rsidRPr="005F0753">
        <w:rPr>
          <w:rFonts w:ascii="Arial" w:hAnsi="Arial" w:cs="Arial"/>
          <w:b/>
          <w:bCs/>
          <w:sz w:val="20"/>
          <w:szCs w:val="20"/>
        </w:rPr>
        <w:t xml:space="preserve"> Fernandes</w:t>
      </w:r>
      <w:r>
        <w:rPr>
          <w:rFonts w:ascii="Arial" w:hAnsi="Arial" w:cs="Arial"/>
          <w:b/>
          <w:bCs/>
          <w:sz w:val="20"/>
          <w:szCs w:val="20"/>
        </w:rPr>
        <w:t xml:space="preserve"> (PG)</w:t>
      </w:r>
      <w:r w:rsidRPr="005F0753">
        <w:rPr>
          <w:rFonts w:ascii="Arial" w:hAnsi="Arial" w:cs="Arial"/>
          <w:b/>
          <w:bCs/>
          <w:sz w:val="20"/>
          <w:szCs w:val="20"/>
          <w:vertAlign w:val="superscript"/>
        </w:rPr>
        <w:t>3</w:t>
      </w:r>
      <w:r w:rsidR="002D510F"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 w:rsidR="002D510F">
        <w:rPr>
          <w:rFonts w:ascii="Arial-BoldMT" w:hAnsi="Arial-BoldMT" w:cs="Arial-BoldMT"/>
          <w:b/>
          <w:bCs/>
          <w:sz w:val="20"/>
          <w:szCs w:val="20"/>
        </w:rPr>
        <w:t>;</w:t>
      </w:r>
      <w:r w:rsidR="0087592F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 w:rsidR="002D510F">
        <w:rPr>
          <w:rFonts w:ascii="Arial-BoldMT" w:hAnsi="Arial-BoldMT" w:cs="Arial-BoldMT"/>
          <w:b/>
          <w:bCs/>
          <w:sz w:val="20"/>
          <w:szCs w:val="20"/>
        </w:rPr>
        <w:t>Rodrigo S. A. Araújo (PG)</w:t>
      </w:r>
      <w:r w:rsidR="002D510F" w:rsidRPr="002D510F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="002D510F">
        <w:rPr>
          <w:rFonts w:ascii="Arial" w:hAnsi="Arial" w:cs="Arial"/>
          <w:b/>
          <w:bCs/>
          <w:sz w:val="20"/>
          <w:szCs w:val="20"/>
        </w:rPr>
        <w:t>;</w:t>
      </w:r>
      <w:r w:rsidR="008759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7592F">
        <w:rPr>
          <w:rFonts w:ascii="Arial" w:hAnsi="Arial" w:cs="Arial"/>
          <w:b/>
          <w:bCs/>
          <w:sz w:val="20"/>
          <w:szCs w:val="20"/>
        </w:rPr>
        <w:t>E</w:t>
      </w:r>
      <w:r w:rsidR="002D510F" w:rsidRPr="005F0753">
        <w:rPr>
          <w:rFonts w:ascii="Arial" w:hAnsi="Arial" w:cs="Arial"/>
          <w:b/>
          <w:bCs/>
          <w:sz w:val="20"/>
          <w:szCs w:val="20"/>
        </w:rPr>
        <w:t>lquio</w:t>
      </w:r>
      <w:proofErr w:type="spellEnd"/>
      <w:r w:rsidR="002D510F" w:rsidRPr="005F075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F0753">
        <w:rPr>
          <w:rFonts w:ascii="Arial" w:hAnsi="Arial" w:cs="Arial"/>
          <w:b/>
          <w:bCs/>
          <w:sz w:val="20"/>
          <w:szCs w:val="20"/>
        </w:rPr>
        <w:t>E</w:t>
      </w:r>
      <w:r w:rsidR="002D510F">
        <w:rPr>
          <w:rFonts w:ascii="Arial" w:hAnsi="Arial" w:cs="Arial"/>
          <w:b/>
          <w:bCs/>
          <w:sz w:val="20"/>
          <w:szCs w:val="20"/>
        </w:rPr>
        <w:t>. Oliveira (</w:t>
      </w:r>
      <w:proofErr w:type="spellStart"/>
      <w:r w:rsidR="002D510F">
        <w:rPr>
          <w:rFonts w:ascii="Arial" w:hAnsi="Arial" w:cs="Arial"/>
          <w:b/>
          <w:bCs/>
          <w:sz w:val="20"/>
          <w:szCs w:val="20"/>
        </w:rPr>
        <w:t>Prof</w:t>
      </w:r>
      <w:proofErr w:type="spellEnd"/>
      <w:r w:rsidR="002D510F">
        <w:rPr>
          <w:rFonts w:ascii="Arial" w:hAnsi="Arial" w:cs="Arial"/>
          <w:b/>
          <w:bCs/>
          <w:sz w:val="20"/>
          <w:szCs w:val="20"/>
        </w:rPr>
        <w:t>)</w:t>
      </w:r>
      <w:r w:rsidR="002D510F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2D510F">
        <w:rPr>
          <w:rFonts w:ascii="Arial" w:eastAsia="Arial" w:hAnsi="Arial" w:cs="Arial"/>
          <w:bCs/>
          <w:sz w:val="20"/>
          <w:szCs w:val="20"/>
          <w:lang w:val="en-US"/>
        </w:rPr>
        <w:t xml:space="preserve">; </w:t>
      </w:r>
      <w:r w:rsidR="002D510F">
        <w:rPr>
          <w:rFonts w:ascii="Arial-BoldMT" w:hAnsi="Arial-BoldMT" w:cs="Arial-BoldMT"/>
          <w:b/>
          <w:bCs/>
          <w:sz w:val="20"/>
          <w:szCs w:val="20"/>
        </w:rPr>
        <w:t>Francisco J. B. Mendonça Junior (</w:t>
      </w:r>
      <w:proofErr w:type="spellStart"/>
      <w:r w:rsidR="002D510F">
        <w:rPr>
          <w:rFonts w:ascii="Arial-BoldMT" w:hAnsi="Arial-BoldMT" w:cs="Arial-BoldMT"/>
          <w:b/>
          <w:bCs/>
          <w:sz w:val="20"/>
          <w:szCs w:val="20"/>
        </w:rPr>
        <w:t>Prof</w:t>
      </w:r>
      <w:proofErr w:type="spellEnd"/>
      <w:r w:rsidR="002D510F">
        <w:rPr>
          <w:rFonts w:ascii="Arial-BoldMT" w:hAnsi="Arial-BoldMT" w:cs="Arial-BoldMT"/>
          <w:b/>
          <w:bCs/>
          <w:sz w:val="20"/>
          <w:szCs w:val="20"/>
        </w:rPr>
        <w:t>)</w:t>
      </w:r>
      <w:r w:rsidR="002D510F" w:rsidRPr="002D510F">
        <w:rPr>
          <w:rFonts w:ascii="Arial-BoldMT" w:hAnsi="Arial-BoldMT" w:cs="Arial-BoldMT"/>
          <w:b/>
          <w:bCs/>
          <w:sz w:val="20"/>
          <w:szCs w:val="20"/>
          <w:vertAlign w:val="superscript"/>
        </w:rPr>
        <w:t>1</w:t>
      </w:r>
      <w:r w:rsidR="002D510F">
        <w:rPr>
          <w:rFonts w:ascii="Arial-BoldMT" w:hAnsi="Arial-BoldMT" w:cs="Arial-BoldMT"/>
          <w:b/>
          <w:bCs/>
          <w:sz w:val="20"/>
          <w:szCs w:val="20"/>
        </w:rPr>
        <w:t>*.</w:t>
      </w:r>
    </w:p>
    <w:p w14:paraId="4AD6C235" w14:textId="77777777" w:rsidR="002D510F" w:rsidRPr="005F0753" w:rsidRDefault="002D510F" w:rsidP="005F0753">
      <w:pPr>
        <w:pStyle w:val="Default"/>
      </w:pPr>
    </w:p>
    <w:p w14:paraId="37028781" w14:textId="5225A287" w:rsidR="002D510F" w:rsidRDefault="00665C9E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hyperlink r:id="rId7" w:history="1">
        <w:r w:rsidR="002D510F" w:rsidRPr="00A4448F">
          <w:rPr>
            <w:rStyle w:val="Hyperlink"/>
            <w:rFonts w:ascii="Arial" w:eastAsia="Arial" w:hAnsi="Arial" w:cs="Arial"/>
            <w:b/>
            <w:sz w:val="20"/>
            <w:szCs w:val="20"/>
            <w:lang w:val="en-US"/>
          </w:rPr>
          <w:t>alexiadias@ltf.ufpb.br</w:t>
        </w:r>
      </w:hyperlink>
    </w:p>
    <w:p w14:paraId="17AC4378" w14:textId="451ABDFE" w:rsidR="002D510F" w:rsidRPr="002D510F" w:rsidRDefault="002D510F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18"/>
          <w:szCs w:val="18"/>
          <w:lang w:val="en-US"/>
        </w:rPr>
      </w:pPr>
      <w:r w:rsidRPr="002D510F">
        <w:rPr>
          <w:rFonts w:ascii="Arial" w:hAnsi="Arial" w:cs="Arial"/>
          <w:i/>
          <w:iCs/>
          <w:sz w:val="18"/>
          <w:szCs w:val="18"/>
          <w:vertAlign w:val="superscript"/>
        </w:rPr>
        <w:t xml:space="preserve">1 </w:t>
      </w:r>
      <w:r w:rsidRPr="002D510F">
        <w:rPr>
          <w:rFonts w:ascii="Arial" w:hAnsi="Arial" w:cs="Arial"/>
          <w:i/>
          <w:iCs/>
          <w:sz w:val="18"/>
          <w:szCs w:val="18"/>
        </w:rPr>
        <w:t xml:space="preserve">Universidade Federal da Paraíba; </w:t>
      </w:r>
      <w:r w:rsidRPr="002D510F">
        <w:rPr>
          <w:rFonts w:ascii="Arial" w:hAnsi="Arial" w:cs="Arial"/>
          <w:i/>
          <w:iCs/>
          <w:sz w:val="18"/>
          <w:szCs w:val="18"/>
          <w:vertAlign w:val="superscript"/>
        </w:rPr>
        <w:t xml:space="preserve">2 </w:t>
      </w:r>
      <w:r w:rsidRPr="002D510F">
        <w:rPr>
          <w:rFonts w:ascii="Arial" w:hAnsi="Arial" w:cs="Arial"/>
          <w:i/>
          <w:iCs/>
          <w:sz w:val="18"/>
          <w:szCs w:val="18"/>
        </w:rPr>
        <w:t xml:space="preserve">Universidade Estadual da Paraíba; </w:t>
      </w:r>
      <w:r w:rsidRPr="002D510F">
        <w:rPr>
          <w:rFonts w:ascii="Arial" w:hAnsi="Arial" w:cs="Arial"/>
          <w:i/>
          <w:iCs/>
          <w:sz w:val="18"/>
          <w:szCs w:val="18"/>
          <w:vertAlign w:val="superscript"/>
        </w:rPr>
        <w:t xml:space="preserve">3 </w:t>
      </w:r>
      <w:r w:rsidRPr="002D510F">
        <w:rPr>
          <w:rFonts w:ascii="Arial" w:hAnsi="Arial" w:cs="Arial"/>
          <w:i/>
          <w:iCs/>
          <w:sz w:val="18"/>
          <w:szCs w:val="18"/>
        </w:rPr>
        <w:t>Universidade Federal da Paraíba</w:t>
      </w:r>
    </w:p>
    <w:p w14:paraId="2298CD48" w14:textId="1892909B" w:rsidR="00936C7A" w:rsidRPr="00501425" w:rsidRDefault="00936C7A" w:rsidP="008056F0">
      <w:pPr>
        <w:ind w:right="-427"/>
        <w:rPr>
          <w:rFonts w:ascii="Arial" w:hAnsi="Arial" w:cs="Arial"/>
          <w:i/>
          <w:iCs/>
          <w:sz w:val="18"/>
          <w:szCs w:val="18"/>
          <w:lang w:val="en-US"/>
        </w:rPr>
      </w:pPr>
      <w:r w:rsidRPr="002D510F">
        <w:rPr>
          <w:rFonts w:ascii="Arial" w:hAnsi="Arial" w:cs="Arial"/>
          <w:b/>
          <w:bCs/>
          <w:i/>
          <w:i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3A64BE" wp14:editId="342D7258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646420" cy="259080"/>
                <wp:effectExtent l="0" t="0" r="11430" b="26670"/>
                <wp:wrapNone/>
                <wp:docPr id="70670983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E0052" id="Retângulo 2" o:spid="_x0000_s1026" style="position:absolute;margin-left:0;margin-top:15.8pt;width:444.6pt;height:20.4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" fillcolor="#d45516" strokecolor="#d45516" strokeweight="1pt">
                <w10:wrap anchorx="margin"/>
              </v:rect>
            </w:pict>
          </mc:Fallback>
        </mc:AlternateContent>
      </w:r>
      <w:r w:rsidR="0052727F" w:rsidRPr="002D510F">
        <w:rPr>
          <w:rFonts w:ascii="Arial" w:hAnsi="Arial" w:cs="Arial"/>
          <w:i/>
          <w:iCs/>
          <w:sz w:val="18"/>
          <w:szCs w:val="18"/>
          <w:lang w:val="en-US"/>
        </w:rPr>
        <w:t>Keywords</w:t>
      </w:r>
      <w:r w:rsidRPr="002D510F">
        <w:rPr>
          <w:rFonts w:ascii="Arial" w:hAnsi="Arial" w:cs="Arial"/>
          <w:i/>
          <w:iCs/>
          <w:sz w:val="18"/>
          <w:szCs w:val="18"/>
          <w:lang w:val="en-US"/>
        </w:rPr>
        <w:t xml:space="preserve">: </w:t>
      </w:r>
      <w:r w:rsidR="00015FC6" w:rsidRPr="00015FC6">
        <w:rPr>
          <w:rFonts w:ascii="Arial" w:hAnsi="Arial" w:cs="Arial"/>
          <w:i/>
          <w:iCs/>
          <w:sz w:val="18"/>
          <w:szCs w:val="18"/>
          <w:lang w:val="en-US"/>
        </w:rPr>
        <w:t>Thioph</w:t>
      </w:r>
      <w:r w:rsidR="00E344AE">
        <w:rPr>
          <w:rFonts w:ascii="Arial" w:hAnsi="Arial" w:cs="Arial"/>
          <w:i/>
          <w:iCs/>
          <w:sz w:val="18"/>
          <w:szCs w:val="18"/>
          <w:lang w:val="en-US"/>
        </w:rPr>
        <w:t>ene</w:t>
      </w:r>
      <w:r w:rsidR="00015FC6" w:rsidRPr="00015FC6">
        <w:rPr>
          <w:rFonts w:ascii="Arial" w:hAnsi="Arial" w:cs="Arial"/>
          <w:i/>
          <w:iCs/>
          <w:sz w:val="18"/>
          <w:szCs w:val="18"/>
          <w:lang w:val="en-US"/>
        </w:rPr>
        <w:t xml:space="preserve"> derivatives; Nanoparticles, Analytical validation, Antimicrobials.</w:t>
      </w:r>
    </w:p>
    <w:p w14:paraId="3DF88A52" w14:textId="0B49431C" w:rsidR="00936C7A" w:rsidRPr="0024322D" w:rsidRDefault="00936C7A" w:rsidP="0087592F">
      <w:pPr>
        <w:spacing w:line="276" w:lineRule="auto"/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 w:rsidRPr="0024322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ABSTRACT</w:t>
      </w:r>
    </w:p>
    <w:p w14:paraId="1427CCBC" w14:textId="0DFDB656" w:rsidR="00E344AE" w:rsidRDefault="003B14D0" w:rsidP="0087592F">
      <w:pPr>
        <w:spacing w:after="0"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8F2AC8">
        <w:rPr>
          <w:rFonts w:ascii="Arial" w:hAnsi="Arial" w:cs="Arial"/>
          <w:b/>
          <w:bCs/>
          <w:sz w:val="20"/>
          <w:szCs w:val="20"/>
        </w:rPr>
        <w:t xml:space="preserve">BACKGROUND: </w:t>
      </w:r>
      <w:r w:rsidR="00015FC6" w:rsidRPr="00015F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incorporation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drugs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nanoparticles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has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attracted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great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interest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pharmaceutical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field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due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its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potential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improve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bioavailability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specific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targeting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drugs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Akbari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et al., 2022). 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However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accurate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quantification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encapsulated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drug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analytical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challenge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(Ural et al.,2022).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This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study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aims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validate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analytical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method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quantification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>
        <w:rPr>
          <w:rFonts w:ascii="Arial" w:hAnsi="Arial" w:cs="Arial"/>
          <w:sz w:val="20"/>
          <w:szCs w:val="20"/>
        </w:rPr>
        <w:t>n</w:t>
      </w:r>
      <w:r w:rsidR="00015FC6" w:rsidRPr="00015FC6">
        <w:rPr>
          <w:rFonts w:ascii="Arial" w:hAnsi="Arial" w:cs="Arial"/>
          <w:sz w:val="20"/>
          <w:szCs w:val="20"/>
        </w:rPr>
        <w:t>orfloxacin</w:t>
      </w:r>
      <w:proofErr w:type="spellEnd"/>
      <w:r w:rsidR="00E344AE">
        <w:rPr>
          <w:rFonts w:ascii="Arial" w:hAnsi="Arial" w:cs="Arial"/>
          <w:sz w:val="20"/>
          <w:szCs w:val="20"/>
        </w:rPr>
        <w:t xml:space="preserve"> (NOR)</w:t>
      </w:r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thiophenic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derivative</w:t>
      </w:r>
      <w:proofErr w:type="spellEnd"/>
      <w:r w:rsid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>
        <w:rPr>
          <w:rFonts w:ascii="Arial" w:hAnsi="Arial" w:cs="Arial"/>
          <w:sz w:val="20"/>
          <w:szCs w:val="20"/>
        </w:rPr>
        <w:t>called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6CN-Ethyl</w:t>
      </w:r>
      <w:r w:rsidR="00E344AE">
        <w:rPr>
          <w:rFonts w:ascii="Arial" w:hAnsi="Arial" w:cs="Arial"/>
          <w:sz w:val="20"/>
          <w:szCs w:val="20"/>
        </w:rPr>
        <w:t xml:space="preserve">. </w:t>
      </w:r>
      <w:r w:rsidR="00E344AE" w:rsidRPr="00E344AE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previous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studies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the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joint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administration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of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these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molecules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(NOR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and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6CN-Ethyl)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was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effective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reestablishing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the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sensitivity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of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N</w:t>
      </w:r>
      <w:r w:rsidR="00E344AE">
        <w:rPr>
          <w:rFonts w:ascii="Arial" w:hAnsi="Arial" w:cs="Arial"/>
          <w:sz w:val="20"/>
          <w:szCs w:val="20"/>
        </w:rPr>
        <w:t>OR</w:t>
      </w:r>
      <w:r w:rsidR="00E344AE" w:rsidRPr="00E344AE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resistant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i/>
          <w:sz w:val="20"/>
          <w:szCs w:val="20"/>
        </w:rPr>
        <w:t>Staphylococcus</w:t>
      </w:r>
      <w:proofErr w:type="spellEnd"/>
      <w:r w:rsidR="00E344AE" w:rsidRPr="00E344AE">
        <w:rPr>
          <w:rFonts w:ascii="Arial" w:hAnsi="Arial" w:cs="Arial"/>
          <w:i/>
          <w:sz w:val="20"/>
          <w:szCs w:val="20"/>
        </w:rPr>
        <w:t xml:space="preserve"> aureus</w:t>
      </w:r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strain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proving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to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be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an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interesting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therapeutic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approach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to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combat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the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problem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of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 xml:space="preserve"> microbial </w:t>
      </w:r>
      <w:proofErr w:type="spellStart"/>
      <w:r w:rsidR="00E344AE" w:rsidRPr="00E344AE">
        <w:rPr>
          <w:rFonts w:ascii="Arial" w:hAnsi="Arial" w:cs="Arial"/>
          <w:sz w:val="20"/>
          <w:szCs w:val="20"/>
        </w:rPr>
        <w:t>resistance</w:t>
      </w:r>
      <w:proofErr w:type="spellEnd"/>
      <w:r w:rsidR="00E344AE" w:rsidRPr="00E344AE">
        <w:rPr>
          <w:rFonts w:ascii="Arial" w:hAnsi="Arial" w:cs="Arial"/>
          <w:sz w:val="20"/>
          <w:szCs w:val="20"/>
        </w:rPr>
        <w:t>.</w:t>
      </w:r>
    </w:p>
    <w:p w14:paraId="2CBD72CB" w14:textId="6A29C845" w:rsidR="00C729AD" w:rsidRDefault="000528A2" w:rsidP="00C729AD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8F2AC8">
        <w:rPr>
          <w:rFonts w:ascii="Arial" w:hAnsi="Arial" w:cs="Arial"/>
          <w:b/>
          <w:bCs/>
          <w:sz w:val="20"/>
          <w:szCs w:val="20"/>
        </w:rPr>
        <w:t xml:space="preserve">OBJECTIVES: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Develop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and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validate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a high-performance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liquid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chromatography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(HPLC)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analytical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method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the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simultaneous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quantification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of</w:t>
      </w:r>
      <w:proofErr w:type="spellEnd"/>
      <w:r w:rsid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>
        <w:rPr>
          <w:rFonts w:ascii="Arial" w:hAnsi="Arial" w:cs="Arial"/>
          <w:sz w:val="20"/>
          <w:szCs w:val="20"/>
        </w:rPr>
        <w:t>free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2-amino-6-ethyl-4,5,6,7-tetrahydrobenzo[b]thiophene-3-carbonitrile (6CN-ethyl)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and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Norfloxacin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and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evaluate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selectivity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to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identify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possible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interferences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of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other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components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of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nanostructured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lipid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carriers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(NLC)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with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the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29AD" w:rsidRPr="00C729AD">
        <w:rPr>
          <w:rFonts w:ascii="Arial" w:hAnsi="Arial" w:cs="Arial"/>
          <w:sz w:val="20"/>
          <w:szCs w:val="20"/>
        </w:rPr>
        <w:t>analytes</w:t>
      </w:r>
      <w:proofErr w:type="spellEnd"/>
      <w:r w:rsidR="00C729AD" w:rsidRPr="00C729AD">
        <w:rPr>
          <w:rFonts w:ascii="Arial" w:hAnsi="Arial" w:cs="Arial"/>
          <w:sz w:val="20"/>
          <w:szCs w:val="20"/>
        </w:rPr>
        <w:t>.</w:t>
      </w:r>
    </w:p>
    <w:p w14:paraId="48033895" w14:textId="28E322DE" w:rsidR="00D66434" w:rsidRPr="00C729AD" w:rsidRDefault="000528A2" w:rsidP="00C729AD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8F2AC8">
        <w:rPr>
          <w:rFonts w:ascii="Arial" w:hAnsi="Arial" w:cs="Arial"/>
          <w:b/>
          <w:bCs/>
          <w:color w:val="auto"/>
          <w:sz w:val="20"/>
          <w:szCs w:val="20"/>
        </w:rPr>
        <w:t xml:space="preserve">METHODS: </w:t>
      </w:r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6CN-Ethyl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was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synthesized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using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the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Gewald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reaction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. NOR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was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purchased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commercially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Nanostructured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lipid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carriers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without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the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drugs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(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Blank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)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to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evaluate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selectivity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were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obtained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using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the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hot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emulsion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method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with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sonication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. The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analysis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was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carried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out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a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Shimadzu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HPLC (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Model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LC-20A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Prominence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),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equipped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with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a PDA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UV-Vis detector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a C18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silica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column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Quantification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analyses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were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carried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out in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gradient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mode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with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a mobile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phase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60:40 (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acetonitrile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>/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acidified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water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),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injection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volume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10 µL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wavelengths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of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279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nm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for NOR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221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nm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for 6CN-Ethyl. The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following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parameters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were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analyzed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: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selectivity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precision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accuracy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linearity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robustness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detection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and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quantification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D66434" w:rsidRPr="00D66434">
        <w:rPr>
          <w:rFonts w:ascii="Arial" w:hAnsi="Arial" w:cs="Arial"/>
          <w:color w:val="auto"/>
          <w:sz w:val="20"/>
          <w:szCs w:val="20"/>
        </w:rPr>
        <w:t>limits</w:t>
      </w:r>
      <w:proofErr w:type="spellEnd"/>
      <w:r w:rsidR="00D66434" w:rsidRPr="00D66434">
        <w:rPr>
          <w:rFonts w:ascii="Arial" w:hAnsi="Arial" w:cs="Arial"/>
          <w:color w:val="auto"/>
          <w:sz w:val="20"/>
          <w:szCs w:val="20"/>
        </w:rPr>
        <w:t>.</w:t>
      </w:r>
    </w:p>
    <w:p w14:paraId="3F9C9AAC" w14:textId="06D90903" w:rsidR="0097395E" w:rsidRDefault="0097395E" w:rsidP="0087592F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8F2AC8">
        <w:rPr>
          <w:rFonts w:ascii="Arial" w:hAnsi="Arial" w:cs="Arial"/>
          <w:b/>
          <w:bCs/>
          <w:sz w:val="20"/>
          <w:szCs w:val="20"/>
        </w:rPr>
        <w:t xml:space="preserve">RESULTS AND DISCUSSION: </w:t>
      </w:r>
      <w:r w:rsidR="00015FC6" w:rsidRPr="00015F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6D12DF">
        <w:rPr>
          <w:rFonts w:ascii="Arial" w:hAnsi="Arial" w:cs="Arial"/>
          <w:sz w:val="20"/>
          <w:szCs w:val="20"/>
        </w:rPr>
        <w:t>developed</w:t>
      </w:r>
      <w:proofErr w:type="spellEnd"/>
      <w:r w:rsidR="006D12D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method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showed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good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selectivity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with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interference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from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nanoparticle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excipients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calibration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curve for N</w:t>
      </w:r>
      <w:r w:rsidR="006D12DF">
        <w:rPr>
          <w:rFonts w:ascii="Arial" w:hAnsi="Arial" w:cs="Arial"/>
          <w:sz w:val="20"/>
          <w:szCs w:val="20"/>
        </w:rPr>
        <w:t>OR</w:t>
      </w:r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6CN-Ethyl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showed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excellent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linearity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(R² &gt; 0.999) in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range [6,</w:t>
      </w:r>
      <w:r w:rsidR="006D12DF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>8,</w:t>
      </w:r>
      <w:r w:rsidR="006D12DF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>10,</w:t>
      </w:r>
      <w:r w:rsidR="006D12DF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>12,</w:t>
      </w:r>
      <w:r w:rsidR="006D12DF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 xml:space="preserve">14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16 µg/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].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Intra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inter-day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precision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had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relative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deviation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(RSD)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less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than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[2%].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Accuracy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was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close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100%.6</w:t>
      </w:r>
      <w:r w:rsidR="006D12DF">
        <w:rPr>
          <w:rFonts w:ascii="Arial" w:hAnsi="Arial" w:cs="Arial"/>
          <w:sz w:val="20"/>
          <w:szCs w:val="20"/>
        </w:rPr>
        <w:t>CN</w:t>
      </w:r>
      <w:r w:rsidR="00015FC6" w:rsidRPr="00015FC6">
        <w:rPr>
          <w:rFonts w:ascii="Arial" w:hAnsi="Arial" w:cs="Arial"/>
          <w:sz w:val="20"/>
          <w:szCs w:val="20"/>
        </w:rPr>
        <w:t xml:space="preserve">-Ethyl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values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were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0.386837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1.172233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μg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>/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mL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>, for N</w:t>
      </w:r>
      <w:r w:rsidR="006D12DF">
        <w:rPr>
          <w:rFonts w:ascii="Arial" w:hAnsi="Arial" w:cs="Arial"/>
          <w:sz w:val="20"/>
          <w:szCs w:val="20"/>
        </w:rPr>
        <w:t>OR</w:t>
      </w:r>
      <w:r w:rsidR="00015FC6" w:rsidRPr="00015FC6">
        <w:rPr>
          <w:rFonts w:ascii="Arial" w:hAnsi="Arial" w:cs="Arial"/>
          <w:sz w:val="20"/>
          <w:szCs w:val="20"/>
        </w:rPr>
        <w:t xml:space="preserve"> LOD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LOQ </w:t>
      </w:r>
      <w:proofErr w:type="spellStart"/>
      <w:r w:rsidR="006D12DF">
        <w:rPr>
          <w:rFonts w:ascii="Arial" w:hAnsi="Arial" w:cs="Arial"/>
          <w:sz w:val="20"/>
          <w:szCs w:val="20"/>
        </w:rPr>
        <w:t>were</w:t>
      </w:r>
      <w:proofErr w:type="spellEnd"/>
      <w:r w:rsidR="006D12DF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 xml:space="preserve">0.483933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1.466463.</w:t>
      </w:r>
      <w:r w:rsidR="00015FC6">
        <w:rPr>
          <w:rFonts w:ascii="Arial" w:hAnsi="Arial" w:cs="Arial"/>
          <w:sz w:val="20"/>
          <w:szCs w:val="20"/>
        </w:rPr>
        <w:t xml:space="preserve"> </w:t>
      </w:r>
      <w:r w:rsidR="00015FC6" w:rsidRPr="00015F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method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also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proved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robust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to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variations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chromatographic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conditions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>.</w:t>
      </w:r>
    </w:p>
    <w:p w14:paraId="70E51D20" w14:textId="721EC03D" w:rsidR="008F2AC8" w:rsidRDefault="008F2AC8" w:rsidP="0087592F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8F2AC8">
        <w:rPr>
          <w:rFonts w:ascii="Arial" w:hAnsi="Arial" w:cs="Arial"/>
          <w:b/>
          <w:bCs/>
          <w:sz w:val="20"/>
          <w:szCs w:val="20"/>
        </w:rPr>
        <w:t xml:space="preserve">CONCLUSION: </w:t>
      </w:r>
      <w:r w:rsidR="00015FC6" w:rsidRPr="00015FC6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validated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method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was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effective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quantification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N</w:t>
      </w:r>
      <w:r w:rsidR="006D12DF">
        <w:rPr>
          <w:rFonts w:ascii="Arial" w:hAnsi="Arial" w:cs="Arial"/>
          <w:sz w:val="20"/>
          <w:szCs w:val="20"/>
        </w:rPr>
        <w:t>OR</w:t>
      </w:r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and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6CN-Ethyl, meeting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the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validation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criteria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FC6" w:rsidRPr="00015FC6">
        <w:rPr>
          <w:rFonts w:ascii="Arial" w:hAnsi="Arial" w:cs="Arial"/>
          <w:sz w:val="20"/>
          <w:szCs w:val="20"/>
        </w:rPr>
        <w:t>of</w:t>
      </w:r>
      <w:proofErr w:type="spellEnd"/>
      <w:r w:rsidR="00015FC6" w:rsidRPr="00015FC6">
        <w:rPr>
          <w:rFonts w:ascii="Arial" w:hAnsi="Arial" w:cs="Arial"/>
          <w:sz w:val="20"/>
          <w:szCs w:val="20"/>
        </w:rPr>
        <w:t xml:space="preserve"> ICH Q2(R1).</w:t>
      </w:r>
      <w:r w:rsidR="008543D8" w:rsidRPr="008543D8"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Subsequently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microbiological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assays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of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the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active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pharmaceutical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ingredients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incorporated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in </w:t>
      </w:r>
      <w:r w:rsidR="00786DD3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>
        <w:rPr>
          <w:rFonts w:ascii="Arial" w:hAnsi="Arial" w:cs="Arial"/>
          <w:sz w:val="20"/>
          <w:szCs w:val="20"/>
        </w:rPr>
        <w:t>n</w:t>
      </w:r>
      <w:r w:rsidR="008543D8" w:rsidRPr="008543D8">
        <w:rPr>
          <w:rFonts w:ascii="Arial" w:hAnsi="Arial" w:cs="Arial"/>
          <w:sz w:val="20"/>
          <w:szCs w:val="20"/>
        </w:rPr>
        <w:t>anostructured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lipid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carriers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will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be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3D8" w:rsidRPr="008543D8">
        <w:rPr>
          <w:rFonts w:ascii="Arial" w:hAnsi="Arial" w:cs="Arial"/>
          <w:sz w:val="20"/>
          <w:szCs w:val="20"/>
        </w:rPr>
        <w:t>carried</w:t>
      </w:r>
      <w:proofErr w:type="spellEnd"/>
      <w:r w:rsidR="008543D8" w:rsidRPr="008543D8">
        <w:rPr>
          <w:rFonts w:ascii="Arial" w:hAnsi="Arial" w:cs="Arial"/>
          <w:sz w:val="20"/>
          <w:szCs w:val="20"/>
        </w:rPr>
        <w:t xml:space="preserve"> out</w:t>
      </w:r>
      <w:r w:rsidR="008543D8">
        <w:rPr>
          <w:rFonts w:ascii="Arial" w:hAnsi="Arial" w:cs="Arial"/>
          <w:sz w:val="20"/>
          <w:szCs w:val="20"/>
        </w:rPr>
        <w:t>.</w:t>
      </w:r>
    </w:p>
    <w:p w14:paraId="491A644D" w14:textId="77777777" w:rsidR="00015FC6" w:rsidRDefault="00015FC6" w:rsidP="0087592F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</w:p>
    <w:p w14:paraId="71A87FE6" w14:textId="60E861DE" w:rsidR="008F2AC8" w:rsidRDefault="008F2AC8" w:rsidP="0087592F">
      <w:pPr>
        <w:pStyle w:val="Default"/>
        <w:spacing w:line="276" w:lineRule="auto"/>
        <w:ind w:right="-427"/>
        <w:jc w:val="both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REFERENCES:</w:t>
      </w:r>
    </w:p>
    <w:p w14:paraId="4DFF63F4" w14:textId="1F1BB68A" w:rsidR="008F2AC8" w:rsidRPr="005F0753" w:rsidRDefault="005F0753" w:rsidP="0087592F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5F0753">
        <w:rPr>
          <w:rFonts w:ascii="Arial" w:hAnsi="Arial" w:cs="Arial"/>
          <w:sz w:val="20"/>
          <w:szCs w:val="20"/>
        </w:rPr>
        <w:t>AKBARI, J., et al. "</w:t>
      </w:r>
      <w:proofErr w:type="spellStart"/>
      <w:r w:rsidRPr="005F0753">
        <w:rPr>
          <w:rFonts w:ascii="Arial" w:hAnsi="Arial" w:cs="Arial"/>
          <w:sz w:val="20"/>
          <w:szCs w:val="20"/>
        </w:rPr>
        <w:t>Solid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lipid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nanoparticles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and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nanostructured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lipid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carriers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: a </w:t>
      </w:r>
      <w:proofErr w:type="spellStart"/>
      <w:r w:rsidRPr="005F0753">
        <w:rPr>
          <w:rFonts w:ascii="Arial" w:hAnsi="Arial" w:cs="Arial"/>
          <w:sz w:val="20"/>
          <w:szCs w:val="20"/>
        </w:rPr>
        <w:t>review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of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the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methods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of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manufacture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and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routes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of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administration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", </w:t>
      </w:r>
      <w:proofErr w:type="spellStart"/>
      <w:r w:rsidRPr="005F0753">
        <w:rPr>
          <w:rFonts w:ascii="Arial" w:hAnsi="Arial" w:cs="Arial"/>
          <w:b/>
          <w:bCs/>
          <w:sz w:val="20"/>
          <w:szCs w:val="20"/>
        </w:rPr>
        <w:t>Pharmaceutical</w:t>
      </w:r>
      <w:proofErr w:type="spellEnd"/>
      <w:r w:rsidRPr="005F075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b/>
          <w:bCs/>
          <w:sz w:val="20"/>
          <w:szCs w:val="20"/>
        </w:rPr>
        <w:t>Development</w:t>
      </w:r>
      <w:proofErr w:type="spellEnd"/>
      <w:r w:rsidRPr="005F075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b/>
          <w:bCs/>
          <w:sz w:val="20"/>
          <w:szCs w:val="20"/>
        </w:rPr>
        <w:t>and</w:t>
      </w:r>
      <w:proofErr w:type="spellEnd"/>
      <w:r w:rsidRPr="005F0753">
        <w:rPr>
          <w:rFonts w:ascii="Arial" w:hAnsi="Arial" w:cs="Arial"/>
          <w:b/>
          <w:bCs/>
          <w:sz w:val="20"/>
          <w:szCs w:val="20"/>
        </w:rPr>
        <w:t xml:space="preserve"> Technology</w:t>
      </w:r>
      <w:r w:rsidRPr="005F0753">
        <w:rPr>
          <w:rFonts w:ascii="Arial" w:hAnsi="Arial" w:cs="Arial"/>
          <w:sz w:val="20"/>
          <w:szCs w:val="20"/>
        </w:rPr>
        <w:t xml:space="preserve">, v. 27, n. 5, p. 525–544, 2022. </w:t>
      </w:r>
    </w:p>
    <w:p w14:paraId="05369664" w14:textId="61EFC940" w:rsidR="005F0753" w:rsidRPr="005F0753" w:rsidRDefault="005F0753" w:rsidP="0087592F">
      <w:pPr>
        <w:pStyle w:val="Default"/>
        <w:spacing w:line="276" w:lineRule="auto"/>
        <w:ind w:right="-427"/>
        <w:jc w:val="both"/>
        <w:rPr>
          <w:rFonts w:ascii="Arial" w:hAnsi="Arial" w:cs="Arial"/>
          <w:sz w:val="20"/>
          <w:szCs w:val="20"/>
        </w:rPr>
      </w:pPr>
      <w:r w:rsidRPr="005F0753">
        <w:rPr>
          <w:rFonts w:ascii="Arial" w:hAnsi="Arial" w:cs="Arial"/>
          <w:sz w:val="20"/>
          <w:szCs w:val="20"/>
        </w:rPr>
        <w:t>URAL, S, M., et al. “</w:t>
      </w:r>
      <w:proofErr w:type="spellStart"/>
      <w:r w:rsidRPr="005F0753">
        <w:rPr>
          <w:rFonts w:ascii="Arial" w:hAnsi="Arial" w:cs="Arial"/>
          <w:sz w:val="20"/>
          <w:szCs w:val="20"/>
        </w:rPr>
        <w:t>Quantification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of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drug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loading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F0753">
        <w:rPr>
          <w:rFonts w:ascii="Arial" w:hAnsi="Arial" w:cs="Arial"/>
          <w:sz w:val="20"/>
          <w:szCs w:val="20"/>
        </w:rPr>
        <w:t>polymeric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nanoparticles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using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AFM-IR </w:t>
      </w:r>
      <w:proofErr w:type="spellStart"/>
      <w:r w:rsidRPr="005F0753">
        <w:rPr>
          <w:rFonts w:ascii="Arial" w:hAnsi="Arial" w:cs="Arial"/>
          <w:sz w:val="20"/>
          <w:szCs w:val="20"/>
        </w:rPr>
        <w:t>technique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: a novel </w:t>
      </w:r>
      <w:proofErr w:type="spellStart"/>
      <w:r w:rsidRPr="005F0753">
        <w:rPr>
          <w:rFonts w:ascii="Arial" w:hAnsi="Arial" w:cs="Arial"/>
          <w:sz w:val="20"/>
          <w:szCs w:val="20"/>
        </w:rPr>
        <w:t>method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to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map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and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evaluate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drug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distribution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F0753">
        <w:rPr>
          <w:rFonts w:ascii="Arial" w:hAnsi="Arial" w:cs="Arial"/>
          <w:sz w:val="20"/>
          <w:szCs w:val="20"/>
        </w:rPr>
        <w:t>drug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753">
        <w:rPr>
          <w:rFonts w:ascii="Arial" w:hAnsi="Arial" w:cs="Arial"/>
          <w:sz w:val="20"/>
          <w:szCs w:val="20"/>
        </w:rPr>
        <w:t>nanocarriers</w:t>
      </w:r>
      <w:proofErr w:type="spellEnd"/>
      <w:r w:rsidRPr="005F0753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5F0753">
        <w:rPr>
          <w:rStyle w:val="nfase"/>
          <w:rFonts w:ascii="Arial" w:hAnsi="Arial" w:cs="Arial"/>
          <w:b/>
          <w:bCs/>
          <w:i w:val="0"/>
          <w:iCs w:val="0"/>
          <w:sz w:val="20"/>
          <w:szCs w:val="20"/>
        </w:rPr>
        <w:t>Analyst</w:t>
      </w:r>
      <w:proofErr w:type="spellEnd"/>
      <w:r w:rsidRPr="005F0753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5F0753">
        <w:rPr>
          <w:rFonts w:ascii="Arial" w:hAnsi="Arial" w:cs="Arial"/>
          <w:sz w:val="20"/>
          <w:szCs w:val="20"/>
        </w:rPr>
        <w:t xml:space="preserve"> V. 147 p. 5564-78, 2022</w:t>
      </w:r>
    </w:p>
    <w:p w14:paraId="1FDA91E5" w14:textId="77777777" w:rsidR="005F0753" w:rsidRPr="008F2AC8" w:rsidRDefault="005F0753" w:rsidP="008F2AC8">
      <w:pPr>
        <w:pStyle w:val="Default"/>
        <w:ind w:right="-427"/>
        <w:jc w:val="both"/>
        <w:rPr>
          <w:rFonts w:ascii="Arial" w:hAnsi="Arial" w:cs="Arial"/>
          <w:color w:val="auto"/>
          <w:sz w:val="20"/>
          <w:szCs w:val="20"/>
        </w:rPr>
      </w:pPr>
    </w:p>
    <w:sectPr w:rsidR="005F0753" w:rsidRPr="008F2AC8" w:rsidSect="00770E41">
      <w:footerReference w:type="default" r:id="rId8"/>
      <w:pgSz w:w="11906" w:h="16838"/>
      <w:pgMar w:top="1134" w:right="1701" w:bottom="426" w:left="170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18ADE" w14:textId="77777777" w:rsidR="00665C9E" w:rsidRDefault="00665C9E" w:rsidP="00A30AF6">
      <w:pPr>
        <w:spacing w:after="0" w:line="240" w:lineRule="auto"/>
      </w:pPr>
      <w:r>
        <w:separator/>
      </w:r>
    </w:p>
  </w:endnote>
  <w:endnote w:type="continuationSeparator" w:id="0">
    <w:p w14:paraId="08236363" w14:textId="77777777" w:rsidR="00665C9E" w:rsidRDefault="00665C9E" w:rsidP="00A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03DAD" w14:textId="351E91D1" w:rsidR="00A30AF6" w:rsidRPr="00770E41" w:rsidRDefault="00A30AF6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770E41">
      <w:rPr>
        <w:rFonts w:ascii="Times New Roman" w:hAnsi="Times New Roman" w:cs="Times New Roman"/>
        <w:i/>
        <w:iCs/>
        <w:sz w:val="18"/>
        <w:szCs w:val="18"/>
        <w:lang w:val="en-US"/>
      </w:rPr>
      <w:t>3rd Brazil-France Symposium on Medicinal Chemistry</w:t>
    </w:r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 xml:space="preserve">: Advances in Drug Design and Discovery. </w:t>
    </w:r>
    <w:proofErr w:type="spellStart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Maceió</w:t>
    </w:r>
    <w:proofErr w:type="spellEnd"/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-AL, 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6CE75" w14:textId="77777777" w:rsidR="00665C9E" w:rsidRDefault="00665C9E" w:rsidP="00A30AF6">
      <w:pPr>
        <w:spacing w:after="0" w:line="240" w:lineRule="auto"/>
      </w:pPr>
      <w:r>
        <w:separator/>
      </w:r>
    </w:p>
  </w:footnote>
  <w:footnote w:type="continuationSeparator" w:id="0">
    <w:p w14:paraId="64874D48" w14:textId="77777777" w:rsidR="00665C9E" w:rsidRDefault="00665C9E" w:rsidP="00A30A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6"/>
    <w:rsid w:val="00015FC6"/>
    <w:rsid w:val="000528A2"/>
    <w:rsid w:val="000C4415"/>
    <w:rsid w:val="0024322D"/>
    <w:rsid w:val="002D510F"/>
    <w:rsid w:val="002F3923"/>
    <w:rsid w:val="00332E55"/>
    <w:rsid w:val="003B14D0"/>
    <w:rsid w:val="003E30F0"/>
    <w:rsid w:val="003F3DD5"/>
    <w:rsid w:val="004F14D7"/>
    <w:rsid w:val="00501425"/>
    <w:rsid w:val="00515EBE"/>
    <w:rsid w:val="0052727F"/>
    <w:rsid w:val="005C18D4"/>
    <w:rsid w:val="005F0753"/>
    <w:rsid w:val="00665C9E"/>
    <w:rsid w:val="006D12DF"/>
    <w:rsid w:val="00770E41"/>
    <w:rsid w:val="00786DD3"/>
    <w:rsid w:val="007903C1"/>
    <w:rsid w:val="00792E11"/>
    <w:rsid w:val="008028E3"/>
    <w:rsid w:val="008056F0"/>
    <w:rsid w:val="008120CE"/>
    <w:rsid w:val="008543D8"/>
    <w:rsid w:val="008625E4"/>
    <w:rsid w:val="0087592F"/>
    <w:rsid w:val="008F2AC8"/>
    <w:rsid w:val="008F64FF"/>
    <w:rsid w:val="00936C7A"/>
    <w:rsid w:val="009612E4"/>
    <w:rsid w:val="0097395E"/>
    <w:rsid w:val="00A30AF6"/>
    <w:rsid w:val="00B55DC6"/>
    <w:rsid w:val="00B600EB"/>
    <w:rsid w:val="00BB0246"/>
    <w:rsid w:val="00BD4789"/>
    <w:rsid w:val="00C0646B"/>
    <w:rsid w:val="00C47F91"/>
    <w:rsid w:val="00C729AD"/>
    <w:rsid w:val="00D66434"/>
    <w:rsid w:val="00DC5E51"/>
    <w:rsid w:val="00E344AE"/>
    <w:rsid w:val="00F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1E43A"/>
  <w15:docId w15:val="{45D930DE-B09D-4D88-8A19-1641D6E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AF6"/>
  </w:style>
  <w:style w:type="paragraph" w:styleId="Rodap">
    <w:name w:val="footer"/>
    <w:basedOn w:val="Normal"/>
    <w:link w:val="Rodap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AF6"/>
  </w:style>
  <w:style w:type="character" w:styleId="Hyperlink">
    <w:name w:val="Hyperlink"/>
    <w:basedOn w:val="Fontepargpadro"/>
    <w:uiPriority w:val="99"/>
    <w:unhideWhenUsed/>
    <w:rsid w:val="00936C7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C7A"/>
    <w:rPr>
      <w:color w:val="605E5C"/>
      <w:shd w:val="clear" w:color="auto" w:fill="E1DFDD"/>
    </w:rPr>
  </w:style>
  <w:style w:type="paragraph" w:customStyle="1" w:styleId="Default">
    <w:name w:val="Default"/>
    <w:rsid w:val="0005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5F0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exiadias@ltf.ufpb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monteiro</dc:creator>
  <cp:lastModifiedBy>Conta da Microsoft</cp:lastModifiedBy>
  <cp:revision>2</cp:revision>
  <dcterms:created xsi:type="dcterms:W3CDTF">2024-09-16T19:59:00Z</dcterms:created>
  <dcterms:modified xsi:type="dcterms:W3CDTF">2024-09-16T19:59:00Z</dcterms:modified>
</cp:coreProperties>
</file>