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BEC6" w14:textId="20F5B6AE" w:rsidR="007E74D8" w:rsidRDefault="004A73DD" w:rsidP="004A73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DD">
        <w:rPr>
          <w:rFonts w:ascii="Times New Roman" w:hAnsi="Times New Roman" w:cs="Times New Roman"/>
          <w:b/>
          <w:sz w:val="28"/>
          <w:szCs w:val="28"/>
        </w:rPr>
        <w:t>Cirurgia Bariátrica: Uma Estratégia Avançada para o Gerenciamento da Obesidade e suas Consequências Metabólicas</w:t>
      </w:r>
    </w:p>
    <w:p w14:paraId="74C71D72" w14:textId="1C8A41EE" w:rsidR="004A73DD" w:rsidRPr="004A73DD" w:rsidRDefault="004A73DD" w:rsidP="004A73DD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 w:rsidRPr="004A73D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A73DD">
        <w:rPr>
          <w:rFonts w:ascii="Times New Roman" w:hAnsi="Times New Roman" w:cs="Times New Roman"/>
          <w:bCs/>
          <w:sz w:val="20"/>
          <w:szCs w:val="20"/>
        </w:rPr>
        <w:t xml:space="preserve">A obesidade, considerada uma pandemia global, afeta milhões de pessoas em todo o mundo, representando um desafio significativo para a saúde pública. O Ministério da Saúde utiliza o Índice de Massa Corporal (IMC) como parâmetro para definir a obesidade, sendo valores superiores a 30kg/m² indicativos dessa condição. Diante desse cenário, a cirurgia bariátrica surge como uma intervenção radical na luta contra a obesidade, destacando-se por sua eficácia, especialmente em casos graves. </w:t>
      </w:r>
      <w:r w:rsidRPr="004A73DD">
        <w:rPr>
          <w:rFonts w:ascii="Times New Roman" w:hAnsi="Times New Roman" w:cs="Times New Roman"/>
          <w:b/>
          <w:sz w:val="20"/>
          <w:szCs w:val="20"/>
        </w:rPr>
        <w:t>O</w:t>
      </w:r>
      <w:r w:rsidRPr="004A73DD">
        <w:rPr>
          <w:rFonts w:ascii="Times New Roman" w:hAnsi="Times New Roman" w:cs="Times New Roman"/>
          <w:b/>
          <w:sz w:val="20"/>
          <w:szCs w:val="20"/>
        </w:rPr>
        <w:t>bjetivo</w:t>
      </w:r>
      <w:r w:rsidRPr="004A73DD">
        <w:rPr>
          <w:rFonts w:ascii="Times New Roman" w:hAnsi="Times New Roman" w:cs="Times New Roman"/>
          <w:bCs/>
          <w:sz w:val="20"/>
          <w:szCs w:val="20"/>
        </w:rPr>
        <w:t xml:space="preserve">: O objetivo deste estudo é analisar de forma abrangente a cirurgia bariátrica, considerando seus critérios de indicação, os mecanismos fisiopatológicos envolvidos na resposta metabólica pós-cirúrgica e as consequências metabólicas a longo prazo. Buscamos compreender como essa intervenção pode otimizar os resultados clínicos na gestão da obesidade e suas complicações associadas. </w:t>
      </w:r>
      <w:r w:rsidRPr="004A73DD">
        <w:rPr>
          <w:rFonts w:ascii="Times New Roman" w:hAnsi="Times New Roman" w:cs="Times New Roman"/>
          <w:b/>
          <w:sz w:val="20"/>
          <w:szCs w:val="20"/>
        </w:rPr>
        <w:t>Métodos</w:t>
      </w:r>
      <w:r w:rsidRPr="004A73DD">
        <w:rPr>
          <w:rFonts w:ascii="Times New Roman" w:hAnsi="Times New Roman" w:cs="Times New Roman"/>
          <w:bCs/>
          <w:sz w:val="20"/>
          <w:szCs w:val="20"/>
        </w:rPr>
        <w:t xml:space="preserve">: A metodologia deste estudo envolveu a revisão de literatura, abrangendo publicações científicas, dissertações e tratados relevantes na área da cirurgia bariátrica e suas implicações metabólicas. Foram considerados estudos que exploram os critérios de indicação, a fisiopatologia da resposta metabólica e as complicações pós-operatórias, especialmente síndromes como a de dumping e distúrbios metabólicos. </w:t>
      </w:r>
      <w:r w:rsidRPr="004A73DD">
        <w:rPr>
          <w:rFonts w:ascii="Times New Roman" w:hAnsi="Times New Roman" w:cs="Times New Roman"/>
          <w:b/>
          <w:sz w:val="20"/>
          <w:szCs w:val="20"/>
        </w:rPr>
        <w:t>Resultados</w:t>
      </w:r>
      <w:r w:rsidRPr="004A73DD">
        <w:rPr>
          <w:rFonts w:ascii="Times New Roman" w:hAnsi="Times New Roman" w:cs="Times New Roman"/>
          <w:bCs/>
          <w:sz w:val="20"/>
          <w:szCs w:val="20"/>
        </w:rPr>
        <w:t xml:space="preserve">: Os resultados da revisão de literatura destacam os critérios rigorosos estabelecidos pelo Ministério da Saúde para a indicação da cirurgia bariátrica, enfatizando a necessidade de acompanhamento prévio e a consideração do IMC. A fisiopatologia da resposta metabólica pós-cirúrgica, especialmente no contexto do </w:t>
      </w:r>
      <w:proofErr w:type="spellStart"/>
      <w:r w:rsidRPr="004A73DD">
        <w:rPr>
          <w:rFonts w:ascii="Times New Roman" w:hAnsi="Times New Roman" w:cs="Times New Roman"/>
          <w:bCs/>
          <w:sz w:val="20"/>
          <w:szCs w:val="20"/>
        </w:rPr>
        <w:t>bypass</w:t>
      </w:r>
      <w:proofErr w:type="spellEnd"/>
      <w:r w:rsidRPr="004A73DD">
        <w:rPr>
          <w:rFonts w:ascii="Times New Roman" w:hAnsi="Times New Roman" w:cs="Times New Roman"/>
          <w:bCs/>
          <w:sz w:val="20"/>
          <w:szCs w:val="20"/>
        </w:rPr>
        <w:t xml:space="preserve"> gástrico, envolve restrição calórica, modificações hormonais e melhorias na sensibilidade à insulina. Complicações pós-operatórias, como a síndrome de dumping e distúrbios metabólicos, foram identificadas como desafios comuns.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GoBack"/>
      <w:bookmarkEnd w:id="0"/>
      <w:r w:rsidRPr="004A73DD">
        <w:rPr>
          <w:rFonts w:ascii="Times New Roman" w:hAnsi="Times New Roman" w:cs="Times New Roman"/>
          <w:bCs/>
          <w:sz w:val="20"/>
          <w:szCs w:val="20"/>
        </w:rPr>
        <w:t xml:space="preserve">A discussão centrou-se na complexidade da resposta metabólica à cirurgia bariátrica, considerando as alterações hormonais, modificações na microbiota intestinal e os efeitos na regulação metabólica. Foram exploradas as complicações pós-operatórias, evidenciando a necessidade de uma abordagem clínica adequada para preservar a saúde metabólica a longo prazo. </w:t>
      </w:r>
      <w:r w:rsidRPr="004A73DD">
        <w:rPr>
          <w:rFonts w:ascii="Times New Roman" w:hAnsi="Times New Roman" w:cs="Times New Roman"/>
          <w:b/>
          <w:sz w:val="20"/>
          <w:szCs w:val="20"/>
        </w:rPr>
        <w:t>Conclusão</w:t>
      </w:r>
      <w:r w:rsidRPr="004A73DD">
        <w:rPr>
          <w:rFonts w:ascii="Times New Roman" w:hAnsi="Times New Roman" w:cs="Times New Roman"/>
          <w:bCs/>
          <w:sz w:val="20"/>
          <w:szCs w:val="20"/>
        </w:rPr>
        <w:t>: A cirurgia bariátrica não apenas visa a perda de peso, mas desencadeia uma complexa resposta metabólica. A compreensão abrangente dessas alterações fisiopatológicas é essencial para otimizar os resultados clínicos e promover uma abordagem integrada na gestão do peso e da saúde metabólica. A cirurgia, no entanto, não está isenta de complicações, e síndromes pós-gastrectomia e distúrbios metabólicos são comuns. A compreensão dessas complicações é crucial para uma abordagem clínica adequada após a cirurgia bariátrica, visando não apenas à perda de peso, mas também à preservação da saúde metabólica a longo prazo.</w:t>
      </w:r>
    </w:p>
    <w:p w14:paraId="72311C97" w14:textId="336471F9" w:rsidR="007E74D8" w:rsidRDefault="00BF2EFA" w:rsidP="004A73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4A73DD" w:rsidRPr="004A73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Cirurgia Bariátrica</w:t>
      </w:r>
      <w:r w:rsidR="004A73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4A73DD" w:rsidRPr="004A73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Obesidade</w:t>
      </w:r>
      <w:r w:rsidR="004A73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4A73DD" w:rsidRPr="004A73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Complicações Pós-Operatórias.</w:t>
      </w:r>
    </w:p>
    <w:p w14:paraId="6122B707" w14:textId="77777777" w:rsidR="007E74D8" w:rsidRDefault="007E74D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2D63AF"/>
    <w:rsid w:val="002E7A82"/>
    <w:rsid w:val="004A73DD"/>
    <w:rsid w:val="00541714"/>
    <w:rsid w:val="00622903"/>
    <w:rsid w:val="0079502F"/>
    <w:rsid w:val="007E74D8"/>
    <w:rsid w:val="008A7836"/>
    <w:rsid w:val="00BF2EFA"/>
    <w:rsid w:val="00BF40A0"/>
    <w:rsid w:val="00EF5406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Matheus Macari</cp:lastModifiedBy>
  <cp:revision>2</cp:revision>
  <cp:lastPrinted>2023-06-19T17:59:00Z</cp:lastPrinted>
  <dcterms:created xsi:type="dcterms:W3CDTF">2024-05-15T19:48:00Z</dcterms:created>
  <dcterms:modified xsi:type="dcterms:W3CDTF">2024-05-15T19:48:00Z</dcterms:modified>
</cp:coreProperties>
</file>