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365E" w:rsidRDefault="00CA365E" w:rsidP="00AB4F07">
      <w:pPr>
        <w:widowControl w:val="0"/>
        <w:spacing w:line="360" w:lineRule="auto"/>
        <w:rPr>
          <w:rFonts w:ascii="Times New Roman" w:eastAsia="Times New Roman" w:hAnsi="Times New Roman"/>
          <w:b/>
          <w:sz w:val="24"/>
          <w:szCs w:val="24"/>
        </w:rPr>
      </w:pPr>
    </w:p>
    <w:p w:rsidR="00AB4F07" w:rsidRPr="00844166" w:rsidRDefault="00CA365E" w:rsidP="00CA365E">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Grupo de Trabalho</w:t>
      </w:r>
      <w:r w:rsidR="00AB4F07" w:rsidRPr="00844166">
        <w:rPr>
          <w:rFonts w:ascii="Times New Roman" w:eastAsia="Times New Roman" w:hAnsi="Times New Roman"/>
          <w:b/>
          <w:sz w:val="24"/>
          <w:szCs w:val="24"/>
        </w:rPr>
        <w:t xml:space="preserve"> </w:t>
      </w:r>
      <w:r w:rsidRPr="00844166">
        <w:rPr>
          <w:rFonts w:ascii="Times New Roman" w:eastAsia="Times New Roman" w:hAnsi="Times New Roman"/>
          <w:b/>
          <w:sz w:val="24"/>
          <w:szCs w:val="24"/>
        </w:rPr>
        <w:t>2: Processo Internacional de direitos humanos e execução de sentenças internacionais</w:t>
      </w:r>
    </w:p>
    <w:p w:rsidR="00AB4F07" w:rsidRPr="00844166" w:rsidRDefault="00716163" w:rsidP="00AB4F07">
      <w:pPr>
        <w:widowControl w:val="0"/>
        <w:spacing w:line="360" w:lineRule="auto"/>
        <w:jc w:val="center"/>
        <w:rPr>
          <w:rFonts w:ascii="Times New Roman" w:eastAsia="Times New Roman" w:hAnsi="Times New Roman"/>
          <w:b/>
          <w:sz w:val="24"/>
          <w:szCs w:val="24"/>
        </w:rPr>
      </w:pPr>
      <w:r w:rsidRPr="00716163">
        <w:rPr>
          <w:rFonts w:ascii="Times New Roman" w:eastAsia="Times New Roman" w:hAnsi="Times New Roman"/>
          <w:b/>
          <w:i/>
          <w:sz w:val="24"/>
          <w:szCs w:val="24"/>
        </w:rPr>
        <w:t>Versus</w:t>
      </w:r>
      <w:r>
        <w:rPr>
          <w:rFonts w:ascii="Times New Roman" w:eastAsia="Times New Roman" w:hAnsi="Times New Roman"/>
          <w:b/>
          <w:sz w:val="24"/>
          <w:szCs w:val="24"/>
        </w:rPr>
        <w:t xml:space="preserve"> Brasil: </w:t>
      </w:r>
      <w:r w:rsidR="00247474">
        <w:rPr>
          <w:rFonts w:ascii="Times New Roman" w:eastAsia="Times New Roman" w:hAnsi="Times New Roman"/>
          <w:b/>
          <w:sz w:val="24"/>
          <w:szCs w:val="24"/>
        </w:rPr>
        <w:t>Reflexões sobre a implementação</w:t>
      </w:r>
      <w:r w:rsidR="00CA365E">
        <w:rPr>
          <w:rFonts w:ascii="Times New Roman" w:eastAsia="Times New Roman" w:hAnsi="Times New Roman"/>
          <w:b/>
          <w:sz w:val="24"/>
          <w:szCs w:val="24"/>
        </w:rPr>
        <w:t xml:space="preserve"> das decisões do Sistema Interamericano de Direitos Humanos pelo Estado brasileiro</w:t>
      </w:r>
    </w:p>
    <w:p w:rsidR="00AB4F07" w:rsidRPr="00844166" w:rsidRDefault="00AB4F07" w:rsidP="00AB4F07">
      <w:pPr>
        <w:widowControl w:val="0"/>
        <w:spacing w:line="360" w:lineRule="auto"/>
        <w:jc w:val="center"/>
        <w:rPr>
          <w:rFonts w:ascii="Times New Roman" w:eastAsia="Times New Roman" w:hAnsi="Times New Roman"/>
          <w:b/>
          <w:sz w:val="24"/>
          <w:szCs w:val="24"/>
        </w:rPr>
      </w:pPr>
    </w:p>
    <w:p w:rsidR="00AB4F07" w:rsidRPr="00844166" w:rsidRDefault="00AB4F07" w:rsidP="00AB4F07">
      <w:pPr>
        <w:widowControl w:val="0"/>
        <w:spacing w:line="360" w:lineRule="auto"/>
        <w:jc w:val="right"/>
        <w:rPr>
          <w:rFonts w:ascii="Times New Roman" w:eastAsia="Times New Roman" w:hAnsi="Times New Roman"/>
          <w:b/>
          <w:sz w:val="24"/>
          <w:szCs w:val="24"/>
        </w:rPr>
      </w:pPr>
    </w:p>
    <w:p w:rsidR="009F2040" w:rsidRDefault="009F2040"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O artigo 68.1 da Convenção Americana sobre Direitos </w:t>
      </w:r>
      <w:r w:rsidR="00845D3D">
        <w:rPr>
          <w:rFonts w:ascii="Times New Roman" w:eastAsia="Times New Roman" w:hAnsi="Times New Roman"/>
          <w:sz w:val="24"/>
          <w:szCs w:val="24"/>
        </w:rPr>
        <w:t xml:space="preserve">Humanos (CADH) é preciso ao </w:t>
      </w:r>
      <w:r w:rsidR="003A1D69">
        <w:rPr>
          <w:rFonts w:ascii="Times New Roman" w:eastAsia="Times New Roman" w:hAnsi="Times New Roman"/>
          <w:sz w:val="24"/>
          <w:szCs w:val="24"/>
        </w:rPr>
        <w:t>afirmar que os Estados</w:t>
      </w:r>
      <w:r w:rsidR="00845D3D">
        <w:rPr>
          <w:rFonts w:ascii="Times New Roman" w:eastAsia="Times New Roman" w:hAnsi="Times New Roman"/>
          <w:sz w:val="24"/>
          <w:szCs w:val="24"/>
        </w:rPr>
        <w:t xml:space="preserve"> se comprometem a cumprir as decisões da Corte Interamericana de Direitos Humanos (Corte IDH) nas</w:t>
      </w:r>
      <w:r w:rsidR="00A122C4">
        <w:rPr>
          <w:rFonts w:ascii="Times New Roman" w:eastAsia="Times New Roman" w:hAnsi="Times New Roman"/>
          <w:sz w:val="24"/>
          <w:szCs w:val="24"/>
        </w:rPr>
        <w:t xml:space="preserve"> demandas em que sejam</w:t>
      </w:r>
      <w:r w:rsidR="003A1D69">
        <w:rPr>
          <w:rFonts w:ascii="Times New Roman" w:eastAsia="Times New Roman" w:hAnsi="Times New Roman"/>
          <w:sz w:val="24"/>
          <w:szCs w:val="24"/>
        </w:rPr>
        <w:t xml:space="preserve"> parte</w:t>
      </w:r>
      <w:r w:rsidR="00845D3D">
        <w:rPr>
          <w:rFonts w:ascii="Times New Roman" w:eastAsia="Times New Roman" w:hAnsi="Times New Roman"/>
          <w:sz w:val="24"/>
          <w:szCs w:val="24"/>
        </w:rPr>
        <w:t>. Menos clara é a CADH acerca da ma</w:t>
      </w:r>
      <w:r w:rsidR="00716163">
        <w:rPr>
          <w:rFonts w:ascii="Times New Roman" w:eastAsia="Times New Roman" w:hAnsi="Times New Roman"/>
          <w:sz w:val="24"/>
          <w:szCs w:val="24"/>
        </w:rPr>
        <w:t>neira pela qual deve</w:t>
      </w:r>
      <w:r w:rsidR="00A122C4">
        <w:rPr>
          <w:rFonts w:ascii="Times New Roman" w:eastAsia="Times New Roman" w:hAnsi="Times New Roman"/>
          <w:sz w:val="24"/>
          <w:szCs w:val="24"/>
        </w:rPr>
        <w:t xml:space="preserve"> ocorrer a implementação das decisões pelos Estados</w:t>
      </w:r>
      <w:r w:rsidR="00D219F3">
        <w:rPr>
          <w:rFonts w:ascii="Times New Roman" w:eastAsia="Times New Roman" w:hAnsi="Times New Roman"/>
          <w:sz w:val="24"/>
          <w:szCs w:val="24"/>
        </w:rPr>
        <w:t>. A Convenção também silencia quanto à</w:t>
      </w:r>
      <w:r w:rsidR="00A122C4">
        <w:rPr>
          <w:rFonts w:ascii="Times New Roman" w:eastAsia="Times New Roman" w:hAnsi="Times New Roman"/>
          <w:sz w:val="24"/>
          <w:szCs w:val="24"/>
        </w:rPr>
        <w:t xml:space="preserve"> supervisão</w:t>
      </w:r>
      <w:r w:rsidR="00D219F3">
        <w:rPr>
          <w:rFonts w:ascii="Times New Roman" w:eastAsia="Times New Roman" w:hAnsi="Times New Roman"/>
          <w:sz w:val="24"/>
          <w:szCs w:val="24"/>
        </w:rPr>
        <w:t xml:space="preserve"> do cumprimento das sentenças</w:t>
      </w:r>
      <w:r w:rsidR="00247474">
        <w:rPr>
          <w:rStyle w:val="FootnoteReference"/>
          <w:rFonts w:ascii="Times New Roman" w:eastAsia="Times New Roman" w:hAnsi="Times New Roman"/>
          <w:sz w:val="24"/>
          <w:szCs w:val="24"/>
        </w:rPr>
        <w:footnoteReference w:id="1"/>
      </w:r>
      <w:r w:rsidR="00D219F3">
        <w:rPr>
          <w:rFonts w:ascii="Times New Roman" w:eastAsia="Times New Roman" w:hAnsi="Times New Roman"/>
          <w:sz w:val="24"/>
          <w:szCs w:val="24"/>
        </w:rPr>
        <w:t>: é</w:t>
      </w:r>
      <w:r w:rsidR="00A122C4">
        <w:rPr>
          <w:rFonts w:ascii="Times New Roman" w:eastAsia="Times New Roman" w:hAnsi="Times New Roman"/>
          <w:sz w:val="24"/>
          <w:szCs w:val="24"/>
        </w:rPr>
        <w:t xml:space="preserve"> o Regulamento da Corte, em seu artigo 69, que dispõe sobre o monitoramento do cumprimento das decisões</w:t>
      </w:r>
      <w:r w:rsidR="00716163">
        <w:rPr>
          <w:rFonts w:ascii="Times New Roman" w:eastAsia="Times New Roman" w:hAnsi="Times New Roman"/>
          <w:sz w:val="24"/>
          <w:szCs w:val="24"/>
        </w:rPr>
        <w:t>, atendo-se à obrigação dos Estados de submeterem relatórios periodicamente e à faculdade da Corte em convocar audiências e reuniões de supervisão</w:t>
      </w:r>
      <w:r w:rsidR="00A122C4">
        <w:rPr>
          <w:rFonts w:ascii="Times New Roman" w:eastAsia="Times New Roman" w:hAnsi="Times New Roman"/>
          <w:sz w:val="24"/>
          <w:szCs w:val="24"/>
        </w:rPr>
        <w:t xml:space="preserve">. </w:t>
      </w:r>
    </w:p>
    <w:p w:rsidR="00A12155" w:rsidRDefault="00A122C4"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Segundo o Relatóri</w:t>
      </w:r>
      <w:r w:rsidR="003A1D69">
        <w:rPr>
          <w:rFonts w:ascii="Times New Roman" w:eastAsia="Times New Roman" w:hAnsi="Times New Roman"/>
          <w:sz w:val="24"/>
          <w:szCs w:val="24"/>
        </w:rPr>
        <w:t>o Anual de 2019 (Corte IDH, 2020</w:t>
      </w:r>
      <w:r w:rsidR="00A05B81">
        <w:rPr>
          <w:rFonts w:ascii="Times New Roman" w:eastAsia="Times New Roman" w:hAnsi="Times New Roman"/>
          <w:sz w:val="24"/>
          <w:szCs w:val="24"/>
        </w:rPr>
        <w:t>, p. 63</w:t>
      </w:r>
      <w:r>
        <w:rPr>
          <w:rFonts w:ascii="Times New Roman" w:eastAsia="Times New Roman" w:hAnsi="Times New Roman"/>
          <w:sz w:val="24"/>
          <w:szCs w:val="24"/>
        </w:rPr>
        <w:t xml:space="preserve">), </w:t>
      </w:r>
      <w:r w:rsidR="00A05B81">
        <w:rPr>
          <w:rFonts w:ascii="Times New Roman" w:eastAsia="Times New Roman" w:hAnsi="Times New Roman"/>
          <w:sz w:val="24"/>
          <w:szCs w:val="24"/>
        </w:rPr>
        <w:t xml:space="preserve">estão em etapa de supervisão de cumprimento 223 casos, totalizando 1.153 medidas de reparação. </w:t>
      </w:r>
      <w:r w:rsidR="00A12155">
        <w:rPr>
          <w:rFonts w:ascii="Times New Roman" w:eastAsia="Times New Roman" w:hAnsi="Times New Roman"/>
          <w:sz w:val="24"/>
          <w:szCs w:val="24"/>
        </w:rPr>
        <w:t>Cerca de um quarto dos casos têm pendentes uma ou duas medidas de reparação, via de regra relacionadas com o dever de investigar, julgar e punir os respons</w:t>
      </w:r>
      <w:r w:rsidR="00000968">
        <w:rPr>
          <w:rFonts w:ascii="Times New Roman" w:eastAsia="Times New Roman" w:hAnsi="Times New Roman"/>
          <w:sz w:val="24"/>
          <w:szCs w:val="24"/>
        </w:rPr>
        <w:t>áveis pelas violações, bem como garantias de não-repetição que demandem a alter</w:t>
      </w:r>
      <w:r w:rsidR="0068417E">
        <w:rPr>
          <w:rFonts w:ascii="Times New Roman" w:eastAsia="Times New Roman" w:hAnsi="Times New Roman"/>
          <w:sz w:val="24"/>
          <w:szCs w:val="24"/>
        </w:rPr>
        <w:t xml:space="preserve">ação do ordenamento jurídico interno. </w:t>
      </w:r>
    </w:p>
    <w:p w:rsidR="00A122C4" w:rsidRDefault="00A05B81"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Quanto ao Estado brasileiro, sete</w:t>
      </w:r>
      <w:r>
        <w:rPr>
          <w:rStyle w:val="FootnoteReference"/>
          <w:rFonts w:ascii="Times New Roman" w:eastAsia="Times New Roman" w:hAnsi="Times New Roman"/>
          <w:sz w:val="24"/>
          <w:szCs w:val="24"/>
        </w:rPr>
        <w:footnoteReference w:id="2"/>
      </w:r>
      <w:r>
        <w:rPr>
          <w:rFonts w:ascii="Times New Roman" w:eastAsia="Times New Roman" w:hAnsi="Times New Roman"/>
          <w:sz w:val="24"/>
          <w:szCs w:val="24"/>
        </w:rPr>
        <w:t xml:space="preserve"> sentenças estão em etapa de supervisão de cumprimento. </w:t>
      </w:r>
      <w:r w:rsidR="0068417E">
        <w:rPr>
          <w:rFonts w:ascii="Times New Roman" w:eastAsia="Times New Roman" w:hAnsi="Times New Roman"/>
          <w:sz w:val="24"/>
          <w:szCs w:val="24"/>
        </w:rPr>
        <w:t xml:space="preserve">Das </w:t>
      </w:r>
      <w:r>
        <w:rPr>
          <w:rFonts w:ascii="Times New Roman" w:eastAsia="Times New Roman" w:hAnsi="Times New Roman"/>
          <w:sz w:val="24"/>
          <w:szCs w:val="24"/>
        </w:rPr>
        <w:t xml:space="preserve">resoluções expedidas pela Corte, </w:t>
      </w:r>
      <w:r w:rsidR="0068417E">
        <w:rPr>
          <w:rFonts w:ascii="Times New Roman" w:eastAsia="Times New Roman" w:hAnsi="Times New Roman"/>
          <w:sz w:val="24"/>
          <w:szCs w:val="24"/>
        </w:rPr>
        <w:t xml:space="preserve">apreende-se que </w:t>
      </w:r>
      <w:r>
        <w:rPr>
          <w:rFonts w:ascii="Times New Roman" w:eastAsia="Times New Roman" w:hAnsi="Times New Roman"/>
          <w:sz w:val="24"/>
          <w:szCs w:val="24"/>
        </w:rPr>
        <w:t xml:space="preserve">há trinta medidas de reparação pendentes de cumprimento e seis em cumprimento parcial. </w:t>
      </w:r>
      <w:r w:rsidR="00134E85">
        <w:rPr>
          <w:rFonts w:ascii="Times New Roman" w:eastAsia="Times New Roman" w:hAnsi="Times New Roman"/>
          <w:sz w:val="24"/>
          <w:szCs w:val="24"/>
        </w:rPr>
        <w:t>Partindo-se d</w:t>
      </w:r>
      <w:r w:rsidR="00A37329">
        <w:rPr>
          <w:rFonts w:ascii="Times New Roman" w:eastAsia="Times New Roman" w:hAnsi="Times New Roman"/>
          <w:sz w:val="24"/>
          <w:szCs w:val="24"/>
        </w:rPr>
        <w:t xml:space="preserve">o princípio </w:t>
      </w:r>
      <w:r w:rsidR="00A37329">
        <w:rPr>
          <w:rFonts w:ascii="Times New Roman" w:eastAsia="Times New Roman" w:hAnsi="Times New Roman"/>
          <w:sz w:val="24"/>
          <w:szCs w:val="24"/>
        </w:rPr>
        <w:lastRenderedPageBreak/>
        <w:t xml:space="preserve">da </w:t>
      </w:r>
      <w:r w:rsidR="00A37329" w:rsidRPr="00134E85">
        <w:rPr>
          <w:rFonts w:ascii="Times New Roman" w:eastAsia="Times New Roman" w:hAnsi="Times New Roman"/>
          <w:sz w:val="24"/>
          <w:szCs w:val="24"/>
        </w:rPr>
        <w:t>reparação integral</w:t>
      </w:r>
      <w:r w:rsidR="00134E85">
        <w:rPr>
          <w:rFonts w:ascii="Times New Roman" w:eastAsia="Times New Roman" w:hAnsi="Times New Roman"/>
          <w:sz w:val="24"/>
          <w:szCs w:val="24"/>
        </w:rPr>
        <w:t xml:space="preserve"> das violações de direitos humanos, serão comentadas algumas particularidades tanto da função de supervisão exercida pela Corte quanto da implementação das decisões pelo Brasil. </w:t>
      </w:r>
      <w:r w:rsidR="00524A77">
        <w:rPr>
          <w:rFonts w:ascii="Times New Roman" w:eastAsia="Times New Roman" w:hAnsi="Times New Roman"/>
          <w:sz w:val="24"/>
          <w:szCs w:val="24"/>
        </w:rPr>
        <w:t xml:space="preserve">Deve-se ter em mente que as </w:t>
      </w:r>
      <w:r w:rsidR="003A1D69">
        <w:rPr>
          <w:rFonts w:ascii="Times New Roman" w:eastAsia="Times New Roman" w:hAnsi="Times New Roman"/>
          <w:sz w:val="24"/>
          <w:szCs w:val="24"/>
        </w:rPr>
        <w:t>decisões dos órgãos do Sistema Interamericano de Direitos Humanos</w:t>
      </w:r>
      <w:r w:rsidR="00524A77">
        <w:rPr>
          <w:rFonts w:ascii="Times New Roman" w:eastAsia="Times New Roman" w:hAnsi="Times New Roman"/>
          <w:sz w:val="24"/>
          <w:szCs w:val="24"/>
        </w:rPr>
        <w:t xml:space="preserve"> prescindem de ato de incorporação na ordem jurídica brasileira: operam efeito vinculante imediato</w:t>
      </w:r>
      <w:r w:rsidR="003A1D69">
        <w:rPr>
          <w:rStyle w:val="FootnoteReference"/>
          <w:rFonts w:ascii="Times New Roman" w:eastAsia="Times New Roman" w:hAnsi="Times New Roman"/>
          <w:sz w:val="24"/>
          <w:szCs w:val="24"/>
        </w:rPr>
        <w:footnoteReference w:id="3"/>
      </w:r>
      <w:r w:rsidR="00524A77">
        <w:rPr>
          <w:rFonts w:ascii="Times New Roman" w:eastAsia="Times New Roman" w:hAnsi="Times New Roman"/>
          <w:sz w:val="24"/>
          <w:szCs w:val="24"/>
        </w:rPr>
        <w:t xml:space="preserve"> – embora não tão imediata seja a adoção das medidas de </w:t>
      </w:r>
      <w:r w:rsidR="003A1D69">
        <w:rPr>
          <w:rFonts w:ascii="Times New Roman" w:eastAsia="Times New Roman" w:hAnsi="Times New Roman"/>
          <w:sz w:val="24"/>
          <w:szCs w:val="24"/>
        </w:rPr>
        <w:t>recomendação ou reparação determinadas.</w:t>
      </w:r>
    </w:p>
    <w:p w:rsidR="00A122C4" w:rsidRDefault="00C027AD"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Dentre as medidas de mais difícil cumprimento estão as que envolvem o fornecimento de serviços de atendimento de saúde física e psicológica às vítimas </w:t>
      </w:r>
      <w:r w:rsidR="00A37329">
        <w:rPr>
          <w:rFonts w:ascii="Times New Roman" w:eastAsia="Times New Roman" w:hAnsi="Times New Roman"/>
          <w:sz w:val="24"/>
          <w:szCs w:val="24"/>
        </w:rPr>
        <w:t>e seus familiares. Para o Estado brasileiro, a universalidade e a impessoalidade, princípios norteadores da operacionalização do Sistema Único de Saúde, garantiriam a adequada prestação de tratamentos de saúde de quaisquer espécies</w:t>
      </w:r>
      <w:r w:rsidR="00B10994">
        <w:rPr>
          <w:rFonts w:ascii="Times New Roman" w:eastAsia="Times New Roman" w:hAnsi="Times New Roman"/>
          <w:sz w:val="24"/>
          <w:szCs w:val="24"/>
        </w:rPr>
        <w:t>. A Corte</w:t>
      </w:r>
      <w:r w:rsidR="003A1D69">
        <w:rPr>
          <w:rFonts w:ascii="Times New Roman" w:eastAsia="Times New Roman" w:hAnsi="Times New Roman"/>
          <w:sz w:val="24"/>
          <w:szCs w:val="24"/>
        </w:rPr>
        <w:t>, por sua vez,</w:t>
      </w:r>
      <w:r w:rsidR="00B10994">
        <w:rPr>
          <w:rFonts w:ascii="Times New Roman" w:eastAsia="Times New Roman" w:hAnsi="Times New Roman"/>
          <w:sz w:val="24"/>
          <w:szCs w:val="24"/>
        </w:rPr>
        <w:t xml:space="preserve"> entende que o atendimento de saúde deve ser preferencial às vítimas e direcionado especificamente a sanar os efeitos produzidos pelas violações de direitos humanos em questão (Corte IDH, 2014, § 44). </w:t>
      </w:r>
    </w:p>
    <w:p w:rsidR="00FB623B" w:rsidRDefault="00FB623B"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A obrigação de investigar com vistas ao processamento e, se for o caso, à punição dos responsáveis está presente na esmagadora maioria das decisões da Comissão Interamericana de Direitos Humanos (CIDH) e da Corte IDH. Exemplificativamente, menciona-se o Caso 12.001 (Simone André Diniz), em trâmite perante a CIDH e em fase de cumprimento de recomendações pelo Estado. Desde a emissão do Relatório de Mérito, em 2006, o Estado brasileiro reporta à CIDH os esforços em prol da reabertura das investigações </w:t>
      </w:r>
      <w:r w:rsidR="00FD796A">
        <w:rPr>
          <w:rFonts w:ascii="Times New Roman" w:eastAsia="Times New Roman" w:hAnsi="Times New Roman"/>
          <w:sz w:val="24"/>
          <w:szCs w:val="24"/>
        </w:rPr>
        <w:t xml:space="preserve">acerca do ato de discriminação racial sofrido pela Sra. Simone André Diniz. O Ministério Público do Estado de São Paulo realizou a revisão correspondente, mas concluiu que a inexistência de novas provas obstaria o oferecimento de denúncia. Nos termos da Fica de Supervisão de 2018, foi dado cumprimento parcial a esta recomendação (CIDH, 2019). </w:t>
      </w:r>
    </w:p>
    <w:p w:rsidR="00FD796A" w:rsidRDefault="00FD796A"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Mesma postura do Estado brasi</w:t>
      </w:r>
      <w:r w:rsidR="00524A77">
        <w:rPr>
          <w:rFonts w:ascii="Times New Roman" w:eastAsia="Times New Roman" w:hAnsi="Times New Roman"/>
          <w:sz w:val="24"/>
          <w:szCs w:val="24"/>
        </w:rPr>
        <w:t xml:space="preserve">leiro é observada quanto à sentença do Caso Garibaldi v. Brasil. O Ministério Público solicitou o desarquivamento do inquérito policial para apurar o homicídio do Sr. Garibaldi. Apesar das novas diligências empreendidas, o Poder Judiciário também concluiu pela inexistência de novas provas. Mesmo com a interposição de recurso especial, a decisão de trancamento da ação penal foi mantida e transitou em julgado em 2016 (Corte IDH, 2012). </w:t>
      </w:r>
    </w:p>
    <w:p w:rsidR="00C027AD" w:rsidRDefault="003A1D69"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Acerca das garantias de não-repetição, comenta-se sobre a</w:t>
      </w:r>
      <w:r w:rsidR="00C027AD">
        <w:rPr>
          <w:rFonts w:ascii="Times New Roman" w:eastAsia="Times New Roman" w:hAnsi="Times New Roman"/>
          <w:sz w:val="24"/>
          <w:szCs w:val="24"/>
        </w:rPr>
        <w:t xml:space="preserve"> sentença do Caso dos </w:t>
      </w:r>
      <w:r w:rsidR="00C027AD">
        <w:rPr>
          <w:rFonts w:ascii="Times New Roman" w:eastAsia="Times New Roman" w:hAnsi="Times New Roman"/>
          <w:sz w:val="24"/>
          <w:szCs w:val="24"/>
        </w:rPr>
        <w:lastRenderedPageBreak/>
        <w:t xml:space="preserve">Empregados da Fábrica de Fogos de Santo Antônio de Jesus v. Brasil, </w:t>
      </w:r>
      <w:r>
        <w:rPr>
          <w:rFonts w:ascii="Times New Roman" w:eastAsia="Times New Roman" w:hAnsi="Times New Roman"/>
          <w:sz w:val="24"/>
          <w:szCs w:val="24"/>
        </w:rPr>
        <w:t xml:space="preserve">na qual </w:t>
      </w:r>
      <w:r w:rsidR="00C027AD">
        <w:rPr>
          <w:rFonts w:ascii="Times New Roman" w:eastAsia="Times New Roman" w:hAnsi="Times New Roman"/>
          <w:sz w:val="24"/>
          <w:szCs w:val="24"/>
        </w:rPr>
        <w:t xml:space="preserve">a Corte IDH impôs medida de reparação que exigirá do Estado brasileiro a efetivação de políticas públicas. </w:t>
      </w:r>
      <w:r w:rsidR="00A37329">
        <w:rPr>
          <w:rFonts w:ascii="Times New Roman" w:eastAsia="Times New Roman" w:hAnsi="Times New Roman"/>
          <w:sz w:val="24"/>
          <w:szCs w:val="24"/>
        </w:rPr>
        <w:t xml:space="preserve">Trata-se de programa de desenvolvimento socioeconômico para promover a inserção de indivíduos dedicados à fabricação de fogos de artifício em outros mercados de trabalho (Corte IDH, 2020). </w:t>
      </w:r>
      <w:r w:rsidR="00134E85">
        <w:rPr>
          <w:rFonts w:ascii="Times New Roman" w:eastAsia="Times New Roman" w:hAnsi="Times New Roman"/>
          <w:sz w:val="24"/>
          <w:szCs w:val="24"/>
        </w:rPr>
        <w:t xml:space="preserve">Como a Corte não apresenta diretrizes para a implantação de referido programa, indagam-se quais os parâmetros nortearão a avaliação do cumprimento desta medida pelo Brasil. Na mesma sentença, a Corte IDH ordenou ao Brasil que relate sobre a aplicação das Diretrizes Nacionais sobre Empresas e Direitos Humanos. Este exercício de </w:t>
      </w:r>
      <w:r w:rsidR="00134E85" w:rsidRPr="00134E85">
        <w:rPr>
          <w:rFonts w:ascii="Times New Roman" w:eastAsia="Times New Roman" w:hAnsi="Times New Roman"/>
          <w:i/>
          <w:sz w:val="24"/>
          <w:szCs w:val="24"/>
        </w:rPr>
        <w:t>follow-up</w:t>
      </w:r>
      <w:r w:rsidR="00134E85">
        <w:rPr>
          <w:rFonts w:ascii="Times New Roman" w:eastAsia="Times New Roman" w:hAnsi="Times New Roman"/>
          <w:sz w:val="24"/>
          <w:szCs w:val="24"/>
        </w:rPr>
        <w:t xml:space="preserve"> em relação à implementação de políticas públicas está bastante além da função contenciosa exercida pela Corte. </w:t>
      </w:r>
    </w:p>
    <w:p w:rsidR="00845D3D" w:rsidRDefault="00D219F3" w:rsidP="00134E85">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No âmbito das medidas provisórias</w:t>
      </w:r>
      <w:r w:rsidR="00247474">
        <w:rPr>
          <w:rStyle w:val="FootnoteReference"/>
          <w:rFonts w:ascii="Times New Roman" w:eastAsia="Times New Roman" w:hAnsi="Times New Roman"/>
          <w:sz w:val="24"/>
          <w:szCs w:val="24"/>
        </w:rPr>
        <w:footnoteReference w:id="4"/>
      </w:r>
      <w:r>
        <w:rPr>
          <w:rFonts w:ascii="Times New Roman" w:eastAsia="Times New Roman" w:hAnsi="Times New Roman"/>
          <w:sz w:val="24"/>
          <w:szCs w:val="24"/>
        </w:rPr>
        <w:t xml:space="preserve">, </w:t>
      </w:r>
      <w:r w:rsidR="00247474">
        <w:rPr>
          <w:rFonts w:ascii="Times New Roman" w:eastAsia="Times New Roman" w:hAnsi="Times New Roman"/>
          <w:sz w:val="24"/>
          <w:szCs w:val="24"/>
        </w:rPr>
        <w:t xml:space="preserve">destacam-se as Resoluções sobre o Instituto Penal Plácido de Sá Carvalho (Corte IDH, </w:t>
      </w:r>
      <w:r w:rsidR="002A0759">
        <w:rPr>
          <w:rFonts w:ascii="Times New Roman" w:eastAsia="Times New Roman" w:hAnsi="Times New Roman"/>
          <w:sz w:val="24"/>
          <w:szCs w:val="24"/>
        </w:rPr>
        <w:t xml:space="preserve">2018a) </w:t>
      </w:r>
      <w:r w:rsidR="00247474">
        <w:rPr>
          <w:rFonts w:ascii="Times New Roman" w:eastAsia="Times New Roman" w:hAnsi="Times New Roman"/>
          <w:sz w:val="24"/>
          <w:szCs w:val="24"/>
        </w:rPr>
        <w:t>e o Co</w:t>
      </w:r>
      <w:r w:rsidR="002A0759">
        <w:rPr>
          <w:rFonts w:ascii="Times New Roman" w:eastAsia="Times New Roman" w:hAnsi="Times New Roman"/>
          <w:sz w:val="24"/>
          <w:szCs w:val="24"/>
        </w:rPr>
        <w:t xml:space="preserve">mplexo Penitenciário de Curado (Corte IDH, 2018b). </w:t>
      </w:r>
      <w:r w:rsidR="001534C1">
        <w:rPr>
          <w:rFonts w:ascii="Times New Roman" w:eastAsia="Times New Roman" w:hAnsi="Times New Roman"/>
          <w:sz w:val="24"/>
          <w:szCs w:val="24"/>
        </w:rPr>
        <w:t>Para a Corte IDH, a superlotação destes estabelecimentos prisionais tornou a privação de liberdade antijurídica, pois violadora de direitos como a</w:t>
      </w:r>
      <w:r w:rsidR="00954CE1">
        <w:rPr>
          <w:rFonts w:ascii="Times New Roman" w:eastAsia="Times New Roman" w:hAnsi="Times New Roman"/>
          <w:sz w:val="24"/>
          <w:szCs w:val="24"/>
        </w:rPr>
        <w:t xml:space="preserve"> integridade pessoal, consagrado</w:t>
      </w:r>
      <w:r w:rsidR="001534C1">
        <w:rPr>
          <w:rFonts w:ascii="Times New Roman" w:eastAsia="Times New Roman" w:hAnsi="Times New Roman"/>
          <w:sz w:val="24"/>
          <w:szCs w:val="24"/>
        </w:rPr>
        <w:t xml:space="preserve"> no artigo 5º da CADH. Como tentativa de remediar a condição degradante, a Corte determinou o </w:t>
      </w:r>
      <w:r w:rsidR="00954CE1">
        <w:rPr>
          <w:rFonts w:ascii="Times New Roman" w:eastAsia="Times New Roman" w:hAnsi="Times New Roman"/>
          <w:sz w:val="24"/>
          <w:szCs w:val="24"/>
        </w:rPr>
        <w:t>cômputo em dobro do tempo de prisão e indicou que o Brasil deve aplicar esta reparação conforme os institutos juríd</w:t>
      </w:r>
      <w:r w:rsidR="00FB623B">
        <w:rPr>
          <w:rFonts w:ascii="Times New Roman" w:eastAsia="Times New Roman" w:hAnsi="Times New Roman"/>
          <w:sz w:val="24"/>
          <w:szCs w:val="24"/>
        </w:rPr>
        <w:t>icos internos, fazendo uma leitura da</w:t>
      </w:r>
      <w:r w:rsidR="00954CE1">
        <w:rPr>
          <w:rFonts w:ascii="Times New Roman" w:eastAsia="Times New Roman" w:hAnsi="Times New Roman"/>
          <w:sz w:val="24"/>
          <w:szCs w:val="24"/>
        </w:rPr>
        <w:t xml:space="preserve"> Súmula Vinculante nº 56 do Supremo Tribunal Federal.</w:t>
      </w:r>
      <w:r w:rsidR="00C027AD">
        <w:rPr>
          <w:rStyle w:val="FootnoteReference"/>
          <w:rFonts w:ascii="Times New Roman" w:eastAsia="Times New Roman" w:hAnsi="Times New Roman"/>
          <w:sz w:val="24"/>
          <w:szCs w:val="24"/>
        </w:rPr>
        <w:footnoteReference w:id="5"/>
      </w:r>
      <w:r w:rsidR="00954CE1">
        <w:rPr>
          <w:rFonts w:ascii="Times New Roman" w:eastAsia="Times New Roman" w:hAnsi="Times New Roman"/>
          <w:sz w:val="24"/>
          <w:szCs w:val="24"/>
        </w:rPr>
        <w:t xml:space="preserve"> </w:t>
      </w:r>
    </w:p>
    <w:p w:rsidR="00D41F30" w:rsidRDefault="00A37329" w:rsidP="00524A77">
      <w:pPr>
        <w:widowControl w:val="0"/>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A diversidade e o alcance das medidas de recomendação e de reparação </w:t>
      </w:r>
      <w:r w:rsidR="00524A77">
        <w:rPr>
          <w:rFonts w:ascii="Times New Roman" w:eastAsia="Times New Roman" w:hAnsi="Times New Roman"/>
          <w:sz w:val="24"/>
          <w:szCs w:val="24"/>
        </w:rPr>
        <w:t xml:space="preserve">da CIDH e da Corte IDH lançam luzes sobre a necessidade </w:t>
      </w:r>
      <w:r w:rsidR="006A230A">
        <w:rPr>
          <w:rFonts w:ascii="Times New Roman" w:eastAsia="Times New Roman" w:hAnsi="Times New Roman"/>
          <w:sz w:val="24"/>
          <w:szCs w:val="24"/>
        </w:rPr>
        <w:t>de uma ordem jurídica apta a recepcionar tais comandos internacionais. Muito se discute sobre a adoção de legislação que disponha sobre o cumprimento de decisões de organismos internacionais de direitos humanos. Entretanto, vê-se que as iniciativas são, no mais das vezes, adstritas ao aspecto pecuniário das</w:t>
      </w:r>
      <w:r w:rsidR="00D04151">
        <w:rPr>
          <w:rFonts w:ascii="Times New Roman" w:eastAsia="Times New Roman" w:hAnsi="Times New Roman"/>
          <w:sz w:val="24"/>
          <w:szCs w:val="24"/>
        </w:rPr>
        <w:t xml:space="preserve"> medidas de reparação, como o Projeto de Lei nº 153/20, da Câmara dos Deputados, que pretende converter as medidas de caráter indenizatório em títulos executivos judiciais sujeitos à execução direta contra a Fazenda Pública (Brasil, 2020).</w:t>
      </w:r>
      <w:r w:rsidR="00990B6A">
        <w:rPr>
          <w:rStyle w:val="FootnoteReference"/>
          <w:rFonts w:ascii="Times New Roman" w:eastAsia="Times New Roman" w:hAnsi="Times New Roman"/>
          <w:sz w:val="24"/>
          <w:szCs w:val="24"/>
        </w:rPr>
        <w:footnoteReference w:id="6"/>
      </w:r>
      <w:r w:rsidR="00D04151">
        <w:rPr>
          <w:rFonts w:ascii="Times New Roman" w:eastAsia="Times New Roman" w:hAnsi="Times New Roman"/>
          <w:sz w:val="24"/>
          <w:szCs w:val="24"/>
        </w:rPr>
        <w:t xml:space="preserve"> </w:t>
      </w:r>
      <w:r w:rsidR="00990B6A">
        <w:rPr>
          <w:rFonts w:ascii="Times New Roman" w:eastAsia="Times New Roman" w:hAnsi="Times New Roman"/>
          <w:sz w:val="24"/>
          <w:szCs w:val="24"/>
        </w:rPr>
        <w:t xml:space="preserve">A este respeito, é bastante comum referenciar </w:t>
      </w:r>
      <w:r w:rsidR="00990B6A">
        <w:rPr>
          <w:rFonts w:ascii="Times New Roman" w:eastAsia="Times New Roman" w:hAnsi="Times New Roman"/>
          <w:sz w:val="24"/>
          <w:szCs w:val="24"/>
        </w:rPr>
        <w:lastRenderedPageBreak/>
        <w:t>iniciativas legislativas de outros Estados latino-americanos, como Peru</w:t>
      </w:r>
      <w:r w:rsidR="00990B6A">
        <w:rPr>
          <w:rStyle w:val="FootnoteReference"/>
          <w:rFonts w:ascii="Times New Roman" w:eastAsia="Times New Roman" w:hAnsi="Times New Roman"/>
          <w:sz w:val="24"/>
          <w:szCs w:val="24"/>
        </w:rPr>
        <w:footnoteReference w:id="7"/>
      </w:r>
      <w:r w:rsidR="00990B6A">
        <w:rPr>
          <w:rFonts w:ascii="Times New Roman" w:eastAsia="Times New Roman" w:hAnsi="Times New Roman"/>
          <w:sz w:val="24"/>
          <w:szCs w:val="24"/>
        </w:rPr>
        <w:t xml:space="preserve"> e Colômbia</w:t>
      </w:r>
      <w:r w:rsidR="00990B6A">
        <w:rPr>
          <w:rStyle w:val="FootnoteReference"/>
          <w:rFonts w:ascii="Times New Roman" w:eastAsia="Times New Roman" w:hAnsi="Times New Roman"/>
          <w:sz w:val="24"/>
          <w:szCs w:val="24"/>
        </w:rPr>
        <w:footnoteReference w:id="8"/>
      </w:r>
      <w:r w:rsidR="00990B6A">
        <w:rPr>
          <w:rFonts w:ascii="Times New Roman" w:eastAsia="Times New Roman" w:hAnsi="Times New Roman"/>
          <w:sz w:val="24"/>
          <w:szCs w:val="24"/>
        </w:rPr>
        <w:t xml:space="preserve">. </w:t>
      </w:r>
    </w:p>
    <w:p w:rsidR="00D41F30" w:rsidRDefault="003A1D69" w:rsidP="00C02DE2">
      <w:pPr>
        <w:widowControl w:val="0"/>
        <w:spacing w:line="360" w:lineRule="auto"/>
        <w:ind w:firstLine="708"/>
        <w:jc w:val="both"/>
      </w:pPr>
      <w:r>
        <w:rPr>
          <w:rFonts w:ascii="Times New Roman" w:eastAsia="Times New Roman" w:hAnsi="Times New Roman"/>
          <w:sz w:val="24"/>
          <w:szCs w:val="24"/>
        </w:rPr>
        <w:t xml:space="preserve">Os desafios colocados pela ordem jurídica brasileira para que se dê real efeito às medidas voltadas à reparação de violações de direitos humanos produzem inquietações não apenas quanto à relação entre o Direito Internacional dos Direitos Humanos e do direito interno. Os exemplos </w:t>
      </w:r>
      <w:r w:rsidR="00C02DE2">
        <w:rPr>
          <w:rFonts w:ascii="Times New Roman" w:eastAsia="Times New Roman" w:hAnsi="Times New Roman"/>
          <w:sz w:val="24"/>
          <w:szCs w:val="24"/>
        </w:rPr>
        <w:t xml:space="preserve">ora mencionados também acarretam reflexões sobre o papel desempenhado pelas cortes internacionais e a autoridade que delas emana. Ao se considerar o entendimento de Ingo </w:t>
      </w:r>
      <w:proofErr w:type="spellStart"/>
      <w:r w:rsidR="00C02DE2">
        <w:rPr>
          <w:rFonts w:ascii="Times New Roman" w:eastAsia="Times New Roman" w:hAnsi="Times New Roman"/>
          <w:sz w:val="24"/>
          <w:szCs w:val="24"/>
        </w:rPr>
        <w:t>Venzke</w:t>
      </w:r>
      <w:proofErr w:type="spellEnd"/>
      <w:r w:rsidR="00C02DE2">
        <w:rPr>
          <w:rFonts w:ascii="Times New Roman" w:eastAsia="Times New Roman" w:hAnsi="Times New Roman"/>
          <w:sz w:val="24"/>
          <w:szCs w:val="24"/>
        </w:rPr>
        <w:t xml:space="preserve"> e Amin von </w:t>
      </w:r>
      <w:proofErr w:type="spellStart"/>
      <w:r w:rsidR="00C02DE2">
        <w:rPr>
          <w:rFonts w:ascii="Times New Roman" w:eastAsia="Times New Roman" w:hAnsi="Times New Roman"/>
          <w:sz w:val="24"/>
          <w:szCs w:val="24"/>
        </w:rPr>
        <w:t>Bogdandy</w:t>
      </w:r>
      <w:proofErr w:type="spellEnd"/>
      <w:r w:rsidR="00C02DE2">
        <w:rPr>
          <w:rFonts w:ascii="Times New Roman" w:eastAsia="Times New Roman" w:hAnsi="Times New Roman"/>
          <w:sz w:val="24"/>
          <w:szCs w:val="24"/>
        </w:rPr>
        <w:t xml:space="preserve">, tem-se que a autoridade pública se relaciona com a capacidade de impactar outros atores no exercício de suas liberdades. Resta saber como tais impactos se seguirão reverberando no Brasil. </w:t>
      </w:r>
    </w:p>
    <w:p w:rsidR="00D41F30" w:rsidRDefault="00D41F30" w:rsidP="00AB4F07">
      <w:pPr>
        <w:widowControl w:val="0"/>
        <w:spacing w:line="360" w:lineRule="auto"/>
        <w:jc w:val="both"/>
        <w:rPr>
          <w:rFonts w:ascii="Times New Roman" w:eastAsia="Times New Roman" w:hAnsi="Times New Roman"/>
          <w:sz w:val="24"/>
          <w:szCs w:val="24"/>
        </w:rPr>
      </w:pPr>
    </w:p>
    <w:p w:rsidR="00AB4F07" w:rsidRDefault="00AB4F07" w:rsidP="00AB4F07">
      <w:pPr>
        <w:widowControl w:val="0"/>
        <w:spacing w:line="360" w:lineRule="auto"/>
        <w:rPr>
          <w:rFonts w:ascii="Times New Roman" w:eastAsia="Times New Roman" w:hAnsi="Times New Roman"/>
          <w:sz w:val="24"/>
          <w:szCs w:val="24"/>
        </w:rPr>
      </w:pPr>
      <w:r w:rsidRPr="00844166">
        <w:rPr>
          <w:rFonts w:ascii="Times New Roman" w:eastAsia="Times New Roman" w:hAnsi="Times New Roman"/>
          <w:b/>
          <w:sz w:val="24"/>
          <w:szCs w:val="24"/>
        </w:rPr>
        <w:t>Palavras-chave:</w:t>
      </w:r>
      <w:r w:rsidR="00CA365E">
        <w:rPr>
          <w:rFonts w:ascii="Times New Roman" w:eastAsia="Times New Roman" w:hAnsi="Times New Roman"/>
          <w:sz w:val="24"/>
          <w:szCs w:val="24"/>
        </w:rPr>
        <w:t xml:space="preserve"> Sistema Interamericano de Direitos Humanos. Cumprimento de decisões. Brasil. </w:t>
      </w:r>
    </w:p>
    <w:p w:rsidR="00A37329" w:rsidRDefault="00A37329" w:rsidP="00AB4F07">
      <w:pPr>
        <w:widowControl w:val="0"/>
        <w:spacing w:line="360" w:lineRule="auto"/>
        <w:rPr>
          <w:rFonts w:ascii="Times New Roman" w:eastAsia="Times New Roman" w:hAnsi="Times New Roman"/>
          <w:sz w:val="24"/>
          <w:szCs w:val="24"/>
        </w:rPr>
      </w:pPr>
    </w:p>
    <w:p w:rsidR="00AB4F07" w:rsidRDefault="00AB4F07" w:rsidP="00AB4F07">
      <w:pPr>
        <w:widowControl w:val="0"/>
        <w:spacing w:line="360" w:lineRule="auto"/>
        <w:rPr>
          <w:rFonts w:ascii="Times New Roman" w:eastAsia="Times New Roman" w:hAnsi="Times New Roman"/>
          <w:b/>
          <w:sz w:val="24"/>
          <w:szCs w:val="24"/>
        </w:rPr>
      </w:pPr>
      <w:r w:rsidRPr="00844166">
        <w:rPr>
          <w:rFonts w:ascii="Times New Roman" w:eastAsia="Times New Roman" w:hAnsi="Times New Roman"/>
          <w:b/>
          <w:sz w:val="24"/>
          <w:szCs w:val="24"/>
        </w:rPr>
        <w:t>Referências</w:t>
      </w:r>
    </w:p>
    <w:p w:rsidR="006A230A" w:rsidRDefault="006A230A" w:rsidP="006A230A">
      <w:pPr>
        <w:autoSpaceDE w:val="0"/>
        <w:autoSpaceDN w:val="0"/>
        <w:adjustRightInd w:val="0"/>
        <w:spacing w:line="360" w:lineRule="auto"/>
        <w:jc w:val="both"/>
        <w:rPr>
          <w:rFonts w:ascii="Times New Roman" w:hAnsi="Times New Roman"/>
          <w:sz w:val="24"/>
          <w:szCs w:val="24"/>
          <w:lang w:val="es-ES" w:eastAsia="pt-BR"/>
        </w:rPr>
      </w:pPr>
      <w:r w:rsidRPr="006A230A">
        <w:rPr>
          <w:rFonts w:ascii="Times New Roman" w:hAnsi="Times New Roman"/>
          <w:sz w:val="24"/>
          <w:szCs w:val="24"/>
          <w:lang w:val="es-ES" w:eastAsia="pt-BR"/>
        </w:rPr>
        <w:t xml:space="preserve">BOGDANDY, Armin von; VENZKE, Ingo. </w:t>
      </w:r>
      <w:r w:rsidRPr="006A230A">
        <w:rPr>
          <w:rFonts w:ascii="Times New Roman" w:hAnsi="Times New Roman"/>
          <w:i/>
          <w:sz w:val="24"/>
          <w:szCs w:val="24"/>
          <w:lang w:val="es-ES" w:eastAsia="pt-BR"/>
        </w:rPr>
        <w:t>¿En nombre de quién?</w:t>
      </w:r>
      <w:r w:rsidRPr="006A230A">
        <w:rPr>
          <w:rFonts w:ascii="Times New Roman" w:hAnsi="Times New Roman"/>
          <w:sz w:val="24"/>
          <w:szCs w:val="24"/>
          <w:lang w:val="es-ES" w:eastAsia="pt-BR"/>
        </w:rPr>
        <w:t>: Una teoría de derecho público sobre</w:t>
      </w:r>
      <w:r>
        <w:rPr>
          <w:rFonts w:ascii="Times New Roman" w:hAnsi="Times New Roman"/>
          <w:sz w:val="24"/>
          <w:szCs w:val="24"/>
          <w:lang w:val="es-ES" w:eastAsia="pt-BR"/>
        </w:rPr>
        <w:t xml:space="preserve"> </w:t>
      </w:r>
      <w:r w:rsidRPr="006A230A">
        <w:rPr>
          <w:rFonts w:ascii="Times New Roman" w:hAnsi="Times New Roman"/>
          <w:sz w:val="24"/>
          <w:szCs w:val="24"/>
          <w:lang w:val="es-ES" w:eastAsia="pt-BR"/>
        </w:rPr>
        <w:t>la actividad judicial internacional. Colômbia: Universi</w:t>
      </w:r>
      <w:r>
        <w:rPr>
          <w:rFonts w:ascii="Times New Roman" w:hAnsi="Times New Roman"/>
          <w:sz w:val="24"/>
          <w:szCs w:val="24"/>
          <w:lang w:val="es-ES" w:eastAsia="pt-BR"/>
        </w:rPr>
        <w:t xml:space="preserve">dad Externado de Colombia, 2016. </w:t>
      </w:r>
    </w:p>
    <w:p w:rsidR="00D04151" w:rsidRPr="00D04151" w:rsidRDefault="00D04151" w:rsidP="006A230A">
      <w:pPr>
        <w:autoSpaceDE w:val="0"/>
        <w:autoSpaceDN w:val="0"/>
        <w:adjustRightInd w:val="0"/>
        <w:spacing w:line="360" w:lineRule="auto"/>
        <w:jc w:val="both"/>
        <w:rPr>
          <w:rFonts w:ascii="Times New Roman" w:eastAsia="Times New Roman" w:hAnsi="Times New Roman"/>
          <w:sz w:val="24"/>
          <w:szCs w:val="24"/>
        </w:rPr>
      </w:pPr>
      <w:r w:rsidRPr="00D04151">
        <w:rPr>
          <w:rFonts w:ascii="Times New Roman" w:hAnsi="Times New Roman"/>
          <w:sz w:val="24"/>
          <w:szCs w:val="24"/>
          <w:lang w:eastAsia="pt-BR"/>
        </w:rPr>
        <w:t xml:space="preserve">BRASIL. Câmara dos Deputados. </w:t>
      </w:r>
      <w:r>
        <w:rPr>
          <w:rFonts w:ascii="Times New Roman" w:hAnsi="Times New Roman"/>
          <w:sz w:val="24"/>
          <w:szCs w:val="24"/>
          <w:lang w:eastAsia="pt-BR"/>
        </w:rPr>
        <w:t>Projeto de Lei nº 153/2020. Disponível em: &lt;</w:t>
      </w:r>
      <w:hyperlink r:id="rId8" w:history="1">
        <w:r w:rsidRPr="00EB2FA8">
          <w:rPr>
            <w:rStyle w:val="Hyperlink"/>
            <w:rFonts w:ascii="Times New Roman" w:hAnsi="Times New Roman"/>
            <w:sz w:val="24"/>
            <w:szCs w:val="24"/>
            <w:lang w:eastAsia="pt-BR"/>
          </w:rPr>
          <w:t>https://www.camara.leg.br/propostas-legislativas/2236670</w:t>
        </w:r>
      </w:hyperlink>
      <w:r>
        <w:rPr>
          <w:rFonts w:ascii="Times New Roman" w:hAnsi="Times New Roman"/>
          <w:sz w:val="24"/>
          <w:szCs w:val="24"/>
          <w:lang w:eastAsia="pt-BR"/>
        </w:rPr>
        <w:t xml:space="preserve">&gt;. Acesso em: 14 nov. 2020. </w:t>
      </w:r>
    </w:p>
    <w:p w:rsidR="00FD796A" w:rsidRDefault="00FD796A" w:rsidP="006A230A">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CIDH. Informe Anual de 2019. Disponível em: &lt;</w:t>
      </w:r>
      <w:hyperlink r:id="rId9" w:history="1">
        <w:r w:rsidRPr="00EB2FA8">
          <w:rPr>
            <w:rStyle w:val="Hyperlink"/>
            <w:rFonts w:ascii="Times New Roman" w:eastAsia="Times New Roman" w:hAnsi="Times New Roman"/>
            <w:sz w:val="24"/>
            <w:szCs w:val="24"/>
          </w:rPr>
          <w:t>http://www.oas.org/es/cidh/docs/anual/2019/indice.asp</w:t>
        </w:r>
      </w:hyperlink>
      <w:r>
        <w:rPr>
          <w:rFonts w:ascii="Times New Roman" w:eastAsia="Times New Roman" w:hAnsi="Times New Roman"/>
          <w:sz w:val="24"/>
          <w:szCs w:val="24"/>
        </w:rPr>
        <w:t xml:space="preserve">&gt;. Acesso em: 14 nov. 2020. </w:t>
      </w:r>
    </w:p>
    <w:p w:rsidR="00A37329" w:rsidRPr="00A122C4" w:rsidRDefault="00A37329" w:rsidP="006A230A">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CORTE IDH. </w:t>
      </w:r>
      <w:r w:rsidRPr="00B10994">
        <w:rPr>
          <w:rFonts w:ascii="Times New Roman" w:eastAsia="Times New Roman" w:hAnsi="Times New Roman"/>
          <w:sz w:val="24"/>
          <w:szCs w:val="24"/>
        </w:rPr>
        <w:t>Caso dos Empregados da Fábrica de Fogos de Santo Antônio de Jesus v. Brasil. Sentença de 15 de julho de 2020. Série C, n. 407.</w:t>
      </w:r>
      <w:r>
        <w:rPr>
          <w:rFonts w:ascii="Times New Roman" w:eastAsia="Times New Roman" w:hAnsi="Times New Roman"/>
          <w:sz w:val="24"/>
          <w:szCs w:val="24"/>
        </w:rPr>
        <w:t xml:space="preserve"> </w:t>
      </w:r>
    </w:p>
    <w:p w:rsidR="00A122C4" w:rsidRDefault="00A05B81" w:rsidP="00D41F30">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CORTE</w:t>
      </w:r>
      <w:r w:rsidR="00A122C4" w:rsidRPr="00A122C4">
        <w:rPr>
          <w:rFonts w:ascii="Times New Roman" w:eastAsia="Times New Roman" w:hAnsi="Times New Roman"/>
          <w:sz w:val="24"/>
          <w:szCs w:val="24"/>
        </w:rPr>
        <w:t xml:space="preserve"> IDH. </w:t>
      </w:r>
      <w:r w:rsidR="00A122C4" w:rsidRPr="00A122C4">
        <w:rPr>
          <w:rFonts w:ascii="Times New Roman" w:eastAsia="Times New Roman" w:hAnsi="Times New Roman"/>
          <w:i/>
          <w:sz w:val="24"/>
          <w:szCs w:val="24"/>
        </w:rPr>
        <w:t>Relatório Anual 2019</w:t>
      </w:r>
      <w:r w:rsidR="00A122C4" w:rsidRPr="00A122C4">
        <w:rPr>
          <w:rFonts w:ascii="Times New Roman" w:eastAsia="Times New Roman" w:hAnsi="Times New Roman"/>
          <w:sz w:val="24"/>
          <w:szCs w:val="24"/>
        </w:rPr>
        <w:t>. S</w:t>
      </w:r>
      <w:r w:rsidR="00A122C4">
        <w:rPr>
          <w:rFonts w:ascii="Times New Roman" w:eastAsia="Times New Roman" w:hAnsi="Times New Roman"/>
          <w:sz w:val="24"/>
          <w:szCs w:val="24"/>
        </w:rPr>
        <w:t>ão José: Corte IDH, 2020. Disponível em: &lt;</w:t>
      </w:r>
      <w:hyperlink r:id="rId10" w:history="1">
        <w:r w:rsidR="00A122C4" w:rsidRPr="00EB2FA8">
          <w:rPr>
            <w:rStyle w:val="Hyperlink"/>
            <w:rFonts w:ascii="Times New Roman" w:eastAsia="Times New Roman" w:hAnsi="Times New Roman"/>
            <w:sz w:val="24"/>
            <w:szCs w:val="24"/>
          </w:rPr>
          <w:t>https://www.corteidh.or.cr/tablas/informe2019/portugues.pdf</w:t>
        </w:r>
      </w:hyperlink>
      <w:r w:rsidR="00A122C4">
        <w:rPr>
          <w:rFonts w:ascii="Times New Roman" w:eastAsia="Times New Roman" w:hAnsi="Times New Roman"/>
          <w:sz w:val="24"/>
          <w:szCs w:val="24"/>
        </w:rPr>
        <w:t xml:space="preserve">&gt;. Acesso em: 14 nov. 2020. </w:t>
      </w:r>
    </w:p>
    <w:p w:rsidR="00A37329" w:rsidRDefault="00A37329" w:rsidP="00A37329">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CORTE IDH. Resolução de 22 de novembro de 2018. Medidas Provisórias a respeito do Brasil. </w:t>
      </w:r>
      <w:r>
        <w:rPr>
          <w:rFonts w:ascii="Times New Roman" w:eastAsia="Times New Roman" w:hAnsi="Times New Roman"/>
          <w:sz w:val="24"/>
          <w:szCs w:val="24"/>
        </w:rPr>
        <w:lastRenderedPageBreak/>
        <w:t xml:space="preserve">Assunto do Instituto Penal Plácido de Sá Carvalho. </w:t>
      </w:r>
    </w:p>
    <w:p w:rsidR="00A37329" w:rsidRDefault="00A37329" w:rsidP="00A37329">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CORTE IDH. Resolução de 28 de novembro de 2018. Medidas Provisórias a respeito do Brasil. Assunto do Complexo Penitenciário de Curado. </w:t>
      </w:r>
    </w:p>
    <w:p w:rsidR="00B10994" w:rsidRDefault="00B10994" w:rsidP="00B10994">
      <w:pPr>
        <w:widowControl w:val="0"/>
        <w:spacing w:line="360" w:lineRule="auto"/>
        <w:jc w:val="both"/>
        <w:rPr>
          <w:rFonts w:ascii="Times New Roman" w:eastAsia="Times New Roman" w:hAnsi="Times New Roman"/>
          <w:sz w:val="24"/>
          <w:szCs w:val="24"/>
        </w:rPr>
      </w:pPr>
      <w:r w:rsidRPr="00B10994">
        <w:rPr>
          <w:rFonts w:ascii="Times New Roman" w:eastAsia="Times New Roman" w:hAnsi="Times New Roman"/>
          <w:sz w:val="24"/>
          <w:szCs w:val="24"/>
        </w:rPr>
        <w:t>CORTE IDH. Resolução de 17 de outubro de 2014</w:t>
      </w:r>
      <w:r>
        <w:rPr>
          <w:rFonts w:ascii="Times New Roman" w:eastAsia="Times New Roman" w:hAnsi="Times New Roman"/>
          <w:sz w:val="24"/>
          <w:szCs w:val="24"/>
        </w:rPr>
        <w:t xml:space="preserve">. Supervisão de Cumprimento de Sentença. Caso Gomes </w:t>
      </w:r>
      <w:proofErr w:type="spellStart"/>
      <w:r>
        <w:rPr>
          <w:rFonts w:ascii="Times New Roman" w:eastAsia="Times New Roman" w:hAnsi="Times New Roman"/>
          <w:sz w:val="24"/>
          <w:szCs w:val="24"/>
        </w:rPr>
        <w:t>Lund</w:t>
      </w:r>
      <w:proofErr w:type="spellEnd"/>
      <w:r>
        <w:rPr>
          <w:rFonts w:ascii="Times New Roman" w:eastAsia="Times New Roman" w:hAnsi="Times New Roman"/>
          <w:sz w:val="24"/>
          <w:szCs w:val="24"/>
        </w:rPr>
        <w:t xml:space="preserve"> e Outros (“Guerrilha do Araguaia”) v. Brasil. </w:t>
      </w:r>
    </w:p>
    <w:p w:rsidR="00524A77" w:rsidRPr="00524A77" w:rsidRDefault="00524A77" w:rsidP="00524A77">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CORTE</w:t>
      </w:r>
      <w:r w:rsidRPr="00524A77">
        <w:rPr>
          <w:rFonts w:ascii="Times New Roman" w:eastAsia="Times New Roman" w:hAnsi="Times New Roman"/>
          <w:sz w:val="24"/>
          <w:szCs w:val="24"/>
        </w:rPr>
        <w:t xml:space="preserve"> IDH. Resolução de 20 de fevereiro de 2012. </w:t>
      </w:r>
      <w:r>
        <w:rPr>
          <w:rFonts w:ascii="Times New Roman" w:eastAsia="Times New Roman" w:hAnsi="Times New Roman"/>
          <w:sz w:val="24"/>
          <w:szCs w:val="24"/>
        </w:rPr>
        <w:t xml:space="preserve">Supervisão de Cumprimento de Sentença. Caso Garibaldi v. Brasil. </w:t>
      </w:r>
    </w:p>
    <w:p w:rsidR="00CA365E" w:rsidRDefault="00CA365E" w:rsidP="00D41F30">
      <w:pPr>
        <w:widowControl w:val="0"/>
        <w:spacing w:line="360" w:lineRule="auto"/>
        <w:jc w:val="both"/>
        <w:rPr>
          <w:rFonts w:ascii="Times New Roman" w:eastAsia="Times New Roman" w:hAnsi="Times New Roman"/>
          <w:sz w:val="24"/>
          <w:szCs w:val="24"/>
          <w:lang w:val="es-ES"/>
        </w:rPr>
      </w:pPr>
      <w:r w:rsidRPr="00A122C4">
        <w:rPr>
          <w:rFonts w:ascii="Times New Roman" w:eastAsia="Times New Roman" w:hAnsi="Times New Roman"/>
          <w:sz w:val="24"/>
          <w:szCs w:val="24"/>
        </w:rPr>
        <w:t xml:space="preserve">LÓPEZ, Oliver. </w:t>
      </w:r>
      <w:proofErr w:type="spellStart"/>
      <w:r w:rsidRPr="00A122C4">
        <w:rPr>
          <w:rFonts w:ascii="Times New Roman" w:eastAsia="Times New Roman" w:hAnsi="Times New Roman"/>
          <w:sz w:val="24"/>
          <w:szCs w:val="24"/>
        </w:rPr>
        <w:t>Cumplimineto</w:t>
      </w:r>
      <w:proofErr w:type="spellEnd"/>
      <w:r w:rsidRPr="00A122C4">
        <w:rPr>
          <w:rFonts w:ascii="Times New Roman" w:eastAsia="Times New Roman" w:hAnsi="Times New Roman"/>
          <w:sz w:val="24"/>
          <w:szCs w:val="24"/>
        </w:rPr>
        <w:t xml:space="preserve"> y </w:t>
      </w:r>
      <w:proofErr w:type="spellStart"/>
      <w:r w:rsidRPr="00A122C4">
        <w:rPr>
          <w:rFonts w:ascii="Times New Roman" w:eastAsia="Times New Roman" w:hAnsi="Times New Roman"/>
          <w:sz w:val="24"/>
          <w:szCs w:val="24"/>
        </w:rPr>
        <w:t>ejecución</w:t>
      </w:r>
      <w:proofErr w:type="spellEnd"/>
      <w:r w:rsidRPr="00A122C4">
        <w:rPr>
          <w:rFonts w:ascii="Times New Roman" w:eastAsia="Times New Roman" w:hAnsi="Times New Roman"/>
          <w:sz w:val="24"/>
          <w:szCs w:val="24"/>
        </w:rPr>
        <w:t xml:space="preserve"> de </w:t>
      </w:r>
      <w:proofErr w:type="spellStart"/>
      <w:r w:rsidRPr="00A122C4">
        <w:rPr>
          <w:rFonts w:ascii="Times New Roman" w:eastAsia="Times New Roman" w:hAnsi="Times New Roman"/>
          <w:sz w:val="24"/>
          <w:szCs w:val="24"/>
        </w:rPr>
        <w:t>las</w:t>
      </w:r>
      <w:proofErr w:type="spellEnd"/>
      <w:r w:rsidRPr="00A122C4">
        <w:rPr>
          <w:rFonts w:ascii="Times New Roman" w:eastAsia="Times New Roman" w:hAnsi="Times New Roman"/>
          <w:sz w:val="24"/>
          <w:szCs w:val="24"/>
        </w:rPr>
        <w:t xml:space="preserve"> sentencias de </w:t>
      </w:r>
      <w:proofErr w:type="spellStart"/>
      <w:r w:rsidRPr="00A122C4">
        <w:rPr>
          <w:rFonts w:ascii="Times New Roman" w:eastAsia="Times New Roman" w:hAnsi="Times New Roman"/>
          <w:sz w:val="24"/>
          <w:szCs w:val="24"/>
        </w:rPr>
        <w:t>la</w:t>
      </w:r>
      <w:proofErr w:type="spellEnd"/>
      <w:r w:rsidRPr="00A122C4">
        <w:rPr>
          <w:rFonts w:ascii="Times New Roman" w:eastAsia="Times New Roman" w:hAnsi="Times New Roman"/>
          <w:sz w:val="24"/>
          <w:szCs w:val="24"/>
        </w:rPr>
        <w:t xml:space="preserve"> Corte Interamericana de </w:t>
      </w:r>
      <w:proofErr w:type="spellStart"/>
      <w:r w:rsidRPr="00A122C4">
        <w:rPr>
          <w:rFonts w:ascii="Times New Roman" w:eastAsia="Times New Roman" w:hAnsi="Times New Roman"/>
          <w:sz w:val="24"/>
          <w:szCs w:val="24"/>
        </w:rPr>
        <w:t>Derechos</w:t>
      </w:r>
      <w:proofErr w:type="spellEnd"/>
      <w:r w:rsidRPr="00A122C4">
        <w:rPr>
          <w:rFonts w:ascii="Times New Roman" w:eastAsia="Times New Roman" w:hAnsi="Times New Roman"/>
          <w:sz w:val="24"/>
          <w:szCs w:val="24"/>
        </w:rPr>
        <w:t xml:space="preserve"> Humanos: </w:t>
      </w:r>
      <w:proofErr w:type="spellStart"/>
      <w:r w:rsidRPr="00A122C4">
        <w:rPr>
          <w:rFonts w:ascii="Times New Roman" w:eastAsia="Times New Roman" w:hAnsi="Times New Roman"/>
          <w:sz w:val="24"/>
          <w:szCs w:val="24"/>
        </w:rPr>
        <w:t>algu</w:t>
      </w:r>
      <w:r w:rsidRPr="00A37329">
        <w:rPr>
          <w:rFonts w:ascii="Times New Roman" w:eastAsia="Times New Roman" w:hAnsi="Times New Roman"/>
          <w:sz w:val="24"/>
          <w:szCs w:val="24"/>
        </w:rPr>
        <w:t>nas</w:t>
      </w:r>
      <w:proofErr w:type="spellEnd"/>
      <w:r w:rsidRPr="00A37329">
        <w:rPr>
          <w:rFonts w:ascii="Times New Roman" w:eastAsia="Times New Roman" w:hAnsi="Times New Roman"/>
          <w:sz w:val="24"/>
          <w:szCs w:val="24"/>
        </w:rPr>
        <w:t xml:space="preserve"> re</w:t>
      </w:r>
      <w:r>
        <w:rPr>
          <w:rFonts w:ascii="Times New Roman" w:eastAsia="Times New Roman" w:hAnsi="Times New Roman"/>
          <w:sz w:val="24"/>
          <w:szCs w:val="24"/>
          <w:lang w:val="es-ES"/>
        </w:rPr>
        <w:t xml:space="preserve">flexiones a partir del proceso de reforma en el Sistema Europeo de Derechos Humanos. </w:t>
      </w:r>
      <w:r w:rsidR="00D41F30" w:rsidRPr="00D41F30">
        <w:rPr>
          <w:rFonts w:ascii="Times New Roman" w:eastAsia="Times New Roman" w:hAnsi="Times New Roman"/>
          <w:i/>
          <w:sz w:val="24"/>
          <w:szCs w:val="24"/>
          <w:lang w:val="es-ES"/>
        </w:rPr>
        <w:t>Anuario de Derechos Humanos</w:t>
      </w:r>
      <w:r w:rsidR="00D41F30">
        <w:rPr>
          <w:rFonts w:ascii="Times New Roman" w:eastAsia="Times New Roman" w:hAnsi="Times New Roman"/>
          <w:sz w:val="24"/>
          <w:szCs w:val="24"/>
          <w:lang w:val="es-ES"/>
        </w:rPr>
        <w:t xml:space="preserve">, v. 15, n. 2, 2019, p. 213-235. </w:t>
      </w:r>
    </w:p>
    <w:p w:rsidR="00A122C4" w:rsidRPr="00B10994" w:rsidRDefault="00A122C4" w:rsidP="00D41F30">
      <w:pPr>
        <w:widowControl w:val="0"/>
        <w:spacing w:line="360" w:lineRule="auto"/>
        <w:jc w:val="both"/>
        <w:rPr>
          <w:rFonts w:ascii="Times New Roman" w:eastAsia="Times New Roman" w:hAnsi="Times New Roman"/>
          <w:sz w:val="24"/>
          <w:szCs w:val="24"/>
        </w:rPr>
      </w:pPr>
    </w:p>
    <w:p w:rsidR="00844166" w:rsidRPr="00B10994" w:rsidRDefault="00844166" w:rsidP="00AB4F07">
      <w:pPr>
        <w:widowControl w:val="0"/>
        <w:spacing w:line="360" w:lineRule="auto"/>
        <w:ind w:right="-330"/>
        <w:jc w:val="both"/>
        <w:rPr>
          <w:rFonts w:ascii="Times New Roman" w:eastAsia="Times New Roman" w:hAnsi="Times New Roman"/>
          <w:sz w:val="24"/>
          <w:szCs w:val="24"/>
        </w:rPr>
      </w:pPr>
    </w:p>
    <w:sectPr w:rsidR="00844166" w:rsidRPr="00B10994" w:rsidSect="0057466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FC9" w:rsidRDefault="00211FC9" w:rsidP="00646E7E">
      <w:pPr>
        <w:spacing w:after="0" w:line="240" w:lineRule="auto"/>
      </w:pPr>
      <w:r>
        <w:separator/>
      </w:r>
    </w:p>
  </w:endnote>
  <w:endnote w:type="continuationSeparator" w:id="0">
    <w:p w:rsidR="00211FC9" w:rsidRDefault="00211FC9"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FC9" w:rsidRDefault="00211FC9" w:rsidP="00646E7E">
      <w:pPr>
        <w:spacing w:after="0" w:line="240" w:lineRule="auto"/>
      </w:pPr>
      <w:r>
        <w:separator/>
      </w:r>
    </w:p>
  </w:footnote>
  <w:footnote w:type="continuationSeparator" w:id="0">
    <w:p w:rsidR="00211FC9" w:rsidRDefault="00211FC9" w:rsidP="00646E7E">
      <w:pPr>
        <w:spacing w:after="0" w:line="240" w:lineRule="auto"/>
      </w:pPr>
      <w:r>
        <w:continuationSeparator/>
      </w:r>
    </w:p>
  </w:footnote>
  <w:footnote w:id="1">
    <w:p w:rsidR="00247474" w:rsidRDefault="00247474" w:rsidP="003A1D69">
      <w:pPr>
        <w:pStyle w:val="FootnoteText"/>
        <w:spacing w:after="0" w:line="240" w:lineRule="auto"/>
        <w:jc w:val="both"/>
      </w:pPr>
      <w:r w:rsidRPr="00247474">
        <w:rPr>
          <w:rStyle w:val="FootnoteReference"/>
          <w:rFonts w:ascii="Times New Roman" w:hAnsi="Times New Roman"/>
        </w:rPr>
        <w:footnoteRef/>
      </w:r>
      <w:r w:rsidRPr="00247474">
        <w:rPr>
          <w:rFonts w:ascii="Times New Roman" w:hAnsi="Times New Roman"/>
        </w:rPr>
        <w:t xml:space="preserve"> Embora não prevista explicitamente, esta competência pode ser extraída de alguns artigos da CADH, como o 33 (dever de reparar violações), 62.3 (competência para conhecer de casos relativos à aplicação ou interpretação da Convenção), 65 (comunicação à Assembleia Geral da OEA sobre as sentenças quanto às quais os Estados não tenham dado cumprimento). </w:t>
      </w:r>
    </w:p>
  </w:footnote>
  <w:footnote w:id="2">
    <w:p w:rsidR="00A05B81" w:rsidRPr="00247474" w:rsidRDefault="00A05B81" w:rsidP="003A1D69">
      <w:pPr>
        <w:pStyle w:val="FootnoteText"/>
        <w:spacing w:after="0" w:line="240" w:lineRule="auto"/>
        <w:jc w:val="both"/>
        <w:rPr>
          <w:rFonts w:ascii="Times New Roman" w:hAnsi="Times New Roman"/>
        </w:rPr>
      </w:pPr>
      <w:r w:rsidRPr="00247474">
        <w:rPr>
          <w:rStyle w:val="FootnoteReference"/>
          <w:rFonts w:ascii="Times New Roman" w:hAnsi="Times New Roman"/>
        </w:rPr>
        <w:footnoteRef/>
      </w:r>
      <w:r w:rsidRPr="00247474">
        <w:rPr>
          <w:rFonts w:ascii="Times New Roman" w:hAnsi="Times New Roman"/>
        </w:rPr>
        <w:t xml:space="preserve"> Exclui-se do cômputo a recente decisão no Caso dos Empregados da Fábrica de Fogos de Santo Antônio de Jesus v. Brasil, haja vista que o prazo de submissão do primeiro relatório de cumprimento das reparações pelo Estado </w:t>
      </w:r>
      <w:r w:rsidR="00716163" w:rsidRPr="00247474">
        <w:rPr>
          <w:rFonts w:ascii="Times New Roman" w:hAnsi="Times New Roman"/>
        </w:rPr>
        <w:t>é outubro de 2021</w:t>
      </w:r>
      <w:r w:rsidRPr="00247474">
        <w:rPr>
          <w:rFonts w:ascii="Times New Roman" w:hAnsi="Times New Roman"/>
        </w:rPr>
        <w:t xml:space="preserve">. Como à sentença do Caso </w:t>
      </w:r>
      <w:proofErr w:type="spellStart"/>
      <w:r w:rsidRPr="00247474">
        <w:rPr>
          <w:rFonts w:ascii="Times New Roman" w:hAnsi="Times New Roman"/>
        </w:rPr>
        <w:t>Escher</w:t>
      </w:r>
      <w:proofErr w:type="spellEnd"/>
      <w:r w:rsidRPr="00247474">
        <w:rPr>
          <w:rFonts w:ascii="Times New Roman" w:hAnsi="Times New Roman"/>
        </w:rPr>
        <w:t xml:space="preserve"> </w:t>
      </w:r>
      <w:r w:rsidR="00716163" w:rsidRPr="00247474">
        <w:rPr>
          <w:rFonts w:ascii="Times New Roman" w:hAnsi="Times New Roman"/>
        </w:rPr>
        <w:t xml:space="preserve">e Outros v. Brasil foi dado cumprimento total por meio da Resolução de 19 de junho de 2012 e a sentença do Caso Nogueira de Carvalho e Outro v. Brasil não condenou o Brasil por violações de direitos humanos, estão em supervisão de cumprimento as sentenças dos casos: Ximenes Lopes, Garibaldi, Gomes </w:t>
      </w:r>
      <w:proofErr w:type="spellStart"/>
      <w:r w:rsidR="00716163" w:rsidRPr="00247474">
        <w:rPr>
          <w:rFonts w:ascii="Times New Roman" w:hAnsi="Times New Roman"/>
        </w:rPr>
        <w:t>Lund</w:t>
      </w:r>
      <w:proofErr w:type="spellEnd"/>
      <w:r w:rsidR="00716163" w:rsidRPr="00247474">
        <w:rPr>
          <w:rFonts w:ascii="Times New Roman" w:hAnsi="Times New Roman"/>
        </w:rPr>
        <w:t xml:space="preserve"> e Outros (“Guerrilha do Araguaia”), Trabalhadores da Fazenda Brasil Verde, Favela Nova Brasília, Povo Indígena Xucuru e seus membros, Herzog e Outros. </w:t>
      </w:r>
    </w:p>
  </w:footnote>
  <w:footnote w:id="3">
    <w:p w:rsidR="003A1D69" w:rsidRPr="003A1D69" w:rsidRDefault="003A1D69" w:rsidP="003A1D69">
      <w:pPr>
        <w:pStyle w:val="FootnoteText"/>
        <w:spacing w:after="0" w:line="240" w:lineRule="auto"/>
        <w:jc w:val="both"/>
        <w:rPr>
          <w:rFonts w:ascii="Times New Roman" w:hAnsi="Times New Roman"/>
        </w:rPr>
      </w:pPr>
      <w:r w:rsidRPr="003A1D69">
        <w:rPr>
          <w:rStyle w:val="FootnoteReference"/>
          <w:rFonts w:ascii="Times New Roman" w:hAnsi="Times New Roman"/>
        </w:rPr>
        <w:footnoteRef/>
      </w:r>
      <w:r w:rsidRPr="003A1D69">
        <w:rPr>
          <w:rFonts w:ascii="Times New Roman" w:hAnsi="Times New Roman"/>
        </w:rPr>
        <w:t xml:space="preserve"> Por ora, não s</w:t>
      </w:r>
      <w:r>
        <w:rPr>
          <w:rFonts w:ascii="Times New Roman" w:hAnsi="Times New Roman"/>
        </w:rPr>
        <w:t>e traz à discussão a diferença d</w:t>
      </w:r>
      <w:r w:rsidRPr="003A1D69">
        <w:rPr>
          <w:rFonts w:ascii="Times New Roman" w:hAnsi="Times New Roman"/>
        </w:rPr>
        <w:t>a natur</w:t>
      </w:r>
      <w:r>
        <w:rPr>
          <w:rFonts w:ascii="Times New Roman" w:hAnsi="Times New Roman"/>
        </w:rPr>
        <w:t>eza jurídica e/ou d</w:t>
      </w:r>
      <w:r w:rsidRPr="003A1D69">
        <w:rPr>
          <w:rFonts w:ascii="Times New Roman" w:hAnsi="Times New Roman"/>
        </w:rPr>
        <w:t xml:space="preserve">o caráter vinculante </w:t>
      </w:r>
      <w:r>
        <w:rPr>
          <w:rFonts w:ascii="Times New Roman" w:hAnsi="Times New Roman"/>
        </w:rPr>
        <w:t xml:space="preserve">entre </w:t>
      </w:r>
      <w:r w:rsidRPr="003A1D69">
        <w:rPr>
          <w:rFonts w:ascii="Times New Roman" w:hAnsi="Times New Roman"/>
        </w:rPr>
        <w:t>as recomendaçõ</w:t>
      </w:r>
      <w:r>
        <w:rPr>
          <w:rFonts w:ascii="Times New Roman" w:hAnsi="Times New Roman"/>
        </w:rPr>
        <w:t>es de órgãos quase-judiciais e as decisões d</w:t>
      </w:r>
      <w:r w:rsidRPr="003A1D69">
        <w:rPr>
          <w:rFonts w:ascii="Times New Roman" w:hAnsi="Times New Roman"/>
        </w:rPr>
        <w:t xml:space="preserve">e órgãos jurisdicionais propriamente ditos. </w:t>
      </w:r>
    </w:p>
  </w:footnote>
  <w:footnote w:id="4">
    <w:p w:rsidR="00247474" w:rsidRPr="00C027AD" w:rsidRDefault="00247474" w:rsidP="00C027AD">
      <w:pPr>
        <w:pStyle w:val="FootnoteText"/>
        <w:spacing w:line="240" w:lineRule="auto"/>
        <w:jc w:val="both"/>
        <w:rPr>
          <w:rFonts w:ascii="Times New Roman" w:hAnsi="Times New Roman"/>
        </w:rPr>
      </w:pPr>
      <w:r w:rsidRPr="00247474">
        <w:rPr>
          <w:rStyle w:val="FootnoteReference"/>
          <w:rFonts w:ascii="Times New Roman" w:hAnsi="Times New Roman"/>
        </w:rPr>
        <w:footnoteRef/>
      </w:r>
      <w:r w:rsidRPr="00247474">
        <w:rPr>
          <w:rFonts w:ascii="Times New Roman" w:hAnsi="Times New Roman"/>
        </w:rPr>
        <w:t xml:space="preserve"> Expedidas com base no artigo 63.2 da CADH, em situações de extrema gravidade e urgência e para se evitar </w:t>
      </w:r>
      <w:r w:rsidRPr="00C027AD">
        <w:rPr>
          <w:rFonts w:ascii="Times New Roman" w:hAnsi="Times New Roman"/>
        </w:rPr>
        <w:t xml:space="preserve">danos irreparáveis. </w:t>
      </w:r>
    </w:p>
  </w:footnote>
  <w:footnote w:id="5">
    <w:p w:rsidR="00C027AD" w:rsidRDefault="00C027AD" w:rsidP="00C027AD">
      <w:pPr>
        <w:pStyle w:val="FootnoteText"/>
        <w:spacing w:line="240" w:lineRule="auto"/>
        <w:jc w:val="both"/>
      </w:pPr>
      <w:r w:rsidRPr="00C027AD">
        <w:rPr>
          <w:rStyle w:val="FootnoteReference"/>
          <w:rFonts w:ascii="Times New Roman" w:hAnsi="Times New Roman"/>
        </w:rPr>
        <w:footnoteRef/>
      </w:r>
      <w:r w:rsidRPr="00C027AD">
        <w:rPr>
          <w:rFonts w:ascii="Times New Roman" w:hAnsi="Times New Roman"/>
        </w:rPr>
        <w:t xml:space="preserve"> </w:t>
      </w:r>
      <w:r w:rsidR="006A230A">
        <w:rPr>
          <w:rFonts w:ascii="Times New Roman" w:hAnsi="Times New Roman"/>
        </w:rPr>
        <w:t>“</w:t>
      </w:r>
      <w:r w:rsidRPr="00C027AD">
        <w:rPr>
          <w:rFonts w:ascii="Times New Roman" w:hAnsi="Times New Roman"/>
          <w:shd w:val="clear" w:color="auto" w:fill="FFFFFF"/>
        </w:rPr>
        <w:t>A falta de estabelecimento penal adequado não autoriza a manutenção do condenado em regime prisional mais gravoso, devendo-se observar, nessa hipótese, os parâmetros fixados no RE 641.320/RS</w:t>
      </w:r>
      <w:r w:rsidR="006A230A">
        <w:rPr>
          <w:rFonts w:ascii="Times New Roman" w:hAnsi="Times New Roman"/>
          <w:shd w:val="clear" w:color="auto" w:fill="FFFFFF"/>
        </w:rPr>
        <w:t xml:space="preserve">”. </w:t>
      </w:r>
    </w:p>
  </w:footnote>
  <w:footnote w:id="6">
    <w:p w:rsidR="00990B6A" w:rsidRPr="00990B6A" w:rsidRDefault="00990B6A" w:rsidP="00990B6A">
      <w:pPr>
        <w:pStyle w:val="FootnoteText"/>
        <w:spacing w:after="0" w:line="240" w:lineRule="auto"/>
        <w:jc w:val="both"/>
        <w:rPr>
          <w:rFonts w:ascii="Times New Roman" w:hAnsi="Times New Roman"/>
        </w:rPr>
      </w:pPr>
      <w:r w:rsidRPr="00990B6A">
        <w:rPr>
          <w:rStyle w:val="FootnoteReference"/>
          <w:rFonts w:ascii="Times New Roman" w:hAnsi="Times New Roman"/>
        </w:rPr>
        <w:footnoteRef/>
      </w:r>
      <w:r w:rsidRPr="00990B6A">
        <w:rPr>
          <w:rFonts w:ascii="Times New Roman" w:hAnsi="Times New Roman"/>
        </w:rPr>
        <w:t xml:space="preserve"> O projeto não considera que os pagamentos das indenizações previstas em decisões de organismos internacionais de direitos humanos </w:t>
      </w:r>
      <w:r>
        <w:rPr>
          <w:rFonts w:ascii="Times New Roman" w:hAnsi="Times New Roman"/>
        </w:rPr>
        <w:t>são</w:t>
      </w:r>
      <w:r w:rsidRPr="00990B6A">
        <w:rPr>
          <w:rFonts w:ascii="Times New Roman" w:hAnsi="Times New Roman"/>
        </w:rPr>
        <w:t xml:space="preserve"> feito</w:t>
      </w:r>
      <w:r>
        <w:rPr>
          <w:rFonts w:ascii="Times New Roman" w:hAnsi="Times New Roman"/>
        </w:rPr>
        <w:t>s</w:t>
      </w:r>
      <w:r w:rsidRPr="00990B6A">
        <w:rPr>
          <w:rFonts w:ascii="Times New Roman" w:hAnsi="Times New Roman"/>
        </w:rPr>
        <w:t xml:space="preserve"> por meio de rubrica específica do orçamento do Poder Executivo federal.</w:t>
      </w:r>
    </w:p>
  </w:footnote>
  <w:footnote w:id="7">
    <w:p w:rsidR="00990B6A" w:rsidRPr="00990B6A" w:rsidRDefault="00990B6A" w:rsidP="00990B6A">
      <w:pPr>
        <w:spacing w:after="0" w:line="240" w:lineRule="auto"/>
        <w:jc w:val="both"/>
        <w:rPr>
          <w:rFonts w:ascii="Times New Roman" w:eastAsia="Times New Roman" w:hAnsi="Times New Roman"/>
          <w:sz w:val="20"/>
          <w:szCs w:val="20"/>
          <w:lang w:val="es-ES" w:eastAsia="pt-BR"/>
        </w:rPr>
      </w:pPr>
      <w:r w:rsidRPr="00990B6A">
        <w:rPr>
          <w:rStyle w:val="FootnoteReference"/>
          <w:rFonts w:ascii="Times New Roman" w:hAnsi="Times New Roman"/>
          <w:sz w:val="20"/>
          <w:szCs w:val="20"/>
        </w:rPr>
        <w:footnoteRef/>
      </w:r>
      <w:r w:rsidRPr="00990B6A">
        <w:rPr>
          <w:rFonts w:ascii="Times New Roman" w:hAnsi="Times New Roman"/>
          <w:sz w:val="20"/>
          <w:szCs w:val="20"/>
          <w:lang w:val="es-ES"/>
        </w:rPr>
        <w:t xml:space="preserve"> </w:t>
      </w:r>
      <w:r w:rsidRPr="00990B6A">
        <w:rPr>
          <w:rFonts w:ascii="Times New Roman" w:eastAsia="Times New Roman" w:hAnsi="Times New Roman"/>
          <w:i/>
          <w:sz w:val="20"/>
          <w:szCs w:val="20"/>
          <w:lang w:val="es-ES" w:eastAsia="pt-BR"/>
        </w:rPr>
        <w:t>Ley 27775/2002</w:t>
      </w:r>
      <w:r w:rsidRPr="00990B6A">
        <w:rPr>
          <w:rFonts w:ascii="Times New Roman" w:eastAsia="Times New Roman" w:hAnsi="Times New Roman"/>
          <w:sz w:val="20"/>
          <w:szCs w:val="20"/>
          <w:lang w:val="es-ES" w:eastAsia="pt-BR"/>
        </w:rPr>
        <w:t xml:space="preserve">: “Regula el procedimiento de ejecución de sentencias emitidas por tribunales supranacionales”. </w:t>
      </w:r>
    </w:p>
  </w:footnote>
  <w:footnote w:id="8">
    <w:p w:rsidR="00990B6A" w:rsidRPr="00990B6A" w:rsidRDefault="00990B6A" w:rsidP="00990B6A">
      <w:pPr>
        <w:pStyle w:val="centrado"/>
        <w:spacing w:before="0" w:beforeAutospacing="0" w:after="0" w:afterAutospacing="0"/>
        <w:jc w:val="both"/>
        <w:rPr>
          <w:sz w:val="20"/>
          <w:szCs w:val="20"/>
          <w:lang w:val="es-ES"/>
        </w:rPr>
      </w:pPr>
      <w:r w:rsidRPr="00990B6A">
        <w:rPr>
          <w:rStyle w:val="FootnoteReference"/>
          <w:sz w:val="20"/>
          <w:szCs w:val="20"/>
        </w:rPr>
        <w:footnoteRef/>
      </w:r>
      <w:r w:rsidRPr="00990B6A">
        <w:rPr>
          <w:sz w:val="20"/>
          <w:szCs w:val="20"/>
          <w:lang w:val="es-ES"/>
        </w:rPr>
        <w:t xml:space="preserve"> </w:t>
      </w:r>
      <w:r w:rsidRPr="00990B6A">
        <w:rPr>
          <w:rStyle w:val="baj"/>
          <w:bCs/>
          <w:i/>
          <w:sz w:val="20"/>
          <w:szCs w:val="20"/>
          <w:lang w:val="es-ES"/>
        </w:rPr>
        <w:t>Ley 288/1996</w:t>
      </w:r>
      <w:r w:rsidRPr="00990B6A">
        <w:rPr>
          <w:rStyle w:val="baj"/>
          <w:bCs/>
          <w:sz w:val="20"/>
          <w:szCs w:val="20"/>
          <w:lang w:val="es-ES"/>
        </w:rPr>
        <w:t>:</w:t>
      </w:r>
      <w:r w:rsidRPr="00990B6A">
        <w:rPr>
          <w:rStyle w:val="baj"/>
          <w:b/>
          <w:bCs/>
          <w:sz w:val="20"/>
          <w:szCs w:val="20"/>
          <w:lang w:val="es-ES"/>
        </w:rPr>
        <w:t xml:space="preserve"> “</w:t>
      </w:r>
      <w:r w:rsidRPr="00990B6A">
        <w:rPr>
          <w:sz w:val="20"/>
          <w:szCs w:val="20"/>
          <w:lang w:val="es-ES"/>
        </w:rPr>
        <w:t xml:space="preserve">Por medio de la cual se establecen instrumentos para la indemnización de perjuicio a las víctimas de violaciones de derechos humanos en virtud de lo dispuesto por determinados órganos internacionales de Derechos Humanos”.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6E7E" w:rsidRDefault="009D40B3" w:rsidP="00844166">
    <w:pPr>
      <w:pStyle w:val="Header"/>
      <w:rPr>
        <w:noProof/>
      </w:rPr>
    </w:pPr>
    <w:r>
      <w:rPr>
        <w:noProof/>
      </w:rPr>
      <w:drawing>
        <wp:anchor distT="0" distB="0" distL="114300" distR="114300" simplePos="0" relativeHeight="251657728" behindDoc="1" locked="0" layoutInCell="1" allowOverlap="1">
          <wp:simplePos x="0" y="0"/>
          <wp:positionH relativeFrom="page">
            <wp:align>left</wp:align>
          </wp:positionH>
          <wp:positionV relativeFrom="paragraph">
            <wp:posOffset>-451485</wp:posOffset>
          </wp:positionV>
          <wp:extent cx="7569200" cy="1271270"/>
          <wp:effectExtent l="0" t="0" r="0" b="0"/>
          <wp:wrapNone/>
          <wp:docPr id="1" name="Imagem 1" descr="Uma imagem contendo 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ma imagem contendo Texto&#10;&#10;Descrição gerada automaticamente"/>
                  <pic:cNvPicPr>
                    <a:picLocks/>
                  </pic:cNvPicPr>
                </pic:nvPicPr>
                <pic:blipFill>
                  <a:blip r:embed="rId1">
                    <a:extLst>
                      <a:ext uri="{28A0092B-C50C-407E-A947-70E740481C1C}">
                        <a14:useLocalDpi xmlns:a14="http://schemas.microsoft.com/office/drawing/2010/main" val="0"/>
                      </a:ext>
                    </a:extLst>
                  </a:blip>
                  <a:srcRect b="88133"/>
                  <a:stretch>
                    <a:fillRect/>
                  </a:stretch>
                </pic:blipFill>
                <pic:spPr bwMode="auto">
                  <a:xfrm>
                    <a:off x="0" y="0"/>
                    <a:ext cx="756920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A86">
      <w:rPr>
        <w:noProof/>
      </w:rPr>
      <w:t>‘</w:t>
    </w:r>
  </w:p>
  <w:p w:rsidR="00E14A86" w:rsidRDefault="00E14A86" w:rsidP="00844166">
    <w:pPr>
      <w:pStyle w:val="Header"/>
      <w:rPr>
        <w:noProof/>
      </w:rPr>
    </w:pPr>
  </w:p>
  <w:p w:rsidR="00E14A86" w:rsidRDefault="00E14A86" w:rsidP="00844166">
    <w:pPr>
      <w:pStyle w:val="Header"/>
      <w:rPr>
        <w:noProof/>
      </w:rPr>
    </w:pPr>
  </w:p>
  <w:p w:rsidR="00E14A86" w:rsidRDefault="00E14A86" w:rsidP="00844166">
    <w:pPr>
      <w:pStyle w:val="Header"/>
      <w:rPr>
        <w:noProof/>
      </w:rPr>
    </w:pPr>
  </w:p>
  <w:p w:rsidR="00E14A86" w:rsidRPr="00844166" w:rsidRDefault="00E14A86" w:rsidP="0084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3B20"/>
    <w:multiLevelType w:val="hybridMultilevel"/>
    <w:tmpl w:val="7DEC4DBA"/>
    <w:lvl w:ilvl="0" w:tplc="65BC4C5A">
      <w:start w:val="1"/>
      <w:numFmt w:val="decimal"/>
      <w:lvlText w:val="%1."/>
      <w:lvlJc w:val="left"/>
      <w:pPr>
        <w:ind w:left="92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1D573D"/>
    <w:multiLevelType w:val="hybridMultilevel"/>
    <w:tmpl w:val="978A2026"/>
    <w:lvl w:ilvl="0" w:tplc="09F2D96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0968"/>
    <w:rsid w:val="00071D48"/>
    <w:rsid w:val="00134E85"/>
    <w:rsid w:val="001534C1"/>
    <w:rsid w:val="0020054E"/>
    <w:rsid w:val="00211FC9"/>
    <w:rsid w:val="00247474"/>
    <w:rsid w:val="00270FDD"/>
    <w:rsid w:val="002A0759"/>
    <w:rsid w:val="00302777"/>
    <w:rsid w:val="003A1D69"/>
    <w:rsid w:val="00412DF4"/>
    <w:rsid w:val="004A2EB8"/>
    <w:rsid w:val="004C430C"/>
    <w:rsid w:val="00524A77"/>
    <w:rsid w:val="00574664"/>
    <w:rsid w:val="00596825"/>
    <w:rsid w:val="00603CE9"/>
    <w:rsid w:val="00646E7E"/>
    <w:rsid w:val="0068417E"/>
    <w:rsid w:val="006A230A"/>
    <w:rsid w:val="00716163"/>
    <w:rsid w:val="007E04AA"/>
    <w:rsid w:val="00814D42"/>
    <w:rsid w:val="00844166"/>
    <w:rsid w:val="00845D3D"/>
    <w:rsid w:val="00870E69"/>
    <w:rsid w:val="00954CE1"/>
    <w:rsid w:val="00990B6A"/>
    <w:rsid w:val="0099182E"/>
    <w:rsid w:val="009A7209"/>
    <w:rsid w:val="009B16A0"/>
    <w:rsid w:val="009D40B3"/>
    <w:rsid w:val="009F2040"/>
    <w:rsid w:val="00A05B81"/>
    <w:rsid w:val="00A12155"/>
    <w:rsid w:val="00A122C4"/>
    <w:rsid w:val="00A37329"/>
    <w:rsid w:val="00AB4F07"/>
    <w:rsid w:val="00B10994"/>
    <w:rsid w:val="00B60B9B"/>
    <w:rsid w:val="00C027AD"/>
    <w:rsid w:val="00C02DE2"/>
    <w:rsid w:val="00C35757"/>
    <w:rsid w:val="00C46C94"/>
    <w:rsid w:val="00CA365E"/>
    <w:rsid w:val="00D04151"/>
    <w:rsid w:val="00D219F3"/>
    <w:rsid w:val="00D41F30"/>
    <w:rsid w:val="00D54BF0"/>
    <w:rsid w:val="00D87B4D"/>
    <w:rsid w:val="00DB3A9F"/>
    <w:rsid w:val="00E14A86"/>
    <w:rsid w:val="00E35B4F"/>
    <w:rsid w:val="00E55D80"/>
    <w:rsid w:val="00EF1BF7"/>
    <w:rsid w:val="00FB623B"/>
    <w:rsid w:val="00FD4E10"/>
    <w:rsid w:val="00FD5DC6"/>
    <w:rsid w:val="00FD7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CF05"/>
  <w15:chartTrackingRefBased/>
  <w15:docId w15:val="{A9E9FB99-1263-CB49-A170-B3F95907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64"/>
    <w:pPr>
      <w:spacing w:after="160" w:line="259" w:lineRule="auto"/>
    </w:pPr>
    <w:rPr>
      <w:sz w:val="22"/>
      <w:szCs w:val="22"/>
      <w:lang w:val="pt-BR"/>
    </w:rPr>
  </w:style>
  <w:style w:type="paragraph" w:styleId="Heading3">
    <w:name w:val="heading 3"/>
    <w:basedOn w:val="Normal"/>
    <w:link w:val="Heading3Char"/>
    <w:uiPriority w:val="9"/>
    <w:qFormat/>
    <w:rsid w:val="00845D3D"/>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character" w:customStyle="1" w:styleId="Heading3Char">
    <w:name w:val="Heading 3 Char"/>
    <w:basedOn w:val="DefaultParagraphFont"/>
    <w:link w:val="Heading3"/>
    <w:uiPriority w:val="9"/>
    <w:rsid w:val="00845D3D"/>
    <w:rPr>
      <w:rFonts w:ascii="Times New Roman" w:eastAsia="Times New Roman" w:hAnsi="Times New Roman"/>
      <w:b/>
      <w:bCs/>
      <w:sz w:val="27"/>
      <w:szCs w:val="27"/>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n,f1"/>
    <w:basedOn w:val="Normal"/>
    <w:link w:val="FootnoteTextChar"/>
    <w:uiPriority w:val="99"/>
    <w:unhideWhenUsed/>
    <w:rsid w:val="00A05B81"/>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n Char,f1 Char"/>
    <w:basedOn w:val="DefaultParagraphFont"/>
    <w:link w:val="FootnoteText"/>
    <w:uiPriority w:val="99"/>
    <w:rsid w:val="00A05B81"/>
    <w:rPr>
      <w:lang w:eastAsia="en-US"/>
    </w:rPr>
  </w:style>
  <w:style w:type="character" w:styleId="FootnoteReference">
    <w:name w:val="footnote reference"/>
    <w:aliases w:val="Texto de nota al pie,Footnotes refss,Appel note de bas de page,Footnote number,referencia nota al pie,BVI fnr,f,4_G,16 Point,Superscript 6 Point,Texto nota al pie,Ref. de nota al pi,Appel note de bas de...,Ref. de nota al pie 2"/>
    <w:basedOn w:val="DefaultParagraphFont"/>
    <w:uiPriority w:val="99"/>
    <w:unhideWhenUsed/>
    <w:rsid w:val="00A05B81"/>
    <w:rPr>
      <w:vertAlign w:val="superscript"/>
    </w:rPr>
  </w:style>
  <w:style w:type="paragraph" w:customStyle="1" w:styleId="Default">
    <w:name w:val="Default"/>
    <w:rsid w:val="00A37329"/>
    <w:pPr>
      <w:autoSpaceDE w:val="0"/>
      <w:autoSpaceDN w:val="0"/>
      <w:adjustRightInd w:val="0"/>
    </w:pPr>
    <w:rPr>
      <w:rFonts w:ascii="Verdana" w:hAnsi="Verdana" w:cs="Verdana"/>
      <w:color w:val="000000"/>
      <w:sz w:val="24"/>
      <w:szCs w:val="24"/>
      <w:lang w:val="pt-BR" w:eastAsia="pt-BR"/>
    </w:rPr>
  </w:style>
  <w:style w:type="paragraph" w:styleId="ListParagraph">
    <w:name w:val="List Paragraph"/>
    <w:basedOn w:val="Normal"/>
    <w:link w:val="ListParagraphChar"/>
    <w:uiPriority w:val="34"/>
    <w:qFormat/>
    <w:rsid w:val="00FD796A"/>
    <w:pPr>
      <w:spacing w:after="0" w:line="240" w:lineRule="auto"/>
      <w:ind w:left="720"/>
      <w:contextualSpacing/>
    </w:pPr>
    <w:rPr>
      <w:rFonts w:ascii="Times New Roman" w:eastAsia="Times New Roman" w:hAnsi="Times New Roman"/>
      <w:sz w:val="24"/>
      <w:szCs w:val="24"/>
      <w:lang w:eastAsia="pt-BR"/>
    </w:rPr>
  </w:style>
  <w:style w:type="character" w:customStyle="1" w:styleId="ListParagraphChar">
    <w:name w:val="List Paragraph Char"/>
    <w:basedOn w:val="DefaultParagraphFont"/>
    <w:link w:val="ListParagraph"/>
    <w:uiPriority w:val="34"/>
    <w:rsid w:val="00FD796A"/>
    <w:rPr>
      <w:rFonts w:ascii="Times New Roman" w:eastAsia="Times New Roman" w:hAnsi="Times New Roman"/>
      <w:sz w:val="24"/>
      <w:szCs w:val="24"/>
    </w:rPr>
  </w:style>
  <w:style w:type="character" w:customStyle="1" w:styleId="baj">
    <w:name w:val="b_aj"/>
    <w:basedOn w:val="DefaultParagraphFont"/>
    <w:rsid w:val="00990B6A"/>
  </w:style>
  <w:style w:type="paragraph" w:customStyle="1" w:styleId="centrado">
    <w:name w:val="centrado"/>
    <w:basedOn w:val="Normal"/>
    <w:rsid w:val="00990B6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2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mara.leg.br/propostas-legislativas/2236670"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www.corteidh.or.cr/tablas/informe2019/portugues.pdf" TargetMode="External" /><Relationship Id="rId4" Type="http://schemas.openxmlformats.org/officeDocument/2006/relationships/settings" Target="settings.xml" /><Relationship Id="rId9" Type="http://schemas.openxmlformats.org/officeDocument/2006/relationships/hyperlink" Target="http://www.oas.org/es/cidh/docs/anual/2019/indice.as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F995-79BB-4040-B519-C5ABB5BC70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Links>
    <vt:vector size="24" baseType="variant">
      <vt:variant>
        <vt:i4>2752558</vt:i4>
      </vt:variant>
      <vt:variant>
        <vt:i4>6</vt:i4>
      </vt:variant>
      <vt:variant>
        <vt:i4>0</vt:i4>
      </vt:variant>
      <vt:variant>
        <vt:i4>5</vt:i4>
      </vt:variant>
      <vt:variant>
        <vt:lpwstr>https://www.corteidh.or.cr/tablas/informe2019/portugues.pdf</vt:lpwstr>
      </vt:variant>
      <vt:variant>
        <vt:lpwstr/>
      </vt:variant>
      <vt:variant>
        <vt:i4>4587602</vt:i4>
      </vt:variant>
      <vt:variant>
        <vt:i4>3</vt:i4>
      </vt:variant>
      <vt:variant>
        <vt:i4>0</vt:i4>
      </vt:variant>
      <vt:variant>
        <vt:i4>5</vt:i4>
      </vt:variant>
      <vt:variant>
        <vt:lpwstr>http://www.oas.org/es/cidh/docs/anual/2019/indice.asp</vt:lpwstr>
      </vt:variant>
      <vt:variant>
        <vt:lpwstr/>
      </vt:variant>
      <vt:variant>
        <vt:i4>4456529</vt:i4>
      </vt:variant>
      <vt:variant>
        <vt:i4>0</vt:i4>
      </vt:variant>
      <vt:variant>
        <vt:i4>0</vt:i4>
      </vt:variant>
      <vt:variant>
        <vt:i4>5</vt:i4>
      </vt:variant>
      <vt:variant>
        <vt:lpwstr>https://www.camara.leg.br/propostas-legislativas/2236670</vt:lpwstr>
      </vt:variant>
      <vt:variant>
        <vt:lpwstr/>
      </vt:variant>
      <vt:variant>
        <vt:i4>7929965</vt:i4>
      </vt:variant>
      <vt:variant>
        <vt:i4>0</vt:i4>
      </vt:variant>
      <vt:variant>
        <vt:i4>0</vt:i4>
      </vt:variant>
      <vt:variant>
        <vt:i4>5</vt:i4>
      </vt:variant>
      <vt:variant>
        <vt:lpwstr>mailto:bruna_nowak@hotmail.com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cp:lastModifiedBy>Amanda Amandinha</cp:lastModifiedBy>
  <cp:revision>3</cp:revision>
  <cp:lastPrinted>2020-10-10T20:41:00Z</cp:lastPrinted>
  <dcterms:created xsi:type="dcterms:W3CDTF">2020-11-17T21:40:00Z</dcterms:created>
  <dcterms:modified xsi:type="dcterms:W3CDTF">2020-11-17T21:40:00Z</dcterms:modified>
</cp:coreProperties>
</file>