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Style w:val="Title"/>
        <w:keepNext w:val="0"/>
        <w:keepLines w:val="0"/>
        <w:spacing w:after="0" w:before="76"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HESITAÇÃO VACINAL FRENTE À COVID-19 EM COMUNIDADES RIBEIRINHAS AMAZÔNICAS: VULNERABILIDADES SOCIOESPACIAIS E IMPLICAÇÕES NA ENFERMAGEM </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INTRODUÇÃO: </w:t>
      </w:r>
      <w:r w:rsidDel="00000000" w:rsidR="00000000" w:rsidRPr="00000000">
        <w:rPr>
          <w:rFonts w:ascii="Times New Roman" w:cs="Times New Roman" w:eastAsia="Times New Roman" w:hAnsi="Times New Roman"/>
          <w:sz w:val="24"/>
          <w:szCs w:val="24"/>
          <w:rtl w:val="0"/>
        </w:rPr>
        <w:t xml:space="preserve">A COVID-19 representou um importante desafio de saúde pública em escala global, impactando diretamente os sistemas de saúde. Em regiões de difícil acesso, como as comunidades ribeirinhas da Amazônia, esses desafios foram ainda mais evidentes, principalmente devido às limitações de infraestrutura, às condições geográficas e à dificuldade de acesso aos serviços de saúde (1). O vírus SARS-CoV-2, agente etiológico da COVID-19, é transmitido principalmente por meio do contato direto com pessoas infectadas, bem como por gotículas respiratórias e aerossois que podem permanecer no ambiente por períodos prolongados. A infecção pode variar de casos leves, com sintomas como tosse e dor de cabeça, a quadros graves com comprometimento de múltiplos órgãos, incluindo também casos assintomáticos com potencial de transmissão (2). Nesse contexto, a vacinação emerge como uma das principais estratégias de controle da COVID-19, especialmente a partir de 2021, sendo organizada em esquemas compostos por múltiplas doses (3). Apesar das estratégias de controle implementadas, a adesão à vacinação em comunidades ribeirinhas amazônicas mostrou-se limitada, especialmente em função de dificuldades logísticas e da disseminação de informações falsas sobre os imunizantes (4, 5) .Na Amazônia, a disseminação da COVID-19 ocorreu de forma acelerada, atingindo os centros urbanos e as áreas mais isoladas, como comunidades rurais e ribeirinhas (6). Diante desse cenário, as comunidades ribeirinhas se destacam por estarem localizadas às margens dos rios e por apresentarem modos de vida diretamente relacionados aos ciclos de cheia e seca. Essas características, associadas à precariedade da infraestrutura, às incertezas sobre a eficácia e segurança das vacinas e às influências políticas, culturais e religiosas, contribuíram para a hesitação vacinal, dificultando a organização e a continuidade dos serviços de saúde (1). Por fim, destaca-se o papel da enfermagem na promoção da vacinação e no desenvolvimento de ações educativas para enfrentar a hesitação vacinal (7). Esses profissionais, protagonistas das estratégias de imunização, tiveram atuação intensificada durante a pandemia, especialmente diante das dificuldades de acesso e da desinformação em comunidades ribeirinhas (5). Assim, compreender os fatores associados à hesitação vacinal é essencial para qualificar as práticas de enfermagem e fortalecer o cuidado nesses territórios. </w:t>
      </w:r>
      <w:r w:rsidDel="00000000" w:rsidR="00000000" w:rsidRPr="00000000">
        <w:rPr>
          <w:rFonts w:ascii="Times New Roman" w:cs="Times New Roman" w:eastAsia="Times New Roman" w:hAnsi="Times New Roman"/>
          <w:b w:val="1"/>
          <w:bCs w:val="1"/>
          <w:sz w:val="24"/>
          <w:szCs w:val="24"/>
          <w:rtl w:val="0"/>
        </w:rPr>
        <w:t xml:space="preserve">OBJETIVO: </w:t>
      </w:r>
      <w:r w:rsidDel="00000000" w:rsidR="00000000" w:rsidRPr="00000000">
        <w:rPr>
          <w:rFonts w:ascii="Times New Roman" w:cs="Times New Roman" w:eastAsia="Times New Roman" w:hAnsi="Times New Roman"/>
          <w:sz w:val="24"/>
          <w:szCs w:val="24"/>
          <w:rtl w:val="0"/>
        </w:rPr>
        <w:t xml:space="preserve">Analisar os fatores associados à hesitação vacinal frente à COVID-19 em comunidades ribeirinhas amazônicas e suas implicações para a enfermagem. </w:t>
      </w:r>
      <w:r w:rsidDel="00000000" w:rsidR="00000000" w:rsidRPr="00000000">
        <w:rPr>
          <w:rFonts w:ascii="Times New Roman" w:cs="Times New Roman" w:eastAsia="Times New Roman" w:hAnsi="Times New Roman"/>
          <w:b w:val="1"/>
          <w:bCs w:val="1"/>
          <w:sz w:val="24"/>
          <w:szCs w:val="24"/>
          <w:rtl w:val="0"/>
        </w:rPr>
        <w:t xml:space="preserve">MÉTODO: </w:t>
      </w:r>
      <w:r w:rsidDel="00000000" w:rsidR="00000000" w:rsidRPr="00000000">
        <w:rPr>
          <w:rFonts w:ascii="Times New Roman" w:cs="Times New Roman" w:eastAsia="Times New Roman" w:hAnsi="Times New Roman"/>
          <w:sz w:val="24"/>
          <w:szCs w:val="24"/>
          <w:rtl w:val="0"/>
        </w:rPr>
        <w:t xml:space="preserve">Trata-se de uma revisão integrativa da literatura. Foram selecionados artigos completos publicados nos idiomas português e inglês, no período de 2020 a 2026. A busca foi realizada por meio de consultas nas bases de dados LILACS, PubMed e BVS. Os descritores utilizados foram “COVID-19”, “vacinação”, “enfermagem” e “comunidades ribeirinhas”. Foram incluídos estudos que contemplassem pelo menos um dos descritores selecionados. Foram excluídos artigos duplicados, textos incompletos e publicações fora do recorte temporal estabelecido. </w:t>
      </w:r>
      <w:r w:rsidDel="00000000" w:rsidR="00000000" w:rsidRPr="00000000">
        <w:rPr>
          <w:rFonts w:ascii="Times New Roman" w:cs="Times New Roman" w:eastAsia="Times New Roman" w:hAnsi="Times New Roman"/>
          <w:b w:val="1"/>
          <w:bCs w:val="1"/>
          <w:sz w:val="24"/>
          <w:szCs w:val="24"/>
          <w:rtl w:val="0"/>
        </w:rPr>
        <w:t xml:space="preserve">RESULTADOS E DISCUSSÃO: </w:t>
      </w:r>
      <w:r w:rsidDel="00000000" w:rsidR="00000000" w:rsidRPr="00000000">
        <w:rPr>
          <w:rFonts w:ascii="Times New Roman" w:cs="Times New Roman" w:eastAsia="Times New Roman" w:hAnsi="Times New Roman"/>
          <w:sz w:val="24"/>
          <w:szCs w:val="24"/>
          <w:rtl w:val="0"/>
        </w:rPr>
        <w:t xml:space="preserve">Os estudos analisados evidenciam que a hesitação vacinal em comunidades ribeirinhas amazônicas está relacionada a um conjunto de fatores estruturais e socioculturais. Nesse sentido, ao considerar o contexto de vulnerabilidade dessas populações durante a pandemia, dados do Boletim Epidemiológico COVID-19: Comunidades Tradicionais e Povos Quilombolas, referentes ao período de março de 2021 a julho de 2022, demonstram que, no Brasil, entre as 263.664 pessoas pertencentes a comunidades tradicionais, a população ribeirinha apresentou o terceiro maior número de notificações de COVID-19, totalizando 6.360 casos (2,4% do total). Dessa forma, tais resultados reforçam o impacto expressivo da pandemia sobre essas populações (8). A partir desse cenário, observa-se que os ribeirinhos possuem modos de vida diretamente vinculados ao território, influenciados por aspectos culturais e saberes tradicionais, o que impacta diretamente suas percepções e práticas em relação à saúde. Somam-se a isso o isolamento geográfico, a baixa escolaridade e o acesso limitado à informação, condições que favorecem a disseminação de conteúdos equivocados e contribuem para a hesitação vacinal (4). Ademais, o contexto de vulnerabilidade é agravado por entraves estruturais, especialmente as dificuldades logísticas, como o acesso geográfico restrito, a escassez de transporte e os desafios na distribuição dos imunobiológicos, fatores que comprometem a continuidade e a efetividade das ações de vacinação (9). Outro aspecto relevante diz respeito à valorização de práticas tradicionais de cuidado, como o uso de plantas medicinais no manejo de sintomas respiratórios, amplamente utilizadas durante a pandemia (10). Essas práticas, fundamentadas em saberes culturais e transmitidas entre gerações, estabelecem-se como alternativas diante das limitações de acesso aos serviços formais de saúde. Nesse sentido, a automedicação é adotada como estratégia para o manejo de problemas de saúde, o que pode reduzir a procura pelos serviços de imunização (11). Além desses aspectos, a circulação de desinformação, as dúvidas quanto à eficácia e segurança das vacinas e as influências políticas reforçam a resistência à imunização, contribuindo para a baixa adesão vacinal (4, 5). Assim, observa-se que a interação entre fatores culturais e informacionais contribuem para a hesitação vacinal, ampliando a vulnerabilidade dessas populações frente à COVID-19 (4). Diante desse cenário, evidenciam-se importantes implicações para a enfermagem, especialmente no âmbito da Atenção Primária à Saúde, destacando-se seu papel na operacionalização da vacinação e na mediação entre o conhecimento científico e os saberes populares. Ademais, ressalta-se a importância do desenvolvimento de ações de educação em saúde acessíveis e culturalmente sensíveis, voltadas ao enfrentamento da desinformação e ao fortalecimento da adesão vacinal (5). </w:t>
      </w:r>
      <w:r w:rsidDel="00000000" w:rsidR="00000000" w:rsidRPr="00000000">
        <w:rPr>
          <w:rFonts w:ascii="Times New Roman" w:cs="Times New Roman" w:eastAsia="Times New Roman" w:hAnsi="Times New Roman"/>
          <w:b w:val="1"/>
          <w:bCs w:val="1"/>
          <w:sz w:val="24"/>
          <w:szCs w:val="24"/>
          <w:rtl w:val="0"/>
        </w:rPr>
        <w:t xml:space="preserve">CONSIDERAÇÕES FINAIS: </w:t>
      </w:r>
      <w:r w:rsidDel="00000000" w:rsidR="00000000" w:rsidRPr="00000000">
        <w:rPr>
          <w:rFonts w:ascii="Times New Roman" w:cs="Times New Roman" w:eastAsia="Times New Roman" w:hAnsi="Times New Roman"/>
          <w:sz w:val="24"/>
          <w:szCs w:val="24"/>
          <w:rtl w:val="0"/>
        </w:rPr>
        <w:t xml:space="preserve">A hesitação vacinal frente à COVID-19 em comunidades ribeirinhas amazônicas constitui um fenômeno multifatorial, associado às vulnerabilidades socioespaciais desses territórios. Fatores como isolamento geográfico, precariedade estrutural, baixa escolaridade, influência de crenças culturais e ampla circulação de desinformação contribuem para a baixa adesão vacinal, evidenciando desigualdades no acesso à saúde. Diante disso, torna-se essencial desenvolver estratégias de cuidado que considerem as especificidades locais, com ênfase em ações educativas culturalmente sensíveis e no enfrentamento da desinformação. A enfermagem destaca-se como elemento central nesse processo, atuando na construção de vínculo com a comunidade, na mediação de saberes e no fortalecimento da confiança nas vacinas. Reforça-se, assim, a necessidade de ações intersetoriais e territorializadas que integrem dimensões sociais, culturais e geográficas, visando qualificar o cuidado e reduzir a hesitação vacinal.</w:t>
      </w:r>
      <w:r w:rsidDel="00000000" w:rsidR="00000000" w:rsidRPr="00000000">
        <w:rPr>
          <w:rFonts w:ascii="Times New Roman" w:cs="Times New Roman" w:eastAsia="Times New Roman" w:hAnsi="Times New Roman"/>
          <w:b w:val="1"/>
          <w:bCs w:val="1"/>
          <w:sz w:val="24"/>
          <w:szCs w:val="24"/>
          <w:rtl w:val="0"/>
        </w:rPr>
        <w:t xml:space="preserve"> CONTRIBUIÇÕES PARA A ENFERMAGEM: </w:t>
      </w:r>
      <w:r w:rsidDel="00000000" w:rsidR="00000000" w:rsidRPr="00000000">
        <w:rPr>
          <w:rFonts w:ascii="Times New Roman" w:cs="Times New Roman" w:eastAsia="Times New Roman" w:hAnsi="Times New Roman"/>
          <w:sz w:val="24"/>
          <w:szCs w:val="24"/>
          <w:rtl w:val="0"/>
        </w:rPr>
        <w:t xml:space="preserve">O estudo evidencia a necessidade de uma atuação ampliada da enfermagem em contextos de vulnerabilidade socioespacial, como as comunidades ribeirinhas amazônicas. Destaca-se a importância de estratégias de educação em saúde culturalmente sensíveis, voltadas ao enfrentamento da desinformação e à promoção da confiança nas vacinas. Além disso, reforça o papel da enfermagem na organização e execução das ações de imunização em territórios de difícil acesso, exigindo planejamento, adaptação das práticas e articulação com lideranças comunitárias. A construção de vínculo e a escuta qualificada mostram-se essenciais para compreender as especificidades locais e favorecer a adesão às estratégias de cuidado. Dessa forma, o estudo contribui para a prática de enfermagem ao orientar intervenções mais contextualizadas, equitativas e alinhadas às necessidades das populações ribeirinhas.</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sectPr>
          <w:headerReference r:id="rId6" w:type="default"/>
          <w:footerReference r:id="rId7" w:type="default"/>
          <w:pgSz w:h="16850" w:w="11910" w:orient="portrait"/>
          <w:pgMar w:bottom="1133.8582677165355" w:top="1700.7874015748032" w:left="1700.7874015748032" w:right="1133.8582677165355" w:header="360" w:footer="360"/>
          <w:pgNumType w:start="1"/>
        </w:sectPr>
      </w:pPr>
      <w:r w:rsidDel="00000000" w:rsidR="00000000" w:rsidRPr="00000000">
        <w:rPr>
          <w:rFonts w:ascii="Times New Roman" w:cs="Times New Roman" w:eastAsia="Times New Roman" w:hAnsi="Times New Roman"/>
          <w:b w:val="1"/>
          <w:bCs w:val="1"/>
          <w:sz w:val="24"/>
          <w:szCs w:val="24"/>
          <w:rtl w:val="0"/>
        </w:rPr>
        <w:t xml:space="preserve">Descritores (DeCS – ID): </w:t>
      </w:r>
      <w:r w:rsidDel="00000000" w:rsidR="00000000" w:rsidRPr="00000000">
        <w:rPr>
          <w:rFonts w:ascii="Times New Roman" w:cs="Times New Roman" w:eastAsia="Times New Roman" w:hAnsi="Times New Roman"/>
          <w:sz w:val="24"/>
          <w:szCs w:val="24"/>
          <w:rtl w:val="0"/>
        </w:rPr>
        <w:t xml:space="preserve">Covid-19 – D000086382; Vacinação – D014611; População Ribeirinha – DDCS061013.</w:t>
      </w:r>
    </w:p>
    <w:p w:rsidR="00000000" w:rsidDel="00000000" w:rsidP="00000000" w:rsidRDefault="00000000" w:rsidRPr="00000000" w14:paraId="00000005">
      <w:pPr>
        <w:tabs>
          <w:tab w:val="left" w:leader="none" w:pos="2270"/>
          <w:tab w:val="left" w:leader="none" w:pos="5108"/>
        </w:tabs>
        <w:spacing w:before="14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Modalidade:     (  ) estudo original      </w:t>
      </w:r>
    </w:p>
    <w:p w:rsidR="00000000" w:rsidDel="00000000" w:rsidP="00000000" w:rsidRDefault="00000000" w:rsidRPr="00000000" w14:paraId="00000006">
      <w:pPr>
        <w:tabs>
          <w:tab w:val="left" w:leader="none" w:pos="2505"/>
        </w:tabs>
        <w:spacing w:before="144" w:line="360" w:lineRule="auto"/>
        <w:ind w:left="113.38582677165356"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90909"/>
          <w:sz w:val="24"/>
          <w:szCs w:val="24"/>
          <w:rtl w:val="0"/>
        </w:rPr>
        <w:t xml:space="preserve">                        (  ) </w:t>
      </w:r>
      <w:r w:rsidDel="00000000" w:rsidR="00000000" w:rsidRPr="00000000">
        <w:rPr>
          <w:rFonts w:ascii="Times New Roman" w:cs="Times New Roman" w:eastAsia="Times New Roman" w:hAnsi="Times New Roman"/>
          <w:b w:val="1"/>
          <w:bCs w:val="1"/>
          <w:sz w:val="24"/>
          <w:szCs w:val="24"/>
          <w:rtl w:val="0"/>
        </w:rPr>
        <w:t xml:space="preserve">relato de experiência</w:t>
      </w:r>
      <w:r w:rsidDel="00000000" w:rsidR="00000000" w:rsidRPr="00000000">
        <w:rPr>
          <w:rtl w:val="0"/>
        </w:rPr>
      </w:r>
    </w:p>
    <w:p w:rsidR="00000000" w:rsidDel="00000000" w:rsidP="00000000" w:rsidRDefault="00000000" w:rsidRPr="00000000" w14:paraId="00000007">
      <w:pPr>
        <w:tabs>
          <w:tab w:val="left" w:leader="none" w:pos="2482"/>
        </w:tabs>
        <w:spacing w:before="129" w:lineRule="auto"/>
        <w:ind w:left="113.38582677165356"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90909"/>
          <w:sz w:val="24"/>
          <w:szCs w:val="24"/>
          <w:rtl w:val="0"/>
        </w:rPr>
        <w:t xml:space="preserve">      (   ) desenvolvimento tecnológico</w:t>
      </w:r>
      <w:r w:rsidDel="00000000" w:rsidR="00000000" w:rsidRPr="00000000">
        <w:rPr>
          <w:rtl w:val="0"/>
        </w:rPr>
      </w:r>
    </w:p>
    <w:p w:rsidR="00000000" w:rsidDel="00000000" w:rsidP="00000000" w:rsidRDefault="00000000" w:rsidRPr="00000000" w14:paraId="00000008">
      <w:pPr>
        <w:spacing w:before="129" w:lineRule="auto"/>
        <w:ind w:left="113.38582677165356" w:right="0" w:firstLine="0"/>
        <w:jc w:val="left"/>
        <w:rPr>
          <w:rFonts w:ascii="Times New Roman" w:cs="Times New Roman" w:eastAsia="Times New Roman" w:hAnsi="Times New Roman"/>
          <w:b w:val="1"/>
          <w:bCs w:val="1"/>
          <w:sz w:val="24"/>
          <w:szCs w:val="24"/>
        </w:rPr>
        <w:sectPr>
          <w:type w:val="continuous"/>
          <w:pgSz w:h="16850" w:w="11910" w:orient="portrait"/>
          <w:pgMar w:bottom="1133.8582677165355" w:top="1700.7874015748032" w:left="1700.7874015748032" w:right="1133.8582677165355" w:header="360" w:footer="360"/>
          <w:cols w:equalWidth="0" w:num="2">
            <w:col w:space="43" w:w="4513.92"/>
            <w:col w:space="0" w:w="4513.92"/>
          </w:cols>
        </w:sectPr>
      </w:pPr>
      <w:r w:rsidDel="00000000" w:rsidR="00000000" w:rsidRPr="00000000">
        <w:rPr>
          <w:rFonts w:ascii="Times New Roman" w:cs="Times New Roman" w:eastAsia="Times New Roman" w:hAnsi="Times New Roman"/>
          <w:b w:val="1"/>
          <w:bCs w:val="1"/>
          <w:sz w:val="24"/>
          <w:szCs w:val="24"/>
          <w:rtl w:val="0"/>
        </w:rPr>
        <w:t xml:space="preserve">      (X) revisão da literatura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Eixo temático: </w:t>
      </w:r>
      <w:r w:rsidDel="00000000" w:rsidR="00000000" w:rsidRPr="00000000">
        <w:rPr>
          <w:rFonts w:ascii="Times New Roman" w:cs="Times New Roman" w:eastAsia="Times New Roman" w:hAnsi="Times New Roman"/>
          <w:sz w:val="24"/>
          <w:szCs w:val="24"/>
          <w:rtl w:val="0"/>
        </w:rPr>
        <w:t xml:space="preserve">Eixo 7 - Imunização/ Vacinas e Imunobiológicos </w:t>
      </w:r>
    </w:p>
    <w:p w:rsidR="00000000" w:rsidDel="00000000" w:rsidP="00000000" w:rsidRDefault="00000000" w:rsidRPr="00000000" w14:paraId="0000000A">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0D">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Dias MJR, Lima CAB, Valentim LA, Moraes WP, Fernandes FP. Os desafios enfrentados e as estratégias adotadas na atenção primária à saúde no enfrentamento da Covid-19 em comunidades ribeirinhas da Amazônia: uma revisão integrativa. Rev Interagir. 2025;20(128 Suplementar):46-9.</w:t>
      </w:r>
    </w:p>
    <w:p w:rsidR="00000000" w:rsidDel="00000000" w:rsidP="00000000" w:rsidRDefault="00000000" w:rsidRPr="00000000" w14:paraId="0000000E">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Lima RCRO, Lima AKS, Galvão MTG. A enfermagem no enfrentamento à COVID-19 na atenção primária à saúde: relato de experiência. Rev Enferm UFPE On Line. 2023;17(1):e254175.</w:t>
      </w:r>
    </w:p>
    <w:p w:rsidR="00000000" w:rsidDel="00000000" w:rsidP="00000000" w:rsidRDefault="00000000" w:rsidRPr="00000000" w14:paraId="00000010">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Ministério da Saúde (BR). Secretaria Extraordinária de Enfrentamento à COVID-19. Plano nacional de operacionalização da vacinação contra a COVID-19. 12ª ed. Brasília: Ministério da Saúde; 2022.</w:t>
      </w:r>
    </w:p>
    <w:p w:rsidR="00000000" w:rsidDel="00000000" w:rsidP="00000000" w:rsidRDefault="00000000" w:rsidRPr="00000000" w14:paraId="00000012">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Leite CC, Cabral RBM, Oliveira AIN, Maciel AEC. Adesão à vacinação contra a COVID-19 no Amazonas: cobertura vacinal, barreiras logísticas e desinformação. Cuad Educ Desarro. 2025;17(12):e018. Portuguese.</w:t>
      </w:r>
    </w:p>
    <w:p w:rsidR="00000000" w:rsidDel="00000000" w:rsidP="00000000" w:rsidRDefault="00000000" w:rsidRPr="00000000" w14:paraId="00000014">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Barreto TMAC, Kuyat SU, Tonello LMR. Desafios e oportunidades dos profissionais de enfermagem na vacinação contra COVID-19. Enferm Foco. 2024;15:e2024161.</w:t>
      </w:r>
    </w:p>
    <w:p w:rsidR="00000000" w:rsidDel="00000000" w:rsidP="00000000" w:rsidRDefault="00000000" w:rsidRPr="00000000" w14:paraId="00000016">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Castro FF, Souza CRS, Diniz CX, Parmejiani EP, Santos FS, Nascimento JN, et al. Idosos ribeirinhos da Amazônia brasileira no enfrentamento da covid-19. In: Santana RF (Org.). Enfermagem gerontológica no cuidado do idoso em tempos da COVID-19. 2. ed. rev. Brasília: Editora ABEn; 2020. p. 131-8.</w:t>
      </w:r>
    </w:p>
    <w:p w:rsidR="00000000" w:rsidDel="00000000" w:rsidP="00000000" w:rsidRDefault="00000000" w:rsidRPr="00000000" w14:paraId="00000018">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Santos ER, Sicsú NA, Oliveira LB, Silva AS, Ferreira DS, Lima KJV. A enfermagem em atenção primária à saúde no contexto da pandemia de COVID-19 na região amazônica. In: Teodósio SSS, Leandro SS (Org.). Enfermagem na atenção básica no contexto da COVID-19. 2. ed. Brasília: Editora ABEn; 2020. p. 44-50.</w:t>
      </w:r>
    </w:p>
    <w:p w:rsidR="00000000" w:rsidDel="00000000" w:rsidP="00000000" w:rsidRDefault="00000000" w:rsidRPr="00000000" w14:paraId="0000001A">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Brasil. Ministério da Saúde, Secretaria de Vigilância em Saúde. Boletim epidemiológico covid-19: comunidades tradicionais e povos quilombolas. Brasília (DF): Ministério da Saúde. 2022;1:1.</w:t>
      </w:r>
    </w:p>
    <w:p w:rsidR="00000000" w:rsidDel="00000000" w:rsidP="00000000" w:rsidRDefault="00000000" w:rsidRPr="00000000" w14:paraId="0000001C">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Lucena AEA, Vieira AJSS, Souza EF, Oliveira EB, Sarrazin LRS, Pantoja JHT, et al. Acesso aos serviços de saúde e vulnerabilidade em comunidades ribeirinhas da Amazônia. Periódicos Brasil Pesq Cient. 2026;5(2):118-37.</w:t>
      </w:r>
    </w:p>
    <w:p w:rsidR="00000000" w:rsidDel="00000000" w:rsidP="00000000" w:rsidRDefault="00000000" w:rsidRPr="00000000" w14:paraId="0000001E">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Figueira MCE Silva, Marques D, Vilela MF, Pereira JA, Bazílio J, Silva EM. Fluvial family health: work process of teams in riverside communities of the Brazilian Amazon. Rural Remote Health. 2020;20(3):5522.</w:t>
      </w:r>
    </w:p>
    <w:p w:rsidR="00000000" w:rsidDel="00000000" w:rsidP="00000000" w:rsidRDefault="00000000" w:rsidRPr="00000000" w14:paraId="00000020">
      <w:pPr>
        <w:spacing w:before="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before="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Gama ASM, Secoli SR. Práticas de automedicação em comunidades ribeirinhas na Amazônia brasileira. Rev Bras Enferm. 2020;73(5):e20190432.</w:t>
      </w:r>
    </w:p>
    <w:p w:rsidR="00000000" w:rsidDel="00000000" w:rsidP="00000000" w:rsidRDefault="00000000" w:rsidRPr="00000000" w14:paraId="00000022">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before="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shd w:fill="ffffff" w:val="clea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hd w:fill="ffffff" w:val="clear"/>
        <w:ind w:left="720" w:firstLine="0"/>
        <w:jc w:val="both"/>
        <w:rPr>
          <w:rFonts w:ascii="Times New Roman" w:cs="Times New Roman" w:eastAsia="Times New Roman" w:hAnsi="Times New Roman"/>
          <w:sz w:val="24"/>
          <w:szCs w:val="24"/>
        </w:rPr>
      </w:pPr>
      <w:r w:rsidDel="00000000" w:rsidR="00000000" w:rsidRPr="00000000">
        <w:rPr>
          <w:rtl w:val="0"/>
        </w:rPr>
      </w:r>
    </w:p>
    <w:sectPr>
      <w:type w:val="continuous"/>
      <w:pgSz w:h="16850" w:w="11910" w:orient="portrait"/>
      <w:pgMar w:bottom="1133.8582677165355" w:top="1700.7874015748032" w:left="1700.7874015748032" w:right="1133.8582677165355"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drawing>
        <wp:inline distB="114300" distT="114300" distL="114300" distR="114300">
          <wp:extent cx="5760000" cy="838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000" cy="8382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widowControl w:val="1"/>
      <w:tabs>
        <w:tab w:val="center" w:leader="none" w:pos="4252"/>
        <w:tab w:val="right" w:leader="none" w:pos="8504"/>
      </w:tabs>
      <w:rPr/>
    </w:pPr>
    <w:r w:rsidDel="00000000" w:rsidR="00000000" w:rsidRPr="00000000">
      <w:rPr>
        <w:rFonts w:ascii="Aptos" w:cs="Aptos" w:eastAsia="Aptos" w:hAnsi="Aptos"/>
        <w:sz w:val="20"/>
        <w:szCs w:val="20"/>
      </w:rPr>
      <w:drawing>
        <wp:inline distB="0" distT="0" distL="0" distR="0">
          <wp:extent cx="5725613" cy="90487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25613" cy="9048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2026-04-26T00:00:00Z</vt:lpwstr>
  </property>
  <property fmtid="{D5CDD505-2E9C-101B-9397-08002B2CF9AE}" pid="4" name="Creator">
    <vt:lpwstr>Canva</vt:lpwstr>
  </property>
  <property fmtid="{D5CDD505-2E9C-101B-9397-08002B2CF9AE}" pid="5" name="LastSaved">
    <vt:lpwstr>2026-04-26T00:00:00Z</vt:lpwstr>
  </property>
  <property fmtid="{D5CDD505-2E9C-101B-9397-08002B2CF9AE}" pid="6" name="Producer">
    <vt:lpwstr>Canva</vt:lpwstr>
  </property>
</Properties>
</file>