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C8AFA" w14:textId="7F248BC5" w:rsidR="00204589" w:rsidRDefault="007F10CE" w:rsidP="007F10C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F10CE">
        <w:rPr>
          <w:rFonts w:ascii="Arial" w:hAnsi="Arial" w:cs="Arial"/>
          <w:b/>
          <w:sz w:val="24"/>
          <w:szCs w:val="24"/>
        </w:rPr>
        <w:t>INVASÃO NEOPLÁSICA DO SISTEMA NERVOSO CENTRAL POR LINFOMA DE CÉLULAS T</w:t>
      </w:r>
    </w:p>
    <w:p w14:paraId="47E1AF70" w14:textId="77777777" w:rsidR="007F10CE" w:rsidRDefault="007F10CE" w:rsidP="007F10C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72E3130" w14:textId="77777777" w:rsidR="007F10CE" w:rsidRPr="007F10CE" w:rsidRDefault="007F10CE" w:rsidP="007F10C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10CE">
        <w:rPr>
          <w:rFonts w:ascii="Arial" w:hAnsi="Arial" w:cs="Arial"/>
          <w:sz w:val="24"/>
          <w:szCs w:val="24"/>
        </w:rPr>
        <w:t>OBJETIVO: Relatar um caso de invasão neoplásica de sistema nervoso central (SNC) secundário a Linfoma Periférico de células T (LPCT).</w:t>
      </w:r>
    </w:p>
    <w:p w14:paraId="0221DD3A" w14:textId="77777777" w:rsidR="007F10CE" w:rsidRPr="007F10CE" w:rsidRDefault="007F10CE" w:rsidP="007F10C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10CE">
        <w:rPr>
          <w:rFonts w:ascii="Arial" w:hAnsi="Arial" w:cs="Arial"/>
          <w:sz w:val="24"/>
          <w:szCs w:val="24"/>
        </w:rPr>
        <w:t xml:space="preserve">RELATO DE CASO: Mulher, 62 anos, iniciou em abril/23 com quadro de instabilidade de marcha, atendida em município de origem e identificado linfonodo inguinal e axilar esquerdo. Submetida a biópsia e </w:t>
      </w:r>
      <w:proofErr w:type="spellStart"/>
      <w:r w:rsidRPr="007F10CE">
        <w:rPr>
          <w:rFonts w:ascii="Arial" w:hAnsi="Arial" w:cs="Arial"/>
          <w:sz w:val="24"/>
          <w:szCs w:val="24"/>
        </w:rPr>
        <w:t>imunohistoquimica</w:t>
      </w:r>
      <w:proofErr w:type="spellEnd"/>
      <w:r w:rsidRPr="007F10CE">
        <w:rPr>
          <w:rFonts w:ascii="Arial" w:hAnsi="Arial" w:cs="Arial"/>
          <w:sz w:val="24"/>
          <w:szCs w:val="24"/>
        </w:rPr>
        <w:t xml:space="preserve"> com achados que favoreciam o diagnóstico de LCTP. Evoluiu progressivamente com piora dos sintomas e procurou o pronto atendimento do IPSEMG. À admissão, apresentava instabilidade de marcha com comprometimento de deambulação, além de nistagmo </w:t>
      </w:r>
      <w:proofErr w:type="spellStart"/>
      <w:r w:rsidRPr="007F10CE">
        <w:rPr>
          <w:rFonts w:ascii="Arial" w:hAnsi="Arial" w:cs="Arial"/>
          <w:sz w:val="24"/>
          <w:szCs w:val="24"/>
        </w:rPr>
        <w:t>torcional</w:t>
      </w:r>
      <w:proofErr w:type="spellEnd"/>
      <w:r w:rsidRPr="007F10CE">
        <w:rPr>
          <w:rFonts w:ascii="Arial" w:hAnsi="Arial" w:cs="Arial"/>
          <w:sz w:val="24"/>
          <w:szCs w:val="24"/>
        </w:rPr>
        <w:t xml:space="preserve"> multidirecional, dismetria bilateral e disdiadococinesia. Negava febre, perda ponderal, alteração sensitiva/força ou qualquer outro déficit neurológico focal. Realizados exames laboratoriais com sorologias negativas, exceto por HTLV sérico positivo e IgG positivos para citomegalovírus e </w:t>
      </w:r>
      <w:proofErr w:type="spellStart"/>
      <w:r w:rsidRPr="007F10CE">
        <w:rPr>
          <w:rFonts w:ascii="Arial" w:hAnsi="Arial" w:cs="Arial"/>
          <w:sz w:val="24"/>
          <w:szCs w:val="24"/>
        </w:rPr>
        <w:t>epstein</w:t>
      </w:r>
      <w:proofErr w:type="spellEnd"/>
      <w:r w:rsidRPr="007F10C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F10CE">
        <w:rPr>
          <w:rFonts w:ascii="Arial" w:hAnsi="Arial" w:cs="Arial"/>
          <w:sz w:val="24"/>
          <w:szCs w:val="24"/>
        </w:rPr>
        <w:t>barr</w:t>
      </w:r>
      <w:proofErr w:type="spellEnd"/>
      <w:r w:rsidRPr="007F10CE">
        <w:rPr>
          <w:rFonts w:ascii="Arial" w:hAnsi="Arial" w:cs="Arial"/>
          <w:sz w:val="24"/>
          <w:szCs w:val="24"/>
        </w:rPr>
        <w:t xml:space="preserve">. Submetida a ressonância de encéfalo que apresentava </w:t>
      </w:r>
      <w:proofErr w:type="spellStart"/>
      <w:r w:rsidRPr="007F10CE">
        <w:rPr>
          <w:rFonts w:ascii="Arial" w:hAnsi="Arial" w:cs="Arial"/>
          <w:sz w:val="24"/>
          <w:szCs w:val="24"/>
        </w:rPr>
        <w:t>hipersinal</w:t>
      </w:r>
      <w:proofErr w:type="spellEnd"/>
      <w:r w:rsidRPr="007F10CE">
        <w:rPr>
          <w:rFonts w:ascii="Arial" w:hAnsi="Arial" w:cs="Arial"/>
          <w:sz w:val="24"/>
          <w:szCs w:val="24"/>
        </w:rPr>
        <w:t xml:space="preserve"> em T2 em território de cerebelo, tálamo bilateral e lobo temporal direito. O líquor revelou celularidade 10, proteína 51, glicose 56 (Glicemia capilar 135 mg/</w:t>
      </w:r>
      <w:proofErr w:type="spellStart"/>
      <w:r w:rsidRPr="007F10CE">
        <w:rPr>
          <w:rFonts w:ascii="Arial" w:hAnsi="Arial" w:cs="Arial"/>
          <w:sz w:val="24"/>
          <w:szCs w:val="24"/>
        </w:rPr>
        <w:t>dL</w:t>
      </w:r>
      <w:proofErr w:type="spellEnd"/>
      <w:r w:rsidRPr="007F10CE">
        <w:rPr>
          <w:rFonts w:ascii="Arial" w:hAnsi="Arial" w:cs="Arial"/>
          <w:sz w:val="24"/>
          <w:szCs w:val="24"/>
        </w:rPr>
        <w:t xml:space="preserve">) e a </w:t>
      </w:r>
      <w:proofErr w:type="spellStart"/>
      <w:r w:rsidRPr="007F10CE">
        <w:rPr>
          <w:rFonts w:ascii="Arial" w:hAnsi="Arial" w:cs="Arial"/>
          <w:sz w:val="24"/>
          <w:szCs w:val="24"/>
        </w:rPr>
        <w:t>imunofenotipagem</w:t>
      </w:r>
      <w:proofErr w:type="spellEnd"/>
      <w:r w:rsidRPr="007F10CE">
        <w:rPr>
          <w:rFonts w:ascii="Arial" w:hAnsi="Arial" w:cs="Arial"/>
          <w:sz w:val="24"/>
          <w:szCs w:val="24"/>
        </w:rPr>
        <w:t xml:space="preserve"> foi inconclusiva. Iniciado o tratamento com quimioterapia esquema: ciclofosfamida, </w:t>
      </w:r>
      <w:proofErr w:type="spellStart"/>
      <w:r w:rsidRPr="007F10CE">
        <w:rPr>
          <w:rFonts w:ascii="Arial" w:hAnsi="Arial" w:cs="Arial"/>
          <w:sz w:val="24"/>
          <w:szCs w:val="24"/>
        </w:rPr>
        <w:t>doxorubicina</w:t>
      </w:r>
      <w:proofErr w:type="spellEnd"/>
      <w:r w:rsidRPr="007F10CE">
        <w:rPr>
          <w:rFonts w:ascii="Arial" w:hAnsi="Arial" w:cs="Arial"/>
          <w:sz w:val="24"/>
          <w:szCs w:val="24"/>
        </w:rPr>
        <w:t xml:space="preserve">, vincristina, </w:t>
      </w:r>
      <w:proofErr w:type="spellStart"/>
      <w:r w:rsidRPr="007F10CE">
        <w:rPr>
          <w:rFonts w:ascii="Arial" w:hAnsi="Arial" w:cs="Arial"/>
          <w:sz w:val="24"/>
          <w:szCs w:val="24"/>
        </w:rPr>
        <w:t>etoposida</w:t>
      </w:r>
      <w:proofErr w:type="spellEnd"/>
      <w:r w:rsidRPr="007F10CE">
        <w:rPr>
          <w:rFonts w:ascii="Arial" w:hAnsi="Arial" w:cs="Arial"/>
          <w:sz w:val="24"/>
          <w:szCs w:val="24"/>
        </w:rPr>
        <w:t xml:space="preserve">, prednisona (CHOEP) associado a </w:t>
      </w:r>
      <w:proofErr w:type="spellStart"/>
      <w:r w:rsidRPr="007F10CE">
        <w:rPr>
          <w:rFonts w:ascii="Arial" w:hAnsi="Arial" w:cs="Arial"/>
          <w:sz w:val="24"/>
          <w:szCs w:val="24"/>
        </w:rPr>
        <w:t>pulsoterapia</w:t>
      </w:r>
      <w:proofErr w:type="spellEnd"/>
      <w:r w:rsidRPr="007F10CE">
        <w:rPr>
          <w:rFonts w:ascii="Arial" w:hAnsi="Arial" w:cs="Arial"/>
          <w:sz w:val="24"/>
          <w:szCs w:val="24"/>
        </w:rPr>
        <w:t xml:space="preserve"> com </w:t>
      </w:r>
      <w:proofErr w:type="spellStart"/>
      <w:r w:rsidRPr="007F10CE">
        <w:rPr>
          <w:rFonts w:ascii="Arial" w:hAnsi="Arial" w:cs="Arial"/>
          <w:sz w:val="24"/>
          <w:szCs w:val="24"/>
        </w:rPr>
        <w:t>metilprednisolona</w:t>
      </w:r>
      <w:proofErr w:type="spellEnd"/>
      <w:r w:rsidRPr="007F10CE">
        <w:rPr>
          <w:rFonts w:ascii="Arial" w:hAnsi="Arial" w:cs="Arial"/>
          <w:sz w:val="24"/>
          <w:szCs w:val="24"/>
        </w:rPr>
        <w:t xml:space="preserve"> 1g por 5 dias diante da sintomatologia cerebelar importante. Após 15 dias, apresentou novos sintomas neurológicos de disfagia, disartria, além da piora da incoordenação de membros e da instabilidade postural. Realizado nova </w:t>
      </w:r>
      <w:proofErr w:type="spellStart"/>
      <w:r w:rsidRPr="007F10CE">
        <w:rPr>
          <w:rFonts w:ascii="Arial" w:hAnsi="Arial" w:cs="Arial"/>
          <w:sz w:val="24"/>
          <w:szCs w:val="24"/>
        </w:rPr>
        <w:t>imunofenotipagem</w:t>
      </w:r>
      <w:proofErr w:type="spellEnd"/>
      <w:r w:rsidRPr="007F10CE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7F10CE">
        <w:rPr>
          <w:rFonts w:ascii="Arial" w:hAnsi="Arial" w:cs="Arial"/>
          <w:sz w:val="24"/>
          <w:szCs w:val="24"/>
        </w:rPr>
        <w:t>liquor</w:t>
      </w:r>
      <w:proofErr w:type="spellEnd"/>
      <w:r w:rsidRPr="007F10CE">
        <w:rPr>
          <w:rFonts w:ascii="Arial" w:hAnsi="Arial" w:cs="Arial"/>
          <w:sz w:val="24"/>
          <w:szCs w:val="24"/>
        </w:rPr>
        <w:t xml:space="preserve"> que evidenciou células atípicas com presença de marcadores para </w:t>
      </w:r>
      <w:proofErr w:type="spellStart"/>
      <w:r w:rsidRPr="007F10CE">
        <w:rPr>
          <w:rFonts w:ascii="Arial" w:hAnsi="Arial" w:cs="Arial"/>
          <w:sz w:val="24"/>
          <w:szCs w:val="24"/>
        </w:rPr>
        <w:t>linfocitos</w:t>
      </w:r>
      <w:proofErr w:type="spellEnd"/>
      <w:r w:rsidRPr="007F10CE">
        <w:rPr>
          <w:rFonts w:ascii="Arial" w:hAnsi="Arial" w:cs="Arial"/>
          <w:sz w:val="24"/>
          <w:szCs w:val="24"/>
        </w:rPr>
        <w:t xml:space="preserve"> T (CD2, CD4, CD5 e CD45). Nesse momento, optado por iniciar tratamento com </w:t>
      </w:r>
      <w:proofErr w:type="spellStart"/>
      <w:r w:rsidRPr="007F10CE">
        <w:rPr>
          <w:rFonts w:ascii="Arial" w:hAnsi="Arial" w:cs="Arial"/>
          <w:sz w:val="24"/>
          <w:szCs w:val="24"/>
        </w:rPr>
        <w:t>metrotexato</w:t>
      </w:r>
      <w:proofErr w:type="spellEnd"/>
      <w:r w:rsidRPr="007F10CE">
        <w:rPr>
          <w:rFonts w:ascii="Arial" w:hAnsi="Arial" w:cs="Arial"/>
          <w:sz w:val="24"/>
          <w:szCs w:val="24"/>
        </w:rPr>
        <w:t xml:space="preserve"> diante do diagnóstico de invasão neoplásica de SNC. </w:t>
      </w:r>
    </w:p>
    <w:p w14:paraId="5990405F" w14:textId="6830A4ED" w:rsidR="00174A5E" w:rsidRPr="00174A5E" w:rsidRDefault="007F10CE" w:rsidP="007F10C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F10CE">
        <w:rPr>
          <w:rFonts w:ascii="Arial" w:hAnsi="Arial" w:cs="Arial"/>
          <w:sz w:val="24"/>
          <w:szCs w:val="24"/>
        </w:rPr>
        <w:t xml:space="preserve">CONCLUSÃO: Os linfomas de células T são uma forma incomum e agressiva de Linfoma Não </w:t>
      </w:r>
      <w:proofErr w:type="spellStart"/>
      <w:r w:rsidRPr="007F10CE">
        <w:rPr>
          <w:rFonts w:ascii="Arial" w:hAnsi="Arial" w:cs="Arial"/>
          <w:sz w:val="24"/>
          <w:szCs w:val="24"/>
        </w:rPr>
        <w:t>Hodgking</w:t>
      </w:r>
      <w:proofErr w:type="spellEnd"/>
      <w:r w:rsidRPr="007F10CE">
        <w:rPr>
          <w:rFonts w:ascii="Arial" w:hAnsi="Arial" w:cs="Arial"/>
          <w:sz w:val="24"/>
          <w:szCs w:val="24"/>
        </w:rPr>
        <w:t>. A incidência e os fatores de risco relacionados ao envolvimento do SNC em casos de LCTP ainda são pouco estabelecidos. O acometimento do SNC como manifestação inicial é menos frequente evidenciando a importância do debate de casos como o relatado.</w:t>
      </w:r>
    </w:p>
    <w:sectPr w:rsidR="00174A5E" w:rsidRPr="00174A5E" w:rsidSect="00204589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89"/>
    <w:rsid w:val="00174A5E"/>
    <w:rsid w:val="00204589"/>
    <w:rsid w:val="004A07BE"/>
    <w:rsid w:val="00505680"/>
    <w:rsid w:val="0063191B"/>
    <w:rsid w:val="006B255A"/>
    <w:rsid w:val="006D5282"/>
    <w:rsid w:val="007F10CE"/>
    <w:rsid w:val="00A6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4C14E"/>
  <w15:docId w15:val="{CF5BC136-40FB-EB45-9428-968EBBFD0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2045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458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458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458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458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4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45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1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Comunicacao01</dc:creator>
  <cp:lastModifiedBy>Vinícius Avelar</cp:lastModifiedBy>
  <cp:revision>3</cp:revision>
  <dcterms:created xsi:type="dcterms:W3CDTF">2023-08-31T22:33:00Z</dcterms:created>
  <dcterms:modified xsi:type="dcterms:W3CDTF">2023-08-31T22:35:00Z</dcterms:modified>
</cp:coreProperties>
</file>